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u w:val="single"/>
          <w:lang w:eastAsia="zh-CN"/>
        </w:rPr>
      </w:pPr>
      <w:r>
        <w:rPr>
          <w:rFonts w:hint="eastAsia" w:ascii="仿宋" w:hAnsi="仿宋" w:eastAsia="仿宋" w:cs="仿宋"/>
          <w:b/>
          <w:bCs/>
          <w:sz w:val="36"/>
          <w:szCs w:val="36"/>
          <w:u w:val="single"/>
          <w:lang w:eastAsia="zh-CN"/>
        </w:rPr>
        <w:drawing>
          <wp:inline distT="0" distB="0" distL="114300" distR="114300">
            <wp:extent cx="5536565" cy="7894320"/>
            <wp:effectExtent l="0" t="0" r="6985" b="11430"/>
            <wp:docPr id="3" name="图片 3" descr="CCF_00050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CF_000501_00"/>
                    <pic:cNvPicPr>
                      <a:picLocks noChangeAspect="1"/>
                    </pic:cNvPicPr>
                  </pic:nvPicPr>
                  <pic:blipFill>
                    <a:blip r:embed="rId11"/>
                    <a:stretch>
                      <a:fillRect/>
                    </a:stretch>
                  </pic:blipFill>
                  <pic:spPr>
                    <a:xfrm>
                      <a:off x="0" y="0"/>
                      <a:ext cx="5536565" cy="7894320"/>
                    </a:xfrm>
                    <a:prstGeom prst="rect">
                      <a:avLst/>
                    </a:prstGeom>
                  </pic:spPr>
                </pic:pic>
              </a:graphicData>
            </a:graphic>
          </wp:inline>
        </w:drawing>
      </w:r>
    </w:p>
    <w:p>
      <w:pPr>
        <w:jc w:val="center"/>
        <w:rPr>
          <w:rFonts w:hint="eastAsia" w:ascii="仿宋" w:hAnsi="仿宋" w:eastAsia="仿宋" w:cs="仿宋"/>
          <w:b/>
          <w:bCs/>
          <w:sz w:val="36"/>
          <w:szCs w:val="36"/>
          <w:u w:val="single"/>
          <w:lang w:eastAsia="zh-CN"/>
        </w:rPr>
      </w:pPr>
    </w:p>
    <w:p>
      <w:pPr>
        <w:jc w:val="center"/>
        <w:rPr>
          <w:rFonts w:hint="eastAsia" w:ascii="仿宋" w:hAnsi="仿宋" w:eastAsia="仿宋" w:cs="仿宋"/>
          <w:b/>
          <w:bCs/>
          <w:sz w:val="36"/>
          <w:szCs w:val="36"/>
          <w:u w:val="single"/>
          <w:lang w:eastAsia="zh-CN"/>
        </w:rPr>
      </w:pPr>
    </w:p>
    <w:p>
      <w:pPr>
        <w:jc w:val="center"/>
        <w:rPr>
          <w:rFonts w:hint="eastAsia" w:ascii="仿宋" w:hAnsi="仿宋" w:eastAsia="仿宋" w:cs="仿宋"/>
          <w:szCs w:val="28"/>
          <w:u w:val="single"/>
          <w:lang w:eastAsia="zh-CN"/>
        </w:rPr>
      </w:pPr>
      <w:r>
        <w:rPr>
          <w:rFonts w:hint="eastAsia" w:ascii="仿宋" w:hAnsi="仿宋" w:eastAsia="仿宋" w:cs="仿宋"/>
          <w:b/>
          <w:bCs/>
          <w:sz w:val="36"/>
          <w:szCs w:val="36"/>
          <w:u w:val="single"/>
          <w:lang w:eastAsia="zh-CN"/>
        </w:rPr>
        <w:t>八里店镇安置小区西湖漾家园一期、二期物业管理项目（第二次）</w:t>
      </w:r>
    </w:p>
    <w:p>
      <w:pPr>
        <w:jc w:val="center"/>
        <w:rPr>
          <w:rFonts w:ascii="仿宋" w:hAnsi="仿宋" w:eastAsia="仿宋" w:cs="仿宋"/>
          <w:sz w:val="84"/>
          <w:szCs w:val="84"/>
        </w:rPr>
      </w:pPr>
      <w:r>
        <w:rPr>
          <w:rFonts w:hint="eastAsia" w:ascii="仿宋" w:hAnsi="仿宋" w:eastAsia="仿宋" w:cs="仿宋"/>
          <w:sz w:val="84"/>
          <w:szCs w:val="84"/>
        </w:rPr>
        <w:t>公开招标文件</w:t>
      </w:r>
    </w:p>
    <w:p>
      <w:pPr>
        <w:jc w:val="center"/>
        <w:rPr>
          <w:rFonts w:ascii="仿宋" w:hAnsi="仿宋" w:eastAsia="仿宋" w:cs="仿宋"/>
          <w:sz w:val="36"/>
          <w:szCs w:val="36"/>
        </w:rPr>
      </w:pPr>
      <w:r>
        <w:rPr>
          <w:rFonts w:hint="eastAsia" w:ascii="仿宋" w:hAnsi="仿宋" w:eastAsia="仿宋" w:cs="仿宋"/>
          <w:sz w:val="36"/>
          <w:szCs w:val="36"/>
        </w:rPr>
        <w:t>（电子全流程）</w:t>
      </w: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spacing w:line="400" w:lineRule="exact"/>
        <w:rPr>
          <w:rFonts w:ascii="仿宋" w:hAnsi="仿宋" w:eastAsia="仿宋" w:cs="仿宋"/>
        </w:rPr>
      </w:pPr>
    </w:p>
    <w:p>
      <w:pPr>
        <w:widowControl/>
        <w:ind w:firstLine="1120" w:firstLineChars="400"/>
        <w:rPr>
          <w:rFonts w:ascii="仿宋" w:hAnsi="仿宋" w:eastAsia="仿宋" w:cs="仿宋"/>
          <w:szCs w:val="28"/>
          <w:u w:val="single"/>
        </w:rPr>
      </w:pPr>
      <w:r>
        <w:rPr>
          <w:rFonts w:hint="eastAsia" w:ascii="仿宋" w:hAnsi="仿宋" w:eastAsia="仿宋" w:cs="仿宋"/>
          <w:szCs w:val="28"/>
        </w:rPr>
        <w:t>项目招标编号：</w:t>
      </w:r>
      <w:r>
        <w:rPr>
          <w:rFonts w:hint="eastAsia" w:ascii="仿宋" w:hAnsi="仿宋" w:eastAsia="仿宋" w:cs="仿宋"/>
          <w:szCs w:val="28"/>
          <w:u w:val="single"/>
        </w:rPr>
        <w:t xml:space="preserve"> </w:t>
      </w:r>
      <w:r>
        <w:rPr>
          <w:rFonts w:hint="eastAsia" w:ascii="仿宋" w:hAnsi="仿宋" w:eastAsia="仿宋" w:cs="仿宋"/>
          <w:szCs w:val="28"/>
          <w:u w:val="single"/>
          <w:lang w:val="en-US" w:eastAsia="zh-CN"/>
        </w:rPr>
        <w:t>FL-2023-005(JS)</w:t>
      </w:r>
      <w:r>
        <w:rPr>
          <w:rFonts w:hint="eastAsia" w:ascii="仿宋" w:hAnsi="仿宋" w:eastAsia="仿宋" w:cs="仿宋"/>
          <w:szCs w:val="28"/>
          <w:u w:val="single"/>
        </w:rPr>
        <w:t xml:space="preserve"> </w:t>
      </w:r>
    </w:p>
    <w:p>
      <w:pPr>
        <w:spacing w:line="400" w:lineRule="exact"/>
        <w:jc w:val="center"/>
        <w:rPr>
          <w:rFonts w:ascii="仿宋" w:hAnsi="仿宋" w:eastAsia="仿宋" w:cs="仿宋"/>
        </w:rPr>
      </w:pPr>
    </w:p>
    <w:p>
      <w:pPr>
        <w:jc w:val="center"/>
        <w:rPr>
          <w:rFonts w:ascii="仿宋" w:hAnsi="仿宋" w:eastAsia="仿宋" w:cs="仿宋"/>
          <w:szCs w:val="28"/>
        </w:rPr>
      </w:pPr>
      <w:r>
        <w:rPr>
          <w:rFonts w:hint="eastAsia" w:ascii="仿宋" w:hAnsi="仿宋" w:eastAsia="仿宋" w:cs="仿宋"/>
          <w:szCs w:val="28"/>
        </w:rPr>
        <w:t>招标人：</w:t>
      </w:r>
      <w:r>
        <w:rPr>
          <w:rFonts w:hint="eastAsia" w:ascii="仿宋" w:hAnsi="仿宋" w:eastAsia="仿宋" w:cs="仿宋"/>
          <w:szCs w:val="28"/>
          <w:u w:val="single"/>
        </w:rPr>
        <w:t>湖州吴兴兴城市政工程有限公司</w:t>
      </w:r>
      <w:r>
        <w:rPr>
          <w:rFonts w:hint="eastAsia" w:ascii="仿宋" w:hAnsi="仿宋" w:eastAsia="仿宋" w:cs="仿宋"/>
          <w:szCs w:val="28"/>
        </w:rPr>
        <w:t>（盖单位章）</w:t>
      </w:r>
    </w:p>
    <w:p>
      <w:pPr>
        <w:widowControl/>
        <w:jc w:val="center"/>
        <w:rPr>
          <w:rFonts w:ascii="仿宋" w:hAnsi="仿宋" w:eastAsia="仿宋" w:cs="仿宋"/>
        </w:rPr>
      </w:pPr>
    </w:p>
    <w:p>
      <w:pPr>
        <w:widowControl/>
        <w:ind w:firstLine="560" w:firstLineChars="200"/>
        <w:jc w:val="center"/>
        <w:rPr>
          <w:rFonts w:ascii="仿宋" w:hAnsi="仿宋" w:eastAsia="仿宋" w:cs="仿宋"/>
          <w:szCs w:val="28"/>
        </w:rPr>
      </w:pPr>
      <w:r>
        <w:rPr>
          <w:rFonts w:hint="eastAsia" w:ascii="仿宋" w:hAnsi="仿宋" w:eastAsia="仿宋" w:cs="仿宋"/>
          <w:szCs w:val="28"/>
        </w:rPr>
        <w:t>招标代理机构：</w:t>
      </w:r>
      <w:r>
        <w:rPr>
          <w:rFonts w:hint="eastAsia" w:ascii="仿宋" w:hAnsi="仿宋" w:eastAsia="仿宋" w:cs="仿宋"/>
          <w:u w:val="single"/>
          <w:lang w:val="en-US" w:eastAsia="zh-CN"/>
        </w:rPr>
        <w:t>浙江富力诚欣工程顾问有限公司</w:t>
      </w:r>
      <w:r>
        <w:rPr>
          <w:rFonts w:hint="eastAsia" w:ascii="仿宋" w:hAnsi="仿宋" w:eastAsia="仿宋" w:cs="仿宋"/>
          <w:szCs w:val="28"/>
        </w:rPr>
        <w:t>（盖单位章）</w:t>
      </w:r>
    </w:p>
    <w:p>
      <w:pPr>
        <w:widowControl/>
        <w:jc w:val="left"/>
        <w:rPr>
          <w:rFonts w:ascii="仿宋" w:hAnsi="仿宋" w:eastAsia="仿宋" w:cs="仿宋"/>
        </w:rPr>
      </w:pPr>
    </w:p>
    <w:p>
      <w:pPr>
        <w:spacing w:before="100" w:after="100"/>
        <w:jc w:val="center"/>
        <w:rPr>
          <w:rFonts w:ascii="仿宋" w:hAnsi="仿宋" w:eastAsia="仿宋" w:cs="仿宋"/>
          <w:color w:val="000000"/>
          <w:szCs w:val="28"/>
          <w:u w:val="single"/>
        </w:rPr>
      </w:pPr>
      <w:r>
        <w:rPr>
          <w:rFonts w:hint="eastAsia" w:ascii="仿宋" w:hAnsi="仿宋" w:eastAsia="仿宋" w:cs="仿宋"/>
          <w:szCs w:val="28"/>
          <w:u w:val="single"/>
        </w:rPr>
        <w:t>2023年</w:t>
      </w:r>
      <w:r>
        <w:rPr>
          <w:rFonts w:hint="eastAsia" w:ascii="仿宋" w:hAnsi="仿宋" w:eastAsia="仿宋" w:cs="仿宋"/>
          <w:color w:val="000000"/>
          <w:szCs w:val="28"/>
          <w:u w:val="single"/>
        </w:rPr>
        <w:t>0</w:t>
      </w:r>
      <w:r>
        <w:rPr>
          <w:rFonts w:hint="eastAsia" w:ascii="仿宋" w:hAnsi="仿宋" w:eastAsia="仿宋" w:cs="仿宋"/>
          <w:color w:val="000000"/>
          <w:szCs w:val="28"/>
          <w:u w:val="single"/>
          <w:lang w:val="en-US" w:eastAsia="zh-CN"/>
        </w:rPr>
        <w:t>6</w:t>
      </w:r>
      <w:r>
        <w:rPr>
          <w:rFonts w:hint="eastAsia" w:ascii="仿宋" w:hAnsi="仿宋" w:eastAsia="仿宋" w:cs="仿宋"/>
          <w:color w:val="000000"/>
          <w:szCs w:val="28"/>
          <w:u w:val="single"/>
        </w:rPr>
        <w:t>月</w:t>
      </w:r>
    </w:p>
    <w:p/>
    <w:p>
      <w:pPr>
        <w:pStyle w:val="2"/>
        <w:ind w:left="560"/>
        <w:sectPr>
          <w:pgSz w:w="11906" w:h="16838"/>
          <w:pgMar w:top="1134" w:right="1588" w:bottom="1134" w:left="1588" w:header="851" w:footer="992" w:gutter="0"/>
          <w:cols w:space="720" w:num="1"/>
          <w:titlePg/>
          <w:docGrid w:type="lines" w:linePitch="312" w:charSpace="0"/>
        </w:sectPr>
      </w:pPr>
      <w:bookmarkStart w:id="0" w:name="_Toc333133373"/>
      <w:bookmarkStart w:id="1" w:name="_Toc17326"/>
      <w:bookmarkStart w:id="2" w:name="_Toc260138301"/>
    </w:p>
    <w:sdt>
      <w:sdtPr>
        <w:rPr>
          <w:rFonts w:hint="eastAsia" w:ascii="仿宋" w:hAnsi="仿宋" w:eastAsia="仿宋" w:cs="仿宋"/>
          <w:b/>
          <w:bCs/>
          <w:sz w:val="36"/>
          <w:szCs w:val="36"/>
        </w:rPr>
        <w:id w:val="147480645"/>
        <w:docPartObj>
          <w:docPartGallery w:val="Table of Contents"/>
          <w:docPartUnique/>
        </w:docPartObj>
      </w:sdtPr>
      <w:sdtEndPr>
        <w:rPr>
          <w:rFonts w:hint="eastAsia" w:ascii="仿宋" w:hAnsi="仿宋" w:eastAsia="仿宋" w:cs="仿宋"/>
          <w:b/>
          <w:bCs/>
          <w:sz w:val="36"/>
          <w:szCs w:val="36"/>
        </w:rPr>
      </w:sdtEndPr>
      <w:sdtContent>
        <w:p>
          <w:pPr>
            <w:jc w:val="center"/>
            <w:rPr>
              <w:rFonts w:ascii="仿宋" w:hAnsi="仿宋" w:eastAsia="仿宋" w:cs="仿宋"/>
              <w:b/>
              <w:bCs/>
              <w:sz w:val="36"/>
              <w:szCs w:val="36"/>
            </w:rPr>
          </w:pPr>
          <w:r>
            <w:rPr>
              <w:rFonts w:hint="eastAsia" w:ascii="仿宋" w:hAnsi="仿宋" w:eastAsia="仿宋" w:cs="仿宋"/>
              <w:b/>
              <w:bCs/>
              <w:sz w:val="36"/>
              <w:szCs w:val="36"/>
            </w:rPr>
            <w:t>目录</w:t>
          </w:r>
        </w:p>
        <w:p>
          <w:pPr>
            <w:pStyle w:val="21"/>
            <w:tabs>
              <w:tab w:val="right" w:leader="dot" w:pos="8901"/>
              <w:tab w:val="clear" w:pos="8303"/>
            </w:tabs>
          </w:pPr>
          <w:r>
            <w:fldChar w:fldCharType="begin"/>
          </w:r>
          <w:r>
            <w:instrText xml:space="preserve">TOC \o "1-3" \h \u </w:instrText>
          </w:r>
          <w:r>
            <w:fldChar w:fldCharType="separate"/>
          </w:r>
          <w:r>
            <w:fldChar w:fldCharType="begin"/>
          </w:r>
          <w:r>
            <w:instrText xml:space="preserve"> HYPERLINK \l "_Toc14884" </w:instrText>
          </w:r>
          <w:r>
            <w:fldChar w:fldCharType="separate"/>
          </w:r>
          <w:r>
            <w:rPr>
              <w:rFonts w:hint="eastAsia" w:ascii="仿宋" w:hAnsi="仿宋" w:eastAsia="仿宋" w:cs="仿宋"/>
              <w:szCs w:val="32"/>
            </w:rPr>
            <w:t>第一章  招标公告</w:t>
          </w:r>
          <w:r>
            <w:tab/>
          </w:r>
          <w:r>
            <w:fldChar w:fldCharType="begin"/>
          </w:r>
          <w:r>
            <w:instrText xml:space="preserve"> PAGEREF _Toc14884 \h </w:instrText>
          </w:r>
          <w:r>
            <w:fldChar w:fldCharType="separate"/>
          </w:r>
          <w:r>
            <w:t>2</w:t>
          </w:r>
          <w:r>
            <w:fldChar w:fldCharType="end"/>
          </w:r>
          <w:r>
            <w:fldChar w:fldCharType="end"/>
          </w:r>
        </w:p>
        <w:p>
          <w:pPr>
            <w:pStyle w:val="21"/>
            <w:tabs>
              <w:tab w:val="right" w:leader="dot" w:pos="8901"/>
              <w:tab w:val="clear" w:pos="8303"/>
            </w:tabs>
          </w:pPr>
          <w:r>
            <w:fldChar w:fldCharType="begin"/>
          </w:r>
          <w:r>
            <w:instrText xml:space="preserve"> HYPERLINK \l "_Toc7144" </w:instrText>
          </w:r>
          <w:r>
            <w:fldChar w:fldCharType="separate"/>
          </w:r>
          <w:r>
            <w:rPr>
              <w:rFonts w:hint="eastAsia" w:ascii="仿宋" w:hAnsi="仿宋" w:eastAsia="仿宋" w:cs="仿宋"/>
              <w:szCs w:val="32"/>
            </w:rPr>
            <w:t>第二章 投标人须知</w:t>
          </w:r>
          <w:r>
            <w:tab/>
          </w:r>
          <w:r>
            <w:fldChar w:fldCharType="begin"/>
          </w:r>
          <w:r>
            <w:instrText xml:space="preserve"> PAGEREF _Toc7144 \h </w:instrText>
          </w:r>
          <w:r>
            <w:fldChar w:fldCharType="separate"/>
          </w:r>
          <w:r>
            <w:t>4</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"_Toc21349" </w:instrText>
          </w:r>
          <w:r>
            <w:fldChar w:fldCharType="separate"/>
          </w:r>
          <w:r>
            <w:rPr>
              <w:rFonts w:hint="eastAsia" w:ascii="仿宋" w:hAnsi="仿宋" w:eastAsia="仿宋" w:cs="仿宋"/>
              <w:szCs w:val="21"/>
            </w:rPr>
            <w:t>1. 总则</w:t>
          </w:r>
          <w:r>
            <w:tab/>
          </w:r>
          <w:r>
            <w:fldChar w:fldCharType="begin"/>
          </w:r>
          <w:r>
            <w:instrText xml:space="preserve"> PAGEREF _Toc21349 \h </w:instrText>
          </w:r>
          <w:r>
            <w:fldChar w:fldCharType="separate"/>
          </w:r>
          <w:r>
            <w:t>7</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"_Toc13358" </w:instrText>
          </w:r>
          <w:r>
            <w:fldChar w:fldCharType="separate"/>
          </w:r>
          <w:r>
            <w:rPr>
              <w:rFonts w:hint="eastAsia" w:ascii="仿宋" w:hAnsi="仿宋" w:eastAsia="仿宋" w:cs="仿宋"/>
              <w:szCs w:val="21"/>
            </w:rPr>
            <w:t>2. 招标文件</w:t>
          </w:r>
          <w:r>
            <w:tab/>
          </w:r>
          <w:r>
            <w:fldChar w:fldCharType="begin"/>
          </w:r>
          <w:r>
            <w:instrText xml:space="preserve"> PAGEREF _Toc13358 \h </w:instrText>
          </w:r>
          <w:r>
            <w:fldChar w:fldCharType="separate"/>
          </w:r>
          <w:r>
            <w:t>9</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"_Toc20023" </w:instrText>
          </w:r>
          <w:r>
            <w:fldChar w:fldCharType="separate"/>
          </w:r>
          <w:r>
            <w:rPr>
              <w:rFonts w:hint="eastAsia" w:ascii="仿宋" w:hAnsi="仿宋" w:eastAsia="仿宋" w:cs="仿宋"/>
              <w:szCs w:val="21"/>
            </w:rPr>
            <w:t>3. 投标文件</w:t>
          </w:r>
          <w:r>
            <w:tab/>
          </w:r>
          <w:r>
            <w:fldChar w:fldCharType="begin"/>
          </w:r>
          <w:r>
            <w:instrText xml:space="preserve"> PAGEREF _Toc20023 \h </w:instrText>
          </w:r>
          <w:r>
            <w:fldChar w:fldCharType="separate"/>
          </w:r>
          <w:r>
            <w:t>10</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"_Toc30207" </w:instrText>
          </w:r>
          <w:r>
            <w:fldChar w:fldCharType="separate"/>
          </w:r>
          <w:r>
            <w:rPr>
              <w:rFonts w:hint="eastAsia" w:ascii="仿宋" w:hAnsi="仿宋" w:eastAsia="仿宋" w:cs="仿宋"/>
              <w:szCs w:val="21"/>
            </w:rPr>
            <w:t>4. 投标</w:t>
          </w:r>
          <w:r>
            <w:tab/>
          </w:r>
          <w:r>
            <w:fldChar w:fldCharType="begin"/>
          </w:r>
          <w:r>
            <w:instrText xml:space="preserve"> PAGEREF _Toc30207 \h </w:instrText>
          </w:r>
          <w:r>
            <w:fldChar w:fldCharType="separate"/>
          </w:r>
          <w:r>
            <w:t>12</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"_Toc28812" </w:instrText>
          </w:r>
          <w:r>
            <w:fldChar w:fldCharType="separate"/>
          </w:r>
          <w:r>
            <w:rPr>
              <w:rFonts w:hint="eastAsia" w:ascii="仿宋" w:hAnsi="仿宋" w:eastAsia="仿宋" w:cs="仿宋"/>
              <w:szCs w:val="21"/>
            </w:rPr>
            <w:t>5. 开标程序（采用远程不见面方式）</w:t>
          </w:r>
          <w:r>
            <w:tab/>
          </w:r>
          <w:r>
            <w:fldChar w:fldCharType="begin"/>
          </w:r>
          <w:r>
            <w:instrText xml:space="preserve"> PAGEREF _Toc28812 \h </w:instrText>
          </w:r>
          <w:r>
            <w:fldChar w:fldCharType="separate"/>
          </w:r>
          <w:r>
            <w:t>13</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"_Toc10607" </w:instrText>
          </w:r>
          <w:r>
            <w:fldChar w:fldCharType="separate"/>
          </w:r>
          <w:r>
            <w:rPr>
              <w:rFonts w:hint="eastAsia" w:ascii="仿宋" w:hAnsi="仿宋" w:eastAsia="仿宋" w:cs="仿宋"/>
              <w:szCs w:val="21"/>
            </w:rPr>
            <w:t>6. 评标</w:t>
          </w:r>
          <w:r>
            <w:tab/>
          </w:r>
          <w:r>
            <w:fldChar w:fldCharType="begin"/>
          </w:r>
          <w:r>
            <w:instrText xml:space="preserve"> PAGEREF _Toc10607 \h </w:instrText>
          </w:r>
          <w:r>
            <w:fldChar w:fldCharType="separate"/>
          </w:r>
          <w:r>
            <w:t>14</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"_Toc10244" </w:instrText>
          </w:r>
          <w:r>
            <w:fldChar w:fldCharType="separate"/>
          </w:r>
          <w:r>
            <w:rPr>
              <w:rFonts w:hint="eastAsia" w:ascii="仿宋" w:hAnsi="仿宋" w:eastAsia="仿宋" w:cs="仿宋"/>
              <w:szCs w:val="21"/>
            </w:rPr>
            <w:t>7. 合同授予</w:t>
          </w:r>
          <w:r>
            <w:tab/>
          </w:r>
          <w:r>
            <w:fldChar w:fldCharType="begin"/>
          </w:r>
          <w:r>
            <w:instrText xml:space="preserve"> PAGEREF _Toc10244 \h </w:instrText>
          </w:r>
          <w:r>
            <w:fldChar w:fldCharType="separate"/>
          </w:r>
          <w:r>
            <w:t>14</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"_Toc8645" </w:instrText>
          </w:r>
          <w:r>
            <w:fldChar w:fldCharType="separate"/>
          </w:r>
          <w:r>
            <w:rPr>
              <w:rFonts w:hint="eastAsia" w:ascii="仿宋" w:hAnsi="仿宋" w:eastAsia="仿宋" w:cs="仿宋"/>
              <w:szCs w:val="21"/>
            </w:rPr>
            <w:t>8. 重新招标和不再招标</w:t>
          </w:r>
          <w:r>
            <w:tab/>
          </w:r>
          <w:r>
            <w:fldChar w:fldCharType="begin"/>
          </w:r>
          <w:r>
            <w:instrText xml:space="preserve"> PAGEREF _Toc8645 \h </w:instrText>
          </w:r>
          <w:r>
            <w:fldChar w:fldCharType="separate"/>
          </w:r>
          <w:r>
            <w:t>15</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"_Toc14" </w:instrText>
          </w:r>
          <w:r>
            <w:fldChar w:fldCharType="separate"/>
          </w:r>
          <w:r>
            <w:rPr>
              <w:rFonts w:hint="eastAsia" w:ascii="仿宋" w:hAnsi="仿宋" w:eastAsia="仿宋" w:cs="仿宋"/>
              <w:szCs w:val="21"/>
            </w:rPr>
            <w:t>9. 纪律和监督</w:t>
          </w:r>
          <w:r>
            <w:tab/>
          </w:r>
          <w:r>
            <w:fldChar w:fldCharType="begin"/>
          </w:r>
          <w:r>
            <w:instrText xml:space="preserve"> PAGEREF _Toc14 \h </w:instrText>
          </w:r>
          <w:r>
            <w:fldChar w:fldCharType="separate"/>
          </w:r>
          <w:r>
            <w:t>16</w:t>
          </w:r>
          <w:r>
            <w:fldChar w:fldCharType="end"/>
          </w:r>
          <w:r>
            <w:fldChar w:fldCharType="end"/>
          </w:r>
        </w:p>
        <w:p>
          <w:pPr>
            <w:pStyle w:val="21"/>
            <w:tabs>
              <w:tab w:val="right" w:leader="dot" w:pos="8901"/>
              <w:tab w:val="clear" w:pos="8303"/>
            </w:tabs>
          </w:pPr>
          <w:r>
            <w:fldChar w:fldCharType="begin"/>
          </w:r>
          <w:r>
            <w:instrText xml:space="preserve"> HYPERLINK \l "_Toc7603" </w:instrText>
          </w:r>
          <w:r>
            <w:fldChar w:fldCharType="separate"/>
          </w:r>
          <w:r>
            <w:rPr>
              <w:rFonts w:hint="eastAsia" w:ascii="仿宋" w:hAnsi="仿宋" w:eastAsia="仿宋" w:cs="仿宋"/>
              <w:szCs w:val="32"/>
            </w:rPr>
            <w:t>第三章 评标办法</w:t>
          </w:r>
          <w:r>
            <w:tab/>
          </w:r>
          <w:r>
            <w:fldChar w:fldCharType="begin"/>
          </w:r>
          <w:r>
            <w:instrText xml:space="preserve"> PAGEREF _Toc7603 \h </w:instrText>
          </w:r>
          <w:r>
            <w:fldChar w:fldCharType="separate"/>
          </w:r>
          <w:r>
            <w:t>17</w:t>
          </w:r>
          <w:r>
            <w:fldChar w:fldCharType="end"/>
          </w:r>
          <w:r>
            <w:fldChar w:fldCharType="end"/>
          </w:r>
        </w:p>
        <w:p>
          <w:pPr>
            <w:pStyle w:val="21"/>
            <w:tabs>
              <w:tab w:val="right" w:leader="dot" w:pos="8901"/>
              <w:tab w:val="clear" w:pos="8303"/>
            </w:tabs>
          </w:pPr>
          <w:r>
            <w:fldChar w:fldCharType="begin"/>
          </w:r>
          <w:r>
            <w:instrText xml:space="preserve"> HYPERLINK \l "_Toc31820" </w:instrText>
          </w:r>
          <w:r>
            <w:fldChar w:fldCharType="separate"/>
          </w:r>
          <w:r>
            <w:rPr>
              <w:rFonts w:hint="eastAsia" w:ascii="仿宋" w:hAnsi="仿宋" w:eastAsia="仿宋" w:cs="仿宋"/>
              <w:bCs/>
              <w:kern w:val="44"/>
              <w:szCs w:val="32"/>
            </w:rPr>
            <w:t>第四章 合同（仅供参考）</w:t>
          </w:r>
          <w:r>
            <w:tab/>
          </w:r>
          <w:r>
            <w:fldChar w:fldCharType="begin"/>
          </w:r>
          <w:r>
            <w:instrText xml:space="preserve"> PAGEREF _Toc31820 \h </w:instrText>
          </w:r>
          <w:r>
            <w:fldChar w:fldCharType="separate"/>
          </w:r>
          <w:r>
            <w:t>24</w:t>
          </w:r>
          <w:r>
            <w:fldChar w:fldCharType="end"/>
          </w:r>
          <w:r>
            <w:fldChar w:fldCharType="end"/>
          </w:r>
        </w:p>
        <w:p>
          <w:pPr>
            <w:pStyle w:val="23"/>
            <w:tabs>
              <w:tab w:val="right" w:leader="dot" w:pos="8901"/>
              <w:tab w:val="clear" w:pos="8834"/>
            </w:tabs>
          </w:pPr>
          <w:r>
            <w:fldChar w:fldCharType="begin"/>
          </w:r>
          <w:r>
            <w:instrText xml:space="preserve"> HYPERLINK \l "_Toc7384" </w:instrText>
          </w:r>
          <w:r>
            <w:fldChar w:fldCharType="separate"/>
          </w:r>
          <w:r>
            <w:rPr>
              <w:rFonts w:hint="eastAsia" w:ascii="仿宋" w:hAnsi="仿宋" w:eastAsia="仿宋" w:cs="仿宋"/>
              <w:bCs/>
            </w:rPr>
            <w:t>第五章 投标文件格式</w:t>
          </w:r>
          <w:r>
            <w:tab/>
          </w:r>
          <w:r>
            <w:fldChar w:fldCharType="begin"/>
          </w:r>
          <w:r>
            <w:instrText xml:space="preserve"> PAGEREF _Toc7384 \h </w:instrText>
          </w:r>
          <w:r>
            <w:fldChar w:fldCharType="separate"/>
          </w:r>
          <w:r>
            <w:t>27</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"_Toc9437" </w:instrText>
          </w:r>
          <w:r>
            <w:fldChar w:fldCharType="separate"/>
          </w:r>
          <w:r>
            <w:rPr>
              <w:rFonts w:hint="eastAsia" w:ascii="仿宋" w:hAnsi="仿宋" w:eastAsia="仿宋" w:cs="仿宋"/>
              <w:bCs/>
              <w:szCs w:val="24"/>
            </w:rPr>
            <w:t>投标声明书</w:t>
          </w:r>
          <w:r>
            <w:tab/>
          </w:r>
          <w:r>
            <w:fldChar w:fldCharType="begin"/>
          </w:r>
          <w:r>
            <w:instrText xml:space="preserve"> PAGEREF _Toc9437 \h </w:instrText>
          </w:r>
          <w:r>
            <w:fldChar w:fldCharType="separate"/>
          </w:r>
          <w:r>
            <w:t>27</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"_Toc13251" </w:instrText>
          </w:r>
          <w:r>
            <w:fldChar w:fldCharType="separate"/>
          </w:r>
          <w:r>
            <w:rPr>
              <w:rFonts w:hint="eastAsia" w:ascii="仿宋" w:hAnsi="仿宋" w:eastAsia="仿宋" w:cs="仿宋"/>
              <w:bCs/>
              <w:szCs w:val="24"/>
            </w:rPr>
            <w:t>企业基本情况表</w:t>
          </w:r>
          <w:r>
            <w:tab/>
          </w:r>
          <w:r>
            <w:fldChar w:fldCharType="begin"/>
          </w:r>
          <w:r>
            <w:instrText xml:space="preserve"> PAGEREF _Toc13251 \h </w:instrText>
          </w:r>
          <w:r>
            <w:fldChar w:fldCharType="separate"/>
          </w:r>
          <w:r>
            <w:t>28</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"_Toc9820" </w:instrText>
          </w:r>
          <w:r>
            <w:fldChar w:fldCharType="separate"/>
          </w:r>
          <w:r>
            <w:rPr>
              <w:rFonts w:hint="eastAsia" w:ascii="仿宋" w:hAnsi="仿宋" w:eastAsia="仿宋" w:cs="仿宋"/>
              <w:bCs/>
              <w:szCs w:val="24"/>
            </w:rPr>
            <w:t>法定代表人身份证明书</w:t>
          </w:r>
          <w:r>
            <w:tab/>
          </w:r>
          <w:r>
            <w:fldChar w:fldCharType="begin"/>
          </w:r>
          <w:r>
            <w:instrText xml:space="preserve"> PAGEREF _Toc9820 \h </w:instrText>
          </w:r>
          <w:r>
            <w:fldChar w:fldCharType="separate"/>
          </w:r>
          <w:r>
            <w:t>29</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"_Toc29731" </w:instrText>
          </w:r>
          <w:r>
            <w:fldChar w:fldCharType="separate"/>
          </w:r>
          <w:r>
            <w:rPr>
              <w:rFonts w:hint="eastAsia" w:ascii="仿宋" w:hAnsi="仿宋" w:eastAsia="仿宋" w:cs="仿宋"/>
              <w:bCs/>
              <w:szCs w:val="24"/>
            </w:rPr>
            <w:t>投标代表授权委托书</w:t>
          </w:r>
          <w:r>
            <w:tab/>
          </w:r>
          <w:r>
            <w:fldChar w:fldCharType="begin"/>
          </w:r>
          <w:r>
            <w:instrText xml:space="preserve"> PAGEREF _Toc29731 \h </w:instrText>
          </w:r>
          <w:r>
            <w:fldChar w:fldCharType="separate"/>
          </w:r>
          <w:r>
            <w:t>30</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"_Toc20426" </w:instrText>
          </w:r>
          <w:r>
            <w:fldChar w:fldCharType="separate"/>
          </w:r>
          <w:r>
            <w:rPr>
              <w:rFonts w:hint="eastAsia" w:ascii="仿宋" w:hAnsi="仿宋" w:eastAsia="仿宋" w:cs="仿宋"/>
              <w:bCs/>
              <w:szCs w:val="24"/>
            </w:rPr>
            <w:t>湖州市政府投资建设项目投标人廉洁守信承诺书</w:t>
          </w:r>
          <w:r>
            <w:tab/>
          </w:r>
          <w:r>
            <w:fldChar w:fldCharType="begin"/>
          </w:r>
          <w:r>
            <w:instrText xml:space="preserve"> PAGEREF _Toc20426 \h </w:instrText>
          </w:r>
          <w:r>
            <w:fldChar w:fldCharType="separate"/>
          </w:r>
          <w:r>
            <w:t>31</w:t>
          </w:r>
          <w:r>
            <w:fldChar w:fldCharType="end"/>
          </w:r>
          <w:r>
            <w:fldChar w:fldCharType="end"/>
          </w:r>
        </w:p>
        <w:p>
          <w:pPr>
            <w:pStyle w:val="23"/>
            <w:tabs>
              <w:tab w:val="right" w:leader="dot" w:pos="8901"/>
              <w:tab w:val="clear" w:pos="8834"/>
            </w:tabs>
          </w:pPr>
          <w:r>
            <w:rPr>
              <w:rFonts w:hint="eastAsia"/>
            </w:rPr>
            <w:t xml:space="preserve">   </w:t>
          </w:r>
          <w:r>
            <w:fldChar w:fldCharType="begin"/>
          </w:r>
          <w:r>
            <w:instrText xml:space="preserve"> HYPERLINK \l "_Toc3284" </w:instrText>
          </w:r>
          <w:r>
            <w:fldChar w:fldCharType="separate"/>
          </w:r>
          <w:r>
            <w:rPr>
              <w:rFonts w:hint="eastAsia" w:ascii="仿宋" w:hAnsi="仿宋" w:eastAsia="仿宋" w:cs="仿宋"/>
              <w:szCs w:val="24"/>
            </w:rPr>
            <w:t>投标人一般情况表</w:t>
          </w:r>
          <w:r>
            <w:tab/>
          </w:r>
          <w:r>
            <w:fldChar w:fldCharType="begin"/>
          </w:r>
          <w:r>
            <w:instrText xml:space="preserve"> PAGEREF _Toc3284 \h </w:instrText>
          </w:r>
          <w:r>
            <w:fldChar w:fldCharType="separate"/>
          </w:r>
          <w:r>
            <w:t>32</w:t>
          </w:r>
          <w:r>
            <w:fldChar w:fldCharType="end"/>
          </w:r>
          <w:r>
            <w:fldChar w:fldCharType="end"/>
          </w:r>
        </w:p>
        <w:p>
          <w:pPr>
            <w:pStyle w:val="21"/>
            <w:tabs>
              <w:tab w:val="right" w:leader="dot" w:pos="8901"/>
              <w:tab w:val="clear" w:pos="8303"/>
            </w:tabs>
          </w:pPr>
          <w:r>
            <w:fldChar w:fldCharType="begin"/>
          </w:r>
          <w:r>
            <w:instrText xml:space="preserve"> HYPERLINK \l "_Toc18664" </w:instrText>
          </w:r>
          <w:r>
            <w:fldChar w:fldCharType="separate"/>
          </w:r>
          <w:r>
            <w:rPr>
              <w:rFonts w:hint="eastAsia" w:ascii="仿宋" w:hAnsi="仿宋" w:eastAsia="仿宋" w:cs="仿宋"/>
              <w:bCs/>
              <w:szCs w:val="28"/>
            </w:rPr>
            <w:t>第六章 招标人需求</w:t>
          </w:r>
          <w:r>
            <w:tab/>
          </w:r>
          <w:r>
            <w:fldChar w:fldCharType="end"/>
          </w:r>
          <w:r>
            <w:rPr>
              <w:rFonts w:hint="eastAsia"/>
            </w:rPr>
            <w:t>41</w:t>
          </w:r>
        </w:p>
        <w:p>
          <w:r>
            <w:fldChar w:fldCharType="end"/>
          </w:r>
        </w:p>
      </w:sdtContent>
    </w:sdt>
    <w:p>
      <w:pPr>
        <w:pStyle w:val="4"/>
        <w:spacing w:before="100" w:after="100" w:line="480" w:lineRule="exact"/>
        <w:jc w:val="center"/>
        <w:rPr>
          <w:rFonts w:ascii="仿宋" w:hAnsi="仿宋" w:eastAsia="仿宋" w:cs="仿宋"/>
          <w:sz w:val="32"/>
          <w:szCs w:val="32"/>
        </w:rPr>
        <w:sectPr>
          <w:headerReference r:id="rId4" w:type="first"/>
          <w:footerReference r:id="rId7" w:type="first"/>
          <w:headerReference r:id="rId3" w:type="default"/>
          <w:footerReference r:id="rId5" w:type="default"/>
          <w:footerReference r:id="rId6" w:type="even"/>
          <w:pgSz w:w="11906" w:h="16838"/>
          <w:pgMar w:top="1474" w:right="1474" w:bottom="1088" w:left="1531" w:header="851" w:footer="850" w:gutter="0"/>
          <w:pgNumType w:start="1"/>
          <w:cols w:space="720" w:num="1"/>
          <w:titlePg/>
          <w:docGrid w:linePitch="312" w:charSpace="0"/>
        </w:sectPr>
      </w:pPr>
      <w:bookmarkStart w:id="3" w:name="_Toc14884"/>
    </w:p>
    <w:p>
      <w:pPr>
        <w:pStyle w:val="4"/>
        <w:spacing w:before="100" w:after="100" w:line="480" w:lineRule="exact"/>
        <w:jc w:val="center"/>
        <w:rPr>
          <w:rFonts w:ascii="仿宋" w:hAnsi="仿宋" w:eastAsia="仿宋" w:cs="仿宋"/>
          <w:sz w:val="24"/>
          <w:szCs w:val="24"/>
        </w:rPr>
      </w:pPr>
      <w:r>
        <w:rPr>
          <w:rFonts w:hint="eastAsia" w:ascii="仿宋" w:hAnsi="仿宋" w:eastAsia="仿宋" w:cs="仿宋"/>
          <w:sz w:val="32"/>
          <w:szCs w:val="32"/>
        </w:rPr>
        <w:t>第一章  招标公告</w:t>
      </w:r>
      <w:bookmarkEnd w:id="0"/>
      <w:bookmarkEnd w:id="1"/>
      <w:bookmarkEnd w:id="3"/>
    </w:p>
    <w:p>
      <w:pPr>
        <w:snapToGrid w:val="0"/>
        <w:spacing w:before="120" w:beforeLines="50" w:after="120" w:afterLines="50" w:line="480" w:lineRule="exact"/>
        <w:jc w:val="center"/>
        <w:rPr>
          <w:rFonts w:ascii="仿宋" w:hAnsi="仿宋" w:eastAsia="仿宋" w:cs="仿宋"/>
          <w:b/>
          <w:sz w:val="24"/>
          <w:szCs w:val="24"/>
        </w:rPr>
      </w:pPr>
      <w:bookmarkStart w:id="4" w:name="_Toc339983339"/>
      <w:bookmarkStart w:id="5" w:name="_Toc350173207"/>
      <w:bookmarkStart w:id="6" w:name="_Toc343626993"/>
      <w:bookmarkStart w:id="7" w:name="_Toc350184863"/>
      <w:bookmarkStart w:id="8" w:name="_Toc343798207"/>
      <w:bookmarkStart w:id="9" w:name="_Toc392608298"/>
      <w:bookmarkStart w:id="10" w:name="_Toc420599049"/>
      <w:bookmarkStart w:id="11" w:name="_Toc328657508"/>
      <w:bookmarkStart w:id="12" w:name="_Toc371531162"/>
      <w:bookmarkStart w:id="13" w:name="_Toc350451053"/>
      <w:bookmarkStart w:id="14" w:name="_Toc370764109"/>
      <w:bookmarkStart w:id="15" w:name="_Toc393039762"/>
      <w:bookmarkStart w:id="16" w:name="_Toc371530980"/>
      <w:bookmarkStart w:id="17" w:name="_Toc408427491"/>
      <w:bookmarkStart w:id="18" w:name="_Toc422086865"/>
      <w:bookmarkStart w:id="19" w:name="_Toc420948968"/>
      <w:r>
        <w:rPr>
          <w:rFonts w:hint="eastAsia" w:ascii="仿宋" w:hAnsi="仿宋" w:eastAsia="仿宋" w:cs="仿宋"/>
          <w:b/>
          <w:sz w:val="24"/>
          <w:szCs w:val="24"/>
          <w:lang w:eastAsia="zh-CN"/>
        </w:rPr>
        <w:t>八里店镇安置小区西湖漾家园一期、二期物业管理项目（第二次）</w:t>
      </w:r>
      <w:r>
        <w:rPr>
          <w:rFonts w:hint="eastAsia" w:ascii="仿宋" w:hAnsi="仿宋" w:eastAsia="仿宋" w:cs="仿宋"/>
          <w:b/>
          <w:sz w:val="24"/>
          <w:szCs w:val="24"/>
        </w:rPr>
        <w:t>招标公告</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numPr>
          <w:ilvl w:val="0"/>
          <w:numId w:val="2"/>
        </w:numPr>
        <w:snapToGrid w:val="0"/>
        <w:spacing w:line="480" w:lineRule="exact"/>
        <w:rPr>
          <w:rFonts w:ascii="仿宋" w:hAnsi="仿宋" w:eastAsia="仿宋" w:cs="仿宋"/>
          <w:b/>
          <w:snapToGrid w:val="0"/>
          <w:sz w:val="22"/>
          <w:szCs w:val="22"/>
        </w:rPr>
      </w:pPr>
      <w:r>
        <w:rPr>
          <w:rFonts w:hint="eastAsia" w:ascii="仿宋" w:hAnsi="仿宋" w:eastAsia="仿宋" w:cs="仿宋"/>
          <w:b/>
          <w:snapToGrid w:val="0"/>
          <w:sz w:val="22"/>
          <w:szCs w:val="22"/>
        </w:rPr>
        <w:t>招标条件</w:t>
      </w:r>
    </w:p>
    <w:p>
      <w:pPr>
        <w:snapToGrid w:val="0"/>
        <w:spacing w:line="48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本项目为全流程电子招投标服务类项目【采用远程不见面开标方式】</w:t>
      </w:r>
    </w:p>
    <w:p>
      <w:pPr>
        <w:shd w:val="solid" w:color="FFFFFF" w:fill="auto"/>
        <w:snapToGrid w:val="0"/>
        <w:spacing w:line="480" w:lineRule="exact"/>
        <w:ind w:firstLine="440" w:firstLineChars="200"/>
        <w:jc w:val="left"/>
        <w:rPr>
          <w:rFonts w:ascii="仿宋" w:hAnsi="仿宋" w:eastAsia="仿宋" w:cs="仿宋"/>
          <w:snapToGrid w:val="0"/>
          <w:color w:val="000000"/>
          <w:sz w:val="22"/>
          <w:szCs w:val="22"/>
        </w:rPr>
      </w:pPr>
      <w:r>
        <w:rPr>
          <w:rFonts w:hint="eastAsia" w:ascii="仿宋" w:hAnsi="仿宋" w:eastAsia="仿宋" w:cs="仿宋"/>
          <w:snapToGrid w:val="0"/>
          <w:sz w:val="22"/>
          <w:szCs w:val="22"/>
        </w:rPr>
        <w:t>本招标项目</w:t>
      </w:r>
      <w:r>
        <w:rPr>
          <w:rFonts w:hint="eastAsia" w:ascii="仿宋" w:hAnsi="仿宋" w:eastAsia="仿宋" w:cs="仿宋"/>
          <w:snapToGrid w:val="0"/>
          <w:sz w:val="22"/>
          <w:szCs w:val="22"/>
          <w:lang w:eastAsia="zh-CN"/>
        </w:rPr>
        <w:t>八里店镇安置小区西湖漾家园一期、二期物业管理项目（第二次）</w:t>
      </w:r>
      <w:r>
        <w:rPr>
          <w:rFonts w:hint="eastAsia" w:ascii="仿宋" w:hAnsi="仿宋" w:eastAsia="仿宋" w:cs="仿宋"/>
          <w:snapToGrid w:val="0"/>
          <w:sz w:val="22"/>
          <w:szCs w:val="22"/>
        </w:rPr>
        <w:t>已批准建设，</w:t>
      </w:r>
      <w:r>
        <w:rPr>
          <w:rFonts w:hint="eastAsia" w:ascii="仿宋" w:hAnsi="仿宋" w:eastAsia="仿宋" w:cs="仿宋"/>
          <w:snapToGrid w:val="0"/>
          <w:color w:val="000000"/>
          <w:sz w:val="22"/>
          <w:szCs w:val="22"/>
        </w:rPr>
        <w:t>资金来源为</w:t>
      </w:r>
      <w:r>
        <w:rPr>
          <w:rFonts w:hint="eastAsia" w:ascii="仿宋" w:hAnsi="仿宋" w:eastAsia="仿宋" w:cs="仿宋"/>
          <w:snapToGrid w:val="0"/>
          <w:color w:val="000000"/>
          <w:sz w:val="22"/>
          <w:szCs w:val="22"/>
          <w:lang w:eastAsia="zh-CN"/>
        </w:rPr>
        <w:t>自筹</w:t>
      </w:r>
      <w:r>
        <w:rPr>
          <w:rFonts w:hint="eastAsia" w:ascii="仿宋" w:hAnsi="仿宋" w:eastAsia="仿宋" w:cs="仿宋"/>
          <w:snapToGrid w:val="0"/>
          <w:sz w:val="22"/>
          <w:szCs w:val="22"/>
        </w:rPr>
        <w:t>，出资比例为100%。本次招标项目业主为湖州吴兴兴城市政工程有限公司。项目已具备招标条件，现对该项目进行公开招标，</w:t>
      </w:r>
      <w:r>
        <w:rPr>
          <w:rFonts w:hint="eastAsia" w:ascii="仿宋" w:hAnsi="仿宋" w:eastAsia="仿宋" w:cs="仿宋"/>
          <w:snapToGrid w:val="0"/>
          <w:color w:val="000000"/>
          <w:sz w:val="22"/>
          <w:szCs w:val="22"/>
        </w:rPr>
        <w:t>项目招标编号为</w:t>
      </w:r>
      <w:permStart w:id="0" w:edGrp="everyone"/>
      <w:r>
        <w:rPr>
          <w:rFonts w:hint="eastAsia" w:ascii="仿宋" w:hAnsi="仿宋" w:eastAsia="仿宋" w:cs="仿宋"/>
          <w:snapToGrid w:val="0"/>
          <w:color w:val="000000"/>
          <w:sz w:val="22"/>
          <w:szCs w:val="22"/>
        </w:rPr>
        <w:t xml:space="preserve">  </w:t>
      </w:r>
      <w:r>
        <w:rPr>
          <w:rFonts w:hint="eastAsia" w:ascii="仿宋" w:hAnsi="仿宋" w:eastAsia="仿宋" w:cs="仿宋"/>
          <w:snapToGrid w:val="0"/>
          <w:color w:val="000000"/>
          <w:sz w:val="22"/>
          <w:szCs w:val="22"/>
          <w:lang w:val="en-US" w:eastAsia="zh-CN"/>
        </w:rPr>
        <w:t>FL-2023-005(JS)</w:t>
      </w:r>
      <w:r>
        <w:rPr>
          <w:rFonts w:hint="eastAsia" w:ascii="仿宋" w:hAnsi="仿宋" w:eastAsia="仿宋" w:cs="仿宋"/>
          <w:snapToGrid w:val="0"/>
          <w:color w:val="000000"/>
          <w:sz w:val="22"/>
          <w:szCs w:val="22"/>
        </w:rPr>
        <w:t xml:space="preserve"> </w:t>
      </w:r>
      <w:permEnd w:id="0"/>
      <w:r>
        <w:rPr>
          <w:rFonts w:hint="eastAsia" w:ascii="仿宋" w:hAnsi="仿宋" w:eastAsia="仿宋" w:cs="仿宋"/>
          <w:snapToGrid w:val="0"/>
          <w:color w:val="000000"/>
          <w:sz w:val="22"/>
          <w:szCs w:val="22"/>
        </w:rPr>
        <w:t xml:space="preserve"> 。 </w:t>
      </w:r>
    </w:p>
    <w:p>
      <w:pPr>
        <w:snapToGrid w:val="0"/>
        <w:spacing w:line="480" w:lineRule="exact"/>
        <w:rPr>
          <w:rFonts w:ascii="仿宋" w:hAnsi="仿宋" w:eastAsia="仿宋" w:cs="仿宋"/>
          <w:b/>
          <w:snapToGrid w:val="0"/>
          <w:sz w:val="22"/>
          <w:szCs w:val="22"/>
        </w:rPr>
      </w:pPr>
      <w:r>
        <w:rPr>
          <w:rFonts w:hint="eastAsia" w:ascii="仿宋" w:hAnsi="仿宋" w:eastAsia="仿宋" w:cs="仿宋"/>
          <w:b/>
          <w:snapToGrid w:val="0"/>
          <w:sz w:val="22"/>
          <w:szCs w:val="22"/>
        </w:rPr>
        <w:t>2. 招标范围</w:t>
      </w:r>
    </w:p>
    <w:p>
      <w:pPr>
        <w:shd w:val="solid" w:color="FFFFFF" w:fill="auto"/>
        <w:snapToGrid w:val="0"/>
        <w:spacing w:line="480" w:lineRule="exact"/>
        <w:ind w:firstLine="440" w:firstLineChars="200"/>
        <w:jc w:val="left"/>
        <w:rPr>
          <w:rFonts w:ascii="仿宋" w:hAnsi="仿宋" w:eastAsia="仿宋" w:cs="仿宋"/>
          <w:snapToGrid w:val="0"/>
          <w:sz w:val="22"/>
          <w:szCs w:val="22"/>
        </w:rPr>
      </w:pPr>
      <w:r>
        <w:rPr>
          <w:rFonts w:hint="eastAsia" w:ascii="仿宋" w:hAnsi="仿宋" w:eastAsia="仿宋" w:cs="仿宋"/>
          <w:snapToGrid w:val="0"/>
          <w:sz w:val="22"/>
          <w:szCs w:val="22"/>
        </w:rPr>
        <w:t>2.1 项目概况：本项目预算价约为</w:t>
      </w:r>
      <w:r>
        <w:rPr>
          <w:rFonts w:hint="eastAsia" w:ascii="仿宋" w:hAnsi="仿宋" w:eastAsia="仿宋" w:cs="仿宋"/>
          <w:b/>
          <w:snapToGrid w:val="0"/>
          <w:sz w:val="22"/>
          <w:szCs w:val="22"/>
        </w:rPr>
        <w:t>792万</w:t>
      </w:r>
      <w:r>
        <w:rPr>
          <w:rFonts w:hint="eastAsia" w:ascii="仿宋" w:hAnsi="仿宋" w:eastAsia="仿宋" w:cs="仿宋"/>
          <w:snapToGrid w:val="0"/>
          <w:sz w:val="22"/>
          <w:szCs w:val="22"/>
        </w:rPr>
        <w:t xml:space="preserve">元。    </w:t>
      </w:r>
    </w:p>
    <w:p>
      <w:pPr>
        <w:shd w:val="solid" w:color="FFFFFF" w:fill="auto"/>
        <w:snapToGrid w:val="0"/>
        <w:spacing w:line="480" w:lineRule="exact"/>
        <w:ind w:firstLine="442" w:firstLineChars="200"/>
        <w:jc w:val="left"/>
        <w:rPr>
          <w:rFonts w:ascii="仿宋" w:hAnsi="仿宋" w:eastAsia="仿宋" w:cs="仿宋"/>
          <w:b/>
          <w:bCs/>
          <w:snapToGrid w:val="0"/>
          <w:color w:val="000000"/>
          <w:sz w:val="22"/>
          <w:szCs w:val="22"/>
        </w:rPr>
      </w:pPr>
      <w:r>
        <w:rPr>
          <w:rFonts w:hint="eastAsia" w:ascii="仿宋" w:hAnsi="仿宋" w:eastAsia="仿宋" w:cs="仿宋"/>
          <w:b/>
          <w:bCs/>
          <w:snapToGrid w:val="0"/>
          <w:color w:val="000000"/>
          <w:sz w:val="22"/>
          <w:szCs w:val="22"/>
        </w:rPr>
        <w:t>2.2 招标项目描述</w:t>
      </w:r>
    </w:p>
    <w:p>
      <w:pPr>
        <w:snapToGrid w:val="0"/>
        <w:jc w:val="left"/>
        <w:rPr>
          <w:rFonts w:ascii="宋体" w:hAnsi="宋体" w:cs="Arial"/>
          <w:b/>
          <w:bCs/>
          <w:color w:val="000000"/>
          <w:sz w:val="24"/>
        </w:rPr>
      </w:pPr>
    </w:p>
    <w:tbl>
      <w:tblPr>
        <w:tblStyle w:val="25"/>
        <w:tblW w:w="94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16"/>
        <w:gridCol w:w="1284"/>
        <w:gridCol w:w="1284"/>
        <w:gridCol w:w="2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标项名称</w:t>
            </w:r>
          </w:p>
        </w:tc>
        <w:tc>
          <w:tcPr>
            <w:tcW w:w="1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数量</w:t>
            </w:r>
          </w:p>
        </w:tc>
        <w:tc>
          <w:tcPr>
            <w:tcW w:w="1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服务期</w:t>
            </w: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投资预算（万元）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4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西湖漾家园一期、二期物业管理</w:t>
            </w:r>
          </w:p>
        </w:tc>
        <w:tc>
          <w:tcPr>
            <w:tcW w:w="1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一项</w:t>
            </w:r>
          </w:p>
        </w:tc>
        <w:tc>
          <w:tcPr>
            <w:tcW w:w="12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两年</w:t>
            </w:r>
          </w:p>
        </w:tc>
        <w:tc>
          <w:tcPr>
            <w:tcW w:w="20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792万元</w:t>
            </w:r>
          </w:p>
          <w:p>
            <w:pPr>
              <w:snapToGrid w:val="0"/>
              <w:jc w:val="center"/>
              <w:rPr>
                <w:rFonts w:ascii="仿宋" w:hAnsi="仿宋" w:eastAsia="仿宋" w:cs="仿宋"/>
                <w:bCs/>
                <w:color w:val="000000"/>
                <w:sz w:val="22"/>
                <w:szCs w:val="22"/>
              </w:rPr>
            </w:pPr>
            <w:r>
              <w:rPr>
                <w:rFonts w:hint="eastAsia" w:ascii="仿宋" w:hAnsi="仿宋" w:eastAsia="仿宋" w:cs="仿宋"/>
                <w:bCs/>
                <w:color w:val="000000"/>
                <w:sz w:val="22"/>
                <w:szCs w:val="22"/>
              </w:rPr>
              <w:t>（396万元/年）</w:t>
            </w:r>
          </w:p>
        </w:tc>
      </w:tr>
    </w:tbl>
    <w:p>
      <w:pPr>
        <w:snapToGrid w:val="0"/>
        <w:jc w:val="center"/>
        <w:rPr>
          <w:rFonts w:ascii="宋体" w:hAnsi="宋体"/>
          <w:color w:val="000000"/>
          <w:sz w:val="24"/>
        </w:rPr>
      </w:pPr>
    </w:p>
    <w:p>
      <w:pPr>
        <w:snapToGrid w:val="0"/>
        <w:spacing w:line="480" w:lineRule="exact"/>
        <w:rPr>
          <w:rFonts w:ascii="仿宋" w:hAnsi="仿宋" w:eastAsia="仿宋" w:cs="仿宋"/>
          <w:b/>
          <w:snapToGrid w:val="0"/>
          <w:sz w:val="22"/>
          <w:szCs w:val="22"/>
        </w:rPr>
      </w:pPr>
      <w:r>
        <w:rPr>
          <w:rFonts w:hint="eastAsia" w:ascii="仿宋" w:hAnsi="仿宋" w:eastAsia="仿宋" w:cs="仿宋"/>
          <w:b/>
          <w:snapToGrid w:val="0"/>
          <w:sz w:val="22"/>
          <w:szCs w:val="22"/>
        </w:rPr>
        <w:t>3. 投标人资格要求</w:t>
      </w:r>
    </w:p>
    <w:p>
      <w:pPr>
        <w:spacing w:line="480" w:lineRule="exact"/>
        <w:ind w:firstLine="442" w:firstLineChars="200"/>
        <w:rPr>
          <w:rFonts w:ascii="仿宋" w:hAnsi="仿宋" w:eastAsia="仿宋" w:cs="仿宋"/>
          <w:b/>
          <w:snapToGrid w:val="0"/>
          <w:sz w:val="22"/>
          <w:szCs w:val="22"/>
        </w:rPr>
      </w:pPr>
      <w:r>
        <w:rPr>
          <w:rFonts w:hint="eastAsia" w:ascii="仿宋" w:hAnsi="仿宋" w:eastAsia="仿宋" w:cs="仿宋"/>
          <w:b/>
          <w:snapToGrid w:val="0"/>
          <w:sz w:val="22"/>
          <w:szCs w:val="22"/>
        </w:rPr>
        <w:t>3.1 投标人具备以下条件：</w:t>
      </w:r>
      <w:r>
        <w:rPr>
          <w:rFonts w:hint="eastAsia" w:ascii="仿宋" w:hAnsi="仿宋" w:eastAsia="仿宋" w:cs="仿宋"/>
          <w:b/>
          <w:bCs/>
          <w:snapToGrid w:val="0"/>
          <w:sz w:val="22"/>
          <w:szCs w:val="22"/>
          <w:u w:val="single"/>
        </w:rPr>
        <w:t xml:space="preserve"> 具备独</w:t>
      </w:r>
      <w:r>
        <w:rPr>
          <w:rFonts w:hint="eastAsia" w:ascii="仿宋" w:hAnsi="仿宋" w:eastAsia="仿宋" w:cs="仿宋"/>
          <w:b/>
          <w:snapToGrid w:val="0"/>
          <w:sz w:val="22"/>
          <w:szCs w:val="22"/>
          <w:u w:val="single"/>
        </w:rPr>
        <w:t>立法人且营业执照经营范围内包含物业管理的经营内容</w:t>
      </w:r>
      <w:r>
        <w:rPr>
          <w:rFonts w:hint="eastAsia" w:ascii="仿宋" w:hAnsi="仿宋" w:eastAsia="仿宋" w:cs="仿宋"/>
          <w:b/>
          <w:snapToGrid w:val="0"/>
          <w:sz w:val="22"/>
          <w:szCs w:val="22"/>
        </w:rPr>
        <w:t>。</w:t>
      </w:r>
    </w:p>
    <w:p>
      <w:pPr>
        <w:spacing w:line="480" w:lineRule="exact"/>
        <w:ind w:firstLine="442" w:firstLineChars="200"/>
        <w:rPr>
          <w:rFonts w:ascii="仿宋" w:hAnsi="仿宋" w:eastAsia="仿宋" w:cs="仿宋"/>
          <w:b/>
          <w:snapToGrid w:val="0"/>
          <w:sz w:val="22"/>
          <w:szCs w:val="22"/>
          <w:u w:val="single"/>
        </w:rPr>
      </w:pPr>
      <w:r>
        <w:rPr>
          <w:rFonts w:hint="eastAsia" w:ascii="仿宋" w:hAnsi="仿宋" w:eastAsia="仿宋" w:cs="仿宋"/>
          <w:b/>
          <w:snapToGrid w:val="0"/>
          <w:sz w:val="22"/>
          <w:szCs w:val="22"/>
        </w:rPr>
        <w:t>3.2</w:t>
      </w:r>
      <w:r>
        <w:rPr>
          <w:rFonts w:hint="eastAsia" w:ascii="仿宋" w:hAnsi="仿宋" w:eastAsia="仿宋" w:cs="仿宋"/>
          <w:snapToGrid w:val="0"/>
          <w:sz w:val="22"/>
          <w:szCs w:val="22"/>
        </w:rPr>
        <w:t xml:space="preserve"> </w:t>
      </w:r>
      <w:r>
        <w:rPr>
          <w:rFonts w:hint="eastAsia" w:ascii="仿宋" w:hAnsi="仿宋" w:eastAsia="仿宋" w:cs="仿宋"/>
          <w:b/>
          <w:snapToGrid w:val="0"/>
          <w:sz w:val="22"/>
          <w:szCs w:val="22"/>
        </w:rPr>
        <w:t>其他要求：</w:t>
      </w:r>
      <w:r>
        <w:rPr>
          <w:rFonts w:hint="eastAsia" w:ascii="仿宋" w:hAnsi="仿宋" w:eastAsia="仿宋" w:cs="仿宋"/>
          <w:b/>
          <w:snapToGrid w:val="0"/>
          <w:sz w:val="22"/>
          <w:szCs w:val="22"/>
          <w:u w:val="single"/>
        </w:rPr>
        <w:t>1、本项目采用电子招投标，投标人必须为已经审核入库的湖州市公共资源电子交易平台成员；2、本工程拒绝接受被录入检察机关行贿犯罪档案的投标人，拒绝被有关行政监管部门通报限制投标且在限制期内的投标人；拒绝投标人及其相关人员在工程建设发竞标（招投标）活动中出现串通竞标（投标）、弄虚作假行为，或在成交（标）后履约中出现转包、违法分包行为，或发生与工程建设相关的较大工程质量事故、安全事故受到行政处罚且在处罚有效期内（无有效期的按一年计），招标人拒绝其参加本项目的投标；3、投标人负责人为同一人或者存在控股、管理关系的不同单位，不得同时参加投标。</w:t>
      </w:r>
    </w:p>
    <w:p>
      <w:pPr>
        <w:tabs>
          <w:tab w:val="left" w:pos="10324"/>
        </w:tabs>
        <w:snapToGrid w:val="0"/>
        <w:spacing w:line="480" w:lineRule="exact"/>
        <w:rPr>
          <w:rFonts w:ascii="仿宋" w:hAnsi="仿宋" w:eastAsia="仿宋" w:cs="仿宋"/>
          <w:b/>
          <w:snapToGrid w:val="0"/>
          <w:sz w:val="22"/>
          <w:szCs w:val="22"/>
        </w:rPr>
      </w:pPr>
      <w:r>
        <w:rPr>
          <w:rFonts w:hint="eastAsia" w:ascii="仿宋" w:hAnsi="仿宋" w:eastAsia="仿宋" w:cs="仿宋"/>
          <w:b/>
          <w:snapToGrid w:val="0"/>
          <w:sz w:val="22"/>
          <w:szCs w:val="22"/>
        </w:rPr>
        <w:t>4. 招标文件的获取</w:t>
      </w:r>
    </w:p>
    <w:p>
      <w:pPr>
        <w:pStyle w:val="24"/>
        <w:widowControl w:val="0"/>
        <w:tabs>
          <w:tab w:val="left" w:pos="360"/>
        </w:tabs>
        <w:wordWrap w:val="0"/>
        <w:adjustRightInd w:val="0"/>
        <w:snapToGrid w:val="0"/>
        <w:spacing w:before="0" w:beforeAutospacing="0" w:after="0" w:afterAutospacing="0" w:line="500" w:lineRule="exact"/>
        <w:ind w:firstLine="480" w:firstLineChars="200"/>
        <w:rPr>
          <w:rFonts w:ascii="仿宋" w:hAnsi="仿宋" w:eastAsia="仿宋" w:cs="仿宋"/>
        </w:rPr>
      </w:pPr>
      <w:r>
        <w:rPr>
          <w:rFonts w:hint="eastAsia" w:ascii="仿宋" w:hAnsi="仿宋" w:eastAsia="仿宋" w:cs="仿宋"/>
        </w:rPr>
        <w:t>4.1 已注册用户，请登录湖州市公共资源交易信息网（http://ggzy.huzhou.gov.cn/hzfront/）—“湖州市限额发包平台”—“交易主体登录”，下载获取后缀名为“.HZZF”的招标文件。</w:t>
      </w:r>
    </w:p>
    <w:p>
      <w:pPr>
        <w:pStyle w:val="24"/>
        <w:widowControl w:val="0"/>
        <w:tabs>
          <w:tab w:val="left" w:pos="360"/>
        </w:tabs>
        <w:adjustRightInd w:val="0"/>
        <w:snapToGrid w:val="0"/>
        <w:spacing w:before="0" w:beforeAutospacing="0" w:after="0" w:afterAutospacing="0" w:line="500" w:lineRule="exact"/>
        <w:ind w:firstLine="480" w:firstLineChars="200"/>
        <w:jc w:val="both"/>
        <w:rPr>
          <w:rFonts w:ascii="仿宋" w:hAnsi="仿宋" w:eastAsia="仿宋" w:cs="仿宋"/>
        </w:rPr>
      </w:pPr>
      <w:r>
        <w:rPr>
          <w:rFonts w:hint="eastAsia" w:ascii="仿宋" w:hAnsi="仿宋" w:eastAsia="仿宋" w:cs="仿宋"/>
        </w:rPr>
        <w:t>4.2 未注册用户可通过招标公告中附件下载获取招标文件进行查看咨询。</w:t>
      </w:r>
    </w:p>
    <w:p>
      <w:pPr>
        <w:pStyle w:val="24"/>
        <w:widowControl w:val="0"/>
        <w:tabs>
          <w:tab w:val="left" w:pos="360"/>
        </w:tabs>
        <w:wordWrap w:val="0"/>
        <w:adjustRightInd w:val="0"/>
        <w:snapToGrid w:val="0"/>
        <w:spacing w:before="0" w:beforeAutospacing="0" w:after="0" w:afterAutospacing="0" w:line="400" w:lineRule="exact"/>
        <w:ind w:firstLine="480" w:firstLineChars="200"/>
        <w:jc w:val="both"/>
        <w:rPr>
          <w:rFonts w:ascii="仿宋" w:hAnsi="仿宋" w:eastAsia="仿宋" w:cs="仿宋"/>
        </w:rPr>
      </w:pPr>
      <w:r>
        <w:rPr>
          <w:rFonts w:hint="eastAsia" w:ascii="仿宋" w:hAnsi="仿宋" w:eastAsia="仿宋" w:cs="仿宋"/>
        </w:rPr>
        <w:t>4.3注册咨询、技术服务电话：0572-2220028 ；CA锁办理：http://ggzy.huzhou.gov.cn/HZfront/InfoDetail/?InfoID=be90c8bc-0bd8-4140-a371-a0ba2181479a&amp;CategoryNum=010007</w:t>
      </w:r>
    </w:p>
    <w:p>
      <w:pPr>
        <w:snapToGrid w:val="0"/>
        <w:spacing w:line="400" w:lineRule="exact"/>
        <w:rPr>
          <w:rFonts w:ascii="仿宋" w:hAnsi="仿宋" w:eastAsia="仿宋" w:cs="仿宋"/>
          <w:b/>
          <w:snapToGrid w:val="0"/>
          <w:sz w:val="22"/>
          <w:szCs w:val="22"/>
        </w:rPr>
      </w:pPr>
      <w:r>
        <w:rPr>
          <w:rFonts w:hint="eastAsia" w:ascii="仿宋" w:hAnsi="仿宋" w:eastAsia="仿宋" w:cs="仿宋"/>
          <w:b/>
          <w:snapToGrid w:val="0"/>
          <w:sz w:val="22"/>
          <w:szCs w:val="22"/>
        </w:rPr>
        <w:t>5. 投标文件的递交</w:t>
      </w:r>
    </w:p>
    <w:p>
      <w:pPr>
        <w:pStyle w:val="24"/>
        <w:adjustRightInd w:val="0"/>
        <w:snapToGrid w:val="0"/>
        <w:spacing w:before="0" w:beforeAutospacing="0" w:after="0" w:afterAutospacing="0" w:line="400" w:lineRule="exact"/>
        <w:ind w:left="372" w:leftChars="133"/>
        <w:jc w:val="both"/>
        <w:rPr>
          <w:rFonts w:ascii="仿宋" w:hAnsi="仿宋" w:eastAsia="仿宋"/>
        </w:rPr>
      </w:pPr>
      <w:r>
        <w:rPr>
          <w:rFonts w:hint="eastAsia" w:ascii="仿宋" w:hAnsi="仿宋" w:eastAsia="仿宋"/>
        </w:rPr>
        <w:t>5.1</w:t>
      </w:r>
      <w:r>
        <w:rPr>
          <w:rFonts w:hint="eastAsia" w:ascii="仿宋" w:hAnsi="仿宋" w:eastAsia="仿宋" w:cs="仿宋"/>
        </w:rPr>
        <w:t>投标文件递交的截止时间（投标截止时间，下同）为2023年</w:t>
      </w:r>
      <w:r>
        <w:rPr>
          <w:rFonts w:hint="eastAsia" w:ascii="仿宋" w:hAnsi="仿宋" w:eastAsia="仿宋" w:cs="仿宋"/>
          <w:lang w:val="en-US" w:eastAsia="zh-CN"/>
        </w:rPr>
        <w:t>7</w:t>
      </w:r>
      <w:r>
        <w:rPr>
          <w:rFonts w:hint="eastAsia" w:ascii="仿宋" w:hAnsi="仿宋" w:eastAsia="仿宋" w:cs="仿宋"/>
          <w:highlight w:val="none"/>
        </w:rPr>
        <w:t>月</w:t>
      </w:r>
      <w:r>
        <w:rPr>
          <w:rFonts w:hint="eastAsia" w:ascii="仿宋" w:hAnsi="仿宋" w:eastAsia="仿宋" w:cs="仿宋"/>
          <w:highlight w:val="none"/>
          <w:lang w:val="en-US" w:eastAsia="zh-CN"/>
        </w:rPr>
        <w:t>25</w:t>
      </w:r>
      <w:r>
        <w:rPr>
          <w:rFonts w:hint="eastAsia" w:ascii="仿宋" w:hAnsi="仿宋" w:eastAsia="仿宋" w:cs="仿宋"/>
          <w:highlight w:val="none"/>
        </w:rPr>
        <w:t>日</w:t>
      </w:r>
      <w:r>
        <w:rPr>
          <w:rFonts w:hint="eastAsia" w:ascii="仿宋" w:hAnsi="仿宋" w:eastAsia="仿宋" w:cs="仿宋"/>
          <w:color w:val="000000" w:themeColor="text1"/>
          <w:highlight w:val="none"/>
          <w:lang w:val="en-US" w:eastAsia="zh-CN"/>
          <w14:textFill>
            <w14:solidFill>
              <w14:schemeClr w14:val="tx1"/>
            </w14:solidFill>
          </w14:textFill>
        </w:rPr>
        <w:t>9</w:t>
      </w:r>
      <w:r>
        <w:rPr>
          <w:rFonts w:hint="eastAsia" w:ascii="仿宋" w:hAnsi="仿宋" w:eastAsia="仿宋" w:cs="仿宋"/>
          <w:color w:val="000000" w:themeColor="text1"/>
          <w:highlight w:val="none"/>
          <w14:textFill>
            <w14:solidFill>
              <w14:schemeClr w14:val="tx1"/>
            </w14:solidFill>
          </w14:textFill>
        </w:rPr>
        <w:t>时</w:t>
      </w:r>
      <w:r>
        <w:rPr>
          <w:rFonts w:hint="eastAsia" w:ascii="仿宋" w:hAnsi="仿宋" w:eastAsia="仿宋" w:cs="仿宋"/>
          <w:color w:val="000000" w:themeColor="text1"/>
          <w:lang w:val="en-US" w:eastAsia="zh-CN"/>
          <w14:textFill>
            <w14:solidFill>
              <w14:schemeClr w14:val="tx1"/>
            </w14:solidFill>
          </w14:textFill>
        </w:rPr>
        <w:t>00</w:t>
      </w:r>
      <w:r>
        <w:rPr>
          <w:rFonts w:hint="eastAsia" w:ascii="仿宋" w:hAnsi="仿宋" w:eastAsia="仿宋" w:cs="仿宋"/>
          <w:color w:val="000000" w:themeColor="text1"/>
          <w14:textFill>
            <w14:solidFill>
              <w14:schemeClr w14:val="tx1"/>
            </w14:solidFill>
          </w14:textFill>
        </w:rPr>
        <w:t>分</w:t>
      </w:r>
      <w:r>
        <w:rPr>
          <w:rFonts w:hint="eastAsia" w:ascii="仿宋" w:hAnsi="仿宋" w:eastAsia="仿宋" w:cs="仿宋"/>
        </w:rPr>
        <w:t>。投标人应在投标截止时间之前，</w:t>
      </w:r>
      <w:r>
        <w:rPr>
          <w:rFonts w:hint="eastAsia" w:ascii="仿宋" w:hAnsi="仿宋" w:eastAsia="仿宋" w:cs="仿宋"/>
          <w:sz w:val="22"/>
          <w:szCs w:val="22"/>
        </w:rPr>
        <w:t>登录</w:t>
      </w:r>
      <w:r>
        <w:rPr>
          <w:rFonts w:ascii="仿宋" w:hAnsi="仿宋" w:eastAsia="仿宋" w:cs="仿宋"/>
          <w:sz w:val="22"/>
          <w:szCs w:val="22"/>
        </w:rPr>
        <w:t>湖州市公共资源交易信息网</w:t>
      </w:r>
      <w:r>
        <w:rPr>
          <w:rFonts w:hint="eastAsia" w:ascii="仿宋" w:hAnsi="仿宋" w:eastAsia="仿宋" w:cs="仿宋"/>
          <w:sz w:val="22"/>
          <w:szCs w:val="22"/>
        </w:rPr>
        <w:t>—湖州市限额发包平台</w:t>
      </w:r>
      <w:r>
        <w:rPr>
          <w:rFonts w:eastAsia="仿宋"/>
          <w:sz w:val="22"/>
          <w:szCs w:val="22"/>
        </w:rPr>
        <w:t>-</w:t>
      </w:r>
      <w:r>
        <w:rPr>
          <w:rFonts w:hint="eastAsia" w:ascii="仿宋" w:hAnsi="仿宋" w:eastAsia="仿宋" w:cs="仿宋"/>
          <w:sz w:val="22"/>
          <w:szCs w:val="22"/>
        </w:rPr>
        <w:t>交易主体登录—电子招投标交易平台—上传竞包文件模块，上传“</w:t>
      </w:r>
      <w:r>
        <w:rPr>
          <w:rFonts w:eastAsia="仿宋"/>
          <w:sz w:val="22"/>
          <w:szCs w:val="22"/>
        </w:rPr>
        <w:t>CA</w:t>
      </w:r>
      <w:r>
        <w:rPr>
          <w:rFonts w:hint="eastAsia" w:ascii="仿宋" w:hAnsi="仿宋" w:eastAsia="仿宋" w:cs="仿宋"/>
          <w:sz w:val="22"/>
          <w:szCs w:val="22"/>
        </w:rPr>
        <w:t>加密后的</w:t>
      </w:r>
      <w:r>
        <w:rPr>
          <w:rFonts w:hint="eastAsia" w:ascii="仿宋" w:hAnsi="仿宋" w:eastAsia="仿宋" w:cs="仿宋"/>
        </w:rPr>
        <w:t>电子投标文件”。</w:t>
      </w:r>
    </w:p>
    <w:p>
      <w:pPr>
        <w:pStyle w:val="24"/>
        <w:tabs>
          <w:tab w:val="left" w:pos="360"/>
        </w:tabs>
        <w:adjustRightInd w:val="0"/>
        <w:snapToGrid w:val="0"/>
        <w:spacing w:before="0" w:beforeAutospacing="0" w:after="0" w:afterAutospacing="0" w:line="400" w:lineRule="exact"/>
        <w:ind w:firstLine="360" w:firstLineChars="150"/>
        <w:jc w:val="both"/>
        <w:rPr>
          <w:rFonts w:ascii="仿宋" w:hAnsi="仿宋" w:eastAsia="仿宋"/>
        </w:rPr>
      </w:pPr>
      <w:r>
        <w:rPr>
          <w:rFonts w:hint="eastAsia" w:ascii="仿宋" w:hAnsi="仿宋" w:eastAsia="仿宋"/>
        </w:rPr>
        <w:t>5.2 逾期上传电子投标文件的，招标人不予受理。</w:t>
      </w:r>
    </w:p>
    <w:p>
      <w:pPr>
        <w:snapToGrid w:val="0"/>
        <w:spacing w:line="400" w:lineRule="exact"/>
        <w:rPr>
          <w:rFonts w:ascii="仿宋" w:hAnsi="仿宋" w:eastAsia="仿宋" w:cs="仿宋"/>
          <w:b/>
          <w:snapToGrid w:val="0"/>
          <w:sz w:val="22"/>
          <w:szCs w:val="22"/>
        </w:rPr>
      </w:pPr>
      <w:r>
        <w:rPr>
          <w:rFonts w:hint="eastAsia" w:ascii="仿宋" w:hAnsi="仿宋" w:eastAsia="仿宋" w:cs="仿宋"/>
          <w:b/>
          <w:snapToGrid w:val="0"/>
          <w:sz w:val="22"/>
          <w:szCs w:val="22"/>
        </w:rPr>
        <w:t>6. 发布公告的媒体</w:t>
      </w:r>
    </w:p>
    <w:p>
      <w:pPr>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本次招标公告同时在</w:t>
      </w:r>
      <w:r>
        <w:rPr>
          <w:rFonts w:ascii="仿宋" w:hAnsi="仿宋" w:eastAsia="仿宋" w:cs="仿宋"/>
          <w:sz w:val="22"/>
          <w:szCs w:val="22"/>
          <w:u w:val="single"/>
        </w:rPr>
        <w:t>湖州市公共资源交易信息网（湖州市限额发包平台）</w:t>
      </w:r>
      <w:r>
        <w:rPr>
          <w:rFonts w:hint="eastAsia" w:ascii="仿宋" w:hAnsi="仿宋" w:eastAsia="仿宋" w:cs="仿宋"/>
          <w:sz w:val="22"/>
          <w:szCs w:val="22"/>
          <w:u w:val="single"/>
        </w:rPr>
        <w:t>、吴兴区人民政府网（</w:t>
      </w:r>
      <w:r>
        <w:rPr>
          <w:rFonts w:eastAsia="仿宋"/>
          <w:sz w:val="22"/>
          <w:szCs w:val="22"/>
          <w:u w:val="single"/>
        </w:rPr>
        <w:t>http://www.wuxing.gov.cn/</w:t>
      </w:r>
      <w:r>
        <w:rPr>
          <w:rFonts w:hint="eastAsia" w:ascii="仿宋" w:hAnsi="仿宋" w:eastAsia="仿宋" w:cs="仿宋"/>
          <w:sz w:val="22"/>
          <w:szCs w:val="22"/>
          <w:u w:val="single"/>
        </w:rPr>
        <w:t>）首页“吴兴区公共资源交易中心”专栏</w:t>
      </w:r>
      <w:r>
        <w:rPr>
          <w:rFonts w:hint="eastAsia" w:ascii="仿宋" w:hAnsi="仿宋" w:eastAsia="仿宋" w:cs="仿宋"/>
          <w:sz w:val="22"/>
          <w:szCs w:val="22"/>
        </w:rPr>
        <w:t>上发布</w:t>
      </w:r>
      <w:r>
        <w:rPr>
          <w:rFonts w:hint="eastAsia" w:ascii="仿宋" w:hAnsi="仿宋" w:eastAsia="仿宋" w:cs="仿宋"/>
          <w:sz w:val="24"/>
          <w:szCs w:val="24"/>
        </w:rPr>
        <w:t>。</w:t>
      </w:r>
    </w:p>
    <w:p>
      <w:pPr>
        <w:snapToGrid w:val="0"/>
        <w:spacing w:line="400" w:lineRule="exact"/>
        <w:rPr>
          <w:rFonts w:ascii="仿宋" w:hAnsi="仿宋" w:eastAsia="仿宋" w:cs="仿宋"/>
          <w:b/>
          <w:snapToGrid w:val="0"/>
          <w:sz w:val="22"/>
          <w:szCs w:val="22"/>
        </w:rPr>
      </w:pPr>
      <w:r>
        <w:rPr>
          <w:rFonts w:hint="eastAsia" w:ascii="仿宋" w:hAnsi="仿宋" w:eastAsia="仿宋" w:cs="仿宋"/>
          <w:b/>
          <w:snapToGrid w:val="0"/>
          <w:sz w:val="22"/>
          <w:szCs w:val="22"/>
        </w:rPr>
        <w:t>7. 联系方式</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招 标 人：湖州吴兴兴城市政工程有限公司</w:t>
      </w:r>
    </w:p>
    <w:p>
      <w:pPr>
        <w:snapToGrid w:val="0"/>
        <w:spacing w:line="400" w:lineRule="exact"/>
        <w:ind w:firstLine="440" w:firstLineChars="200"/>
        <w:rPr>
          <w:rFonts w:ascii="仿宋" w:hAnsi="仿宋" w:eastAsia="仿宋" w:cs="仿宋"/>
          <w:snapToGrid w:val="0"/>
          <w:color w:val="FF0000"/>
          <w:sz w:val="22"/>
          <w:szCs w:val="22"/>
        </w:rPr>
      </w:pPr>
      <w:r>
        <w:rPr>
          <w:rFonts w:hint="eastAsia" w:ascii="仿宋" w:hAnsi="仿宋" w:eastAsia="仿宋" w:cs="仿宋"/>
          <w:snapToGrid w:val="0"/>
          <w:color w:val="000000"/>
          <w:sz w:val="22"/>
          <w:szCs w:val="22"/>
        </w:rPr>
        <w:t>地    址：</w:t>
      </w:r>
      <w:permStart w:id="1" w:edGrp="everyone"/>
      <w:r>
        <w:rPr>
          <w:rFonts w:hint="eastAsia" w:ascii="仿宋" w:hAnsi="仿宋" w:eastAsia="仿宋" w:cs="仿宋"/>
          <w:snapToGrid w:val="0"/>
          <w:color w:val="000000"/>
          <w:sz w:val="22"/>
          <w:szCs w:val="22"/>
        </w:rPr>
        <w:t xml:space="preserve"> 湖州市吴兴区八里店镇南塘漾路  </w:t>
      </w:r>
      <w:permEnd w:id="1"/>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邮    编： 313000</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color w:val="000000"/>
          <w:sz w:val="22"/>
          <w:szCs w:val="22"/>
        </w:rPr>
        <w:t>联 系 人：钱先生</w:t>
      </w:r>
      <w:r>
        <w:rPr>
          <w:rFonts w:hint="eastAsia" w:ascii="仿宋" w:hAnsi="仿宋" w:eastAsia="仿宋" w:cs="仿宋"/>
          <w:snapToGrid w:val="0"/>
          <w:color w:val="FF0000"/>
          <w:sz w:val="22"/>
          <w:szCs w:val="22"/>
        </w:rPr>
        <w:t xml:space="preserve">        </w:t>
      </w:r>
      <w:r>
        <w:rPr>
          <w:rFonts w:hint="eastAsia" w:ascii="仿宋" w:hAnsi="仿宋" w:eastAsia="仿宋" w:cs="仿宋"/>
          <w:snapToGrid w:val="0"/>
          <w:color w:val="000000"/>
          <w:sz w:val="22"/>
          <w:szCs w:val="22"/>
        </w:rPr>
        <w:t>电  话：18967275736</w:t>
      </w:r>
      <w:r>
        <w:rPr>
          <w:rFonts w:hint="eastAsia" w:ascii="仿宋" w:hAnsi="仿宋" w:eastAsia="仿宋" w:cs="仿宋"/>
          <w:snapToGrid w:val="0"/>
          <w:sz w:val="22"/>
          <w:szCs w:val="22"/>
        </w:rPr>
        <w:t xml:space="preserve">    </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招标代理机构：</w:t>
      </w:r>
      <w:r>
        <w:rPr>
          <w:rFonts w:hint="eastAsia" w:ascii="仿宋" w:hAnsi="仿宋" w:eastAsia="仿宋" w:cs="仿宋"/>
          <w:snapToGrid w:val="0"/>
          <w:sz w:val="22"/>
          <w:szCs w:val="22"/>
          <w:lang w:val="en-US" w:eastAsia="zh-CN"/>
        </w:rPr>
        <w:t>浙江富力诚欣工程顾问有限公司</w:t>
      </w:r>
      <w:r>
        <w:rPr>
          <w:rFonts w:ascii="仿宋" w:hAnsi="仿宋" w:eastAsia="仿宋" w:cs="仿宋"/>
          <w:snapToGrid w:val="0"/>
          <w:sz w:val="22"/>
          <w:szCs w:val="22"/>
        </w:rPr>
        <w:t xml:space="preserve"> </w:t>
      </w:r>
      <w:r>
        <w:rPr>
          <w:rFonts w:hint="eastAsia" w:ascii="仿宋" w:hAnsi="仿宋" w:eastAsia="仿宋" w:cs="仿宋"/>
          <w:snapToGrid w:val="0"/>
          <w:sz w:val="22"/>
          <w:szCs w:val="22"/>
        </w:rPr>
        <w:t xml:space="preserve"> </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地    址：</w:t>
      </w:r>
      <w:r>
        <w:rPr>
          <w:rFonts w:hint="eastAsia" w:ascii="仿宋" w:hAnsi="仿宋" w:eastAsia="仿宋" w:cs="仿宋"/>
          <w:snapToGrid w:val="0"/>
          <w:sz w:val="22"/>
          <w:szCs w:val="22"/>
          <w:lang w:eastAsia="zh-CN"/>
        </w:rPr>
        <w:t>湖州市吴兴区总部自由港</w:t>
      </w:r>
      <w:r>
        <w:rPr>
          <w:rFonts w:hint="eastAsia" w:ascii="仿宋" w:hAnsi="仿宋" w:eastAsia="仿宋" w:cs="仿宋"/>
          <w:snapToGrid w:val="0"/>
          <w:sz w:val="22"/>
          <w:szCs w:val="22"/>
          <w:lang w:val="en-US" w:eastAsia="zh-CN"/>
        </w:rPr>
        <w:t>B幢2612</w:t>
      </w:r>
      <w:r>
        <w:rPr>
          <w:rFonts w:hint="eastAsia" w:ascii="仿宋" w:hAnsi="仿宋" w:eastAsia="仿宋" w:cs="仿宋"/>
          <w:snapToGrid w:val="0"/>
          <w:sz w:val="22"/>
          <w:szCs w:val="22"/>
        </w:rPr>
        <w:t xml:space="preserve"> </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邮    编：313000</w:t>
      </w:r>
    </w:p>
    <w:p>
      <w:pPr>
        <w:snapToGrid w:val="0"/>
        <w:spacing w:line="400" w:lineRule="exact"/>
        <w:ind w:firstLine="440" w:firstLineChars="200"/>
        <w:rPr>
          <w:rFonts w:ascii="仿宋" w:hAnsi="仿宋" w:eastAsia="仿宋" w:cs="仿宋"/>
          <w:snapToGrid w:val="0"/>
          <w:color w:val="000000"/>
          <w:sz w:val="22"/>
          <w:szCs w:val="22"/>
        </w:rPr>
      </w:pPr>
      <w:r>
        <w:rPr>
          <w:rFonts w:hint="eastAsia" w:ascii="仿宋" w:hAnsi="仿宋" w:eastAsia="仿宋" w:cs="仿宋"/>
          <w:snapToGrid w:val="0"/>
          <w:sz w:val="22"/>
          <w:szCs w:val="22"/>
        </w:rPr>
        <w:t>联 系 人：</w:t>
      </w:r>
      <w:r>
        <w:rPr>
          <w:rFonts w:hint="eastAsia" w:ascii="仿宋" w:hAnsi="仿宋" w:eastAsia="仿宋" w:cs="仿宋"/>
          <w:snapToGrid w:val="0"/>
          <w:sz w:val="22"/>
          <w:szCs w:val="22"/>
          <w:lang w:eastAsia="zh-CN"/>
        </w:rPr>
        <w:t>姚锶文</w:t>
      </w:r>
      <w:r>
        <w:rPr>
          <w:rFonts w:hint="eastAsia" w:ascii="仿宋" w:hAnsi="仿宋" w:eastAsia="仿宋" w:cs="仿宋"/>
          <w:snapToGrid w:val="0"/>
          <w:sz w:val="22"/>
          <w:szCs w:val="22"/>
        </w:rPr>
        <w:t xml:space="preserve">        </w:t>
      </w:r>
      <w:r>
        <w:rPr>
          <w:rFonts w:hint="eastAsia" w:ascii="仿宋" w:hAnsi="仿宋" w:eastAsia="仿宋" w:cs="仿宋"/>
          <w:snapToGrid w:val="0"/>
          <w:color w:val="000000"/>
          <w:sz w:val="22"/>
          <w:szCs w:val="22"/>
        </w:rPr>
        <w:t>电   话：</w:t>
      </w:r>
      <w:r>
        <w:rPr>
          <w:rFonts w:hint="eastAsia" w:ascii="仿宋" w:hAnsi="仿宋" w:eastAsia="仿宋" w:cs="仿宋"/>
          <w:snapToGrid w:val="0"/>
          <w:color w:val="000000"/>
          <w:sz w:val="22"/>
          <w:szCs w:val="22"/>
          <w:lang w:val="en-US" w:eastAsia="zh-CN"/>
        </w:rPr>
        <w:t>17705727969</w:t>
      </w:r>
      <w:r>
        <w:rPr>
          <w:rFonts w:hint="eastAsia" w:ascii="仿宋" w:hAnsi="仿宋" w:eastAsia="仿宋" w:cs="仿宋"/>
          <w:snapToGrid w:val="0"/>
          <w:color w:val="000000"/>
          <w:sz w:val="22"/>
          <w:szCs w:val="22"/>
        </w:rPr>
        <w:t xml:space="preserve"> </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监督小组：湖州吴兴兴城市政工程有限公司招标人监督小组</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地址：湖州市吴兴区八里店镇南塘漾路</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联系人：章女士</w:t>
      </w:r>
    </w:p>
    <w:p>
      <w:pPr>
        <w:snapToGrid w:val="0"/>
        <w:spacing w:line="400" w:lineRule="exact"/>
        <w:ind w:firstLine="440" w:firstLineChars="200"/>
        <w:rPr>
          <w:rFonts w:ascii="仿宋" w:hAnsi="仿宋" w:eastAsia="仿宋" w:cs="仿宋"/>
          <w:snapToGrid w:val="0"/>
          <w:sz w:val="22"/>
          <w:szCs w:val="22"/>
        </w:rPr>
      </w:pPr>
      <w:r>
        <w:rPr>
          <w:rFonts w:hint="eastAsia" w:ascii="仿宋" w:hAnsi="仿宋" w:eastAsia="仿宋" w:cs="仿宋"/>
          <w:snapToGrid w:val="0"/>
          <w:sz w:val="22"/>
          <w:szCs w:val="22"/>
        </w:rPr>
        <w:t xml:space="preserve">电话：0572-2285881                </w:t>
      </w:r>
      <w:bookmarkStart w:id="20" w:name="_Toc15063"/>
    </w:p>
    <w:p>
      <w:pPr>
        <w:numPr>
          <w:ilvl w:val="0"/>
          <w:numId w:val="3"/>
        </w:numPr>
        <w:snapToGrid w:val="0"/>
        <w:spacing w:line="400" w:lineRule="exact"/>
        <w:jc w:val="left"/>
      </w:pPr>
      <w:r>
        <w:rPr>
          <w:rFonts w:hint="eastAsia" w:ascii="仿宋" w:hAnsi="仿宋" w:eastAsia="仿宋" w:cs="仿宋"/>
          <w:b/>
          <w:snapToGrid w:val="0"/>
          <w:sz w:val="22"/>
          <w:szCs w:val="22"/>
        </w:rPr>
        <w:t>软件技术支持</w:t>
      </w:r>
      <w:bookmarkEnd w:id="20"/>
    </w:p>
    <w:p>
      <w:pPr>
        <w:pStyle w:val="24"/>
        <w:widowControl w:val="0"/>
        <w:adjustRightInd w:val="0"/>
        <w:snapToGrid w:val="0"/>
        <w:spacing w:before="0" w:beforeAutospacing="0" w:after="0" w:afterAutospacing="0" w:line="400" w:lineRule="exact"/>
        <w:ind w:firstLine="440" w:firstLineChars="200"/>
        <w:jc w:val="both"/>
        <w:rPr>
          <w:rFonts w:ascii="仿宋" w:hAnsi="仿宋" w:eastAsia="仿宋" w:cs="仿宋"/>
          <w:snapToGrid w:val="0"/>
          <w:sz w:val="22"/>
          <w:szCs w:val="22"/>
        </w:rPr>
      </w:pPr>
      <w:r>
        <w:rPr>
          <w:rFonts w:hint="eastAsia" w:ascii="仿宋" w:hAnsi="仿宋" w:eastAsia="仿宋" w:cs="仿宋"/>
          <w:snapToGrid w:val="0"/>
          <w:sz w:val="22"/>
          <w:szCs w:val="22"/>
        </w:rPr>
        <w:t>联系人：国泰新点客服  电话 ：4009980000</w:t>
      </w:r>
    </w:p>
    <w:p>
      <w:pPr>
        <w:pStyle w:val="24"/>
        <w:widowControl w:val="0"/>
        <w:adjustRightInd w:val="0"/>
        <w:snapToGrid w:val="0"/>
        <w:spacing w:before="0" w:beforeAutospacing="0" w:after="0" w:afterAutospacing="0" w:line="400" w:lineRule="exact"/>
        <w:ind w:firstLine="440" w:firstLineChars="200"/>
        <w:jc w:val="both"/>
        <w:rPr>
          <w:rFonts w:ascii="仿宋" w:hAnsi="仿宋" w:eastAsia="仿宋" w:cs="仿宋"/>
          <w:snapToGrid w:val="0"/>
          <w:sz w:val="22"/>
          <w:szCs w:val="22"/>
        </w:rPr>
      </w:pPr>
      <w:r>
        <w:rPr>
          <w:rFonts w:hint="eastAsia" w:ascii="仿宋" w:hAnsi="仿宋" w:eastAsia="仿宋" w:cs="仿宋"/>
          <w:snapToGrid w:val="0"/>
          <w:sz w:val="22"/>
          <w:szCs w:val="22"/>
        </w:rPr>
        <w:t>联系人：国泰新点      电话 ：0572-2220028、18657183506</w:t>
      </w:r>
    </w:p>
    <w:p>
      <w:pPr>
        <w:spacing w:line="400" w:lineRule="exact"/>
        <w:ind w:firstLine="440" w:firstLineChars="200"/>
        <w:jc w:val="left"/>
        <w:rPr>
          <w:rFonts w:ascii="仿宋" w:hAnsi="仿宋" w:eastAsia="仿宋" w:cs="仿宋"/>
          <w:szCs w:val="28"/>
        </w:rPr>
      </w:pPr>
      <w:r>
        <w:rPr>
          <w:rFonts w:hint="eastAsia" w:ascii="仿宋" w:hAnsi="仿宋" w:eastAsia="仿宋" w:cs="仿宋"/>
          <w:snapToGrid w:val="0"/>
          <w:sz w:val="22"/>
          <w:szCs w:val="22"/>
        </w:rPr>
        <w:t>远程不见面开标：是指将传统的开标场所搬到网上，招标人、投标人只需登录网上不见面开标大厅，无需到开标现场参与即可进行投标文件在线解密、投标人在线质疑、招标人在线回复等操作。</w:t>
      </w:r>
    </w:p>
    <w:p>
      <w:pPr>
        <w:pStyle w:val="4"/>
        <w:snapToGrid w:val="0"/>
        <w:spacing w:before="100" w:after="100" w:line="400" w:lineRule="exact"/>
        <w:ind w:firstLine="880" w:firstLineChars="200"/>
        <w:jc w:val="center"/>
        <w:rPr>
          <w:rFonts w:ascii="仿宋" w:hAnsi="仿宋" w:eastAsia="仿宋" w:cs="仿宋"/>
          <w:sz w:val="32"/>
          <w:szCs w:val="32"/>
        </w:rPr>
      </w:pPr>
      <w:r>
        <w:rPr>
          <w:rFonts w:hint="eastAsia" w:ascii="微软雅黑" w:hAnsi="微软雅黑" w:eastAsia="微软雅黑" w:cs="仿宋"/>
          <w:b w:val="0"/>
          <w:snapToGrid w:val="0"/>
        </w:rPr>
        <w:br w:type="page"/>
      </w:r>
      <w:bookmarkStart w:id="21" w:name="_Toc4011"/>
      <w:bookmarkStart w:id="22" w:name="_Toc7144"/>
      <w:r>
        <w:rPr>
          <w:rFonts w:hint="eastAsia" w:ascii="仿宋" w:hAnsi="仿宋" w:eastAsia="仿宋" w:cs="仿宋"/>
          <w:sz w:val="32"/>
          <w:szCs w:val="32"/>
        </w:rPr>
        <w:t>第二章 投标人须知</w:t>
      </w:r>
      <w:bookmarkEnd w:id="21"/>
      <w:bookmarkEnd w:id="22"/>
    </w:p>
    <w:p>
      <w:pPr>
        <w:snapToGrid w:val="0"/>
        <w:jc w:val="center"/>
        <w:rPr>
          <w:rFonts w:ascii="仿宋" w:hAnsi="仿宋" w:eastAsia="仿宋" w:cs="仿宋"/>
          <w:szCs w:val="28"/>
        </w:rPr>
      </w:pPr>
      <w:bookmarkStart w:id="23" w:name="_Toc67636239"/>
      <w:bookmarkStart w:id="24" w:name="_Toc29574"/>
      <w:bookmarkStart w:id="25" w:name="_Toc491857246"/>
      <w:r>
        <w:rPr>
          <w:rFonts w:hint="eastAsia" w:ascii="仿宋" w:hAnsi="仿宋" w:eastAsia="仿宋" w:cs="仿宋"/>
          <w:szCs w:val="28"/>
        </w:rPr>
        <w:t>投标人须知前附表</w:t>
      </w:r>
      <w:bookmarkEnd w:id="23"/>
      <w:bookmarkEnd w:id="24"/>
      <w:bookmarkEnd w:id="25"/>
    </w:p>
    <w:bookmarkEnd w:id="2"/>
    <w:tbl>
      <w:tblPr>
        <w:tblStyle w:val="25"/>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123"/>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条款号</w:t>
            </w:r>
          </w:p>
        </w:tc>
        <w:tc>
          <w:tcPr>
            <w:tcW w:w="2123"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条款名称</w:t>
            </w:r>
          </w:p>
        </w:tc>
        <w:tc>
          <w:tcPr>
            <w:tcW w:w="6908"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1.1.2</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招标工程名称</w:t>
            </w:r>
          </w:p>
        </w:tc>
        <w:tc>
          <w:tcPr>
            <w:tcW w:w="6908" w:type="dxa"/>
            <w:vAlign w:val="center"/>
          </w:tcPr>
          <w:p>
            <w:pPr>
              <w:spacing w:line="32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八里店镇安置小区西湖漾家园一期、二期物业管理项目（第二次）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1.1.3</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合同名称</w:t>
            </w:r>
          </w:p>
        </w:tc>
        <w:tc>
          <w:tcPr>
            <w:tcW w:w="6908"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lang w:eastAsia="zh-CN"/>
              </w:rPr>
              <w:t>八里店镇安置小区西湖漾家园一期、二期物业管理项目（第二次）</w:t>
            </w:r>
            <w:r>
              <w:rPr>
                <w:rFonts w:hint="eastAsia" w:ascii="仿宋" w:hAnsi="仿宋" w:eastAsia="仿宋" w:cs="仿宋"/>
                <w:sz w:val="21"/>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1.1.4</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合同编号</w:t>
            </w:r>
          </w:p>
        </w:tc>
        <w:tc>
          <w:tcPr>
            <w:tcW w:w="6908"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1.1.5</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招标人</w:t>
            </w:r>
          </w:p>
        </w:tc>
        <w:tc>
          <w:tcPr>
            <w:tcW w:w="6908"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发 包 人：湖州吴兴兴城市政工程有限公司</w:t>
            </w:r>
          </w:p>
          <w:p>
            <w:pPr>
              <w:snapToGrid w:val="0"/>
              <w:spacing w:line="340" w:lineRule="exact"/>
              <w:rPr>
                <w:rFonts w:ascii="仿宋" w:hAnsi="仿宋" w:eastAsia="仿宋" w:cs="仿宋"/>
                <w:sz w:val="21"/>
                <w:szCs w:val="21"/>
              </w:rPr>
            </w:pPr>
            <w:r>
              <w:rPr>
                <w:rFonts w:hint="eastAsia" w:ascii="仿宋" w:hAnsi="仿宋" w:eastAsia="仿宋" w:cs="仿宋"/>
                <w:sz w:val="21"/>
                <w:szCs w:val="21"/>
              </w:rPr>
              <w:t xml:space="preserve">地    址： 湖州市吴兴区八里店镇南塘漾路 </w:t>
            </w:r>
          </w:p>
          <w:p>
            <w:pPr>
              <w:snapToGrid w:val="0"/>
              <w:spacing w:line="340" w:lineRule="exact"/>
              <w:rPr>
                <w:rFonts w:ascii="仿宋" w:hAnsi="仿宋" w:eastAsia="仿宋" w:cs="仿宋"/>
                <w:sz w:val="21"/>
                <w:szCs w:val="21"/>
              </w:rPr>
            </w:pPr>
            <w:r>
              <w:rPr>
                <w:rFonts w:hint="eastAsia" w:ascii="仿宋" w:hAnsi="仿宋" w:eastAsia="仿宋" w:cs="仿宋"/>
                <w:sz w:val="21"/>
                <w:szCs w:val="21"/>
              </w:rPr>
              <w:t>邮    编： 313000</w:t>
            </w:r>
          </w:p>
          <w:p>
            <w:pPr>
              <w:snapToGrid w:val="0"/>
              <w:spacing w:line="340" w:lineRule="exact"/>
              <w:rPr>
                <w:rFonts w:ascii="仿宋" w:hAnsi="仿宋" w:eastAsia="仿宋" w:cs="仿宋"/>
                <w:sz w:val="21"/>
                <w:szCs w:val="21"/>
              </w:rPr>
            </w:pPr>
            <w:r>
              <w:rPr>
                <w:rFonts w:hint="eastAsia" w:ascii="仿宋" w:hAnsi="仿宋" w:eastAsia="仿宋" w:cs="仿宋"/>
                <w:sz w:val="21"/>
                <w:szCs w:val="21"/>
              </w:rPr>
              <w:t xml:space="preserve">联 系 人：钱先生         电  话：18967275736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1.1.6</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招标代理机构</w:t>
            </w:r>
          </w:p>
        </w:tc>
        <w:tc>
          <w:tcPr>
            <w:tcW w:w="6908"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名称：</w:t>
            </w:r>
            <w:r>
              <w:rPr>
                <w:rFonts w:hint="eastAsia" w:ascii="仿宋" w:hAnsi="仿宋" w:eastAsia="仿宋" w:cs="仿宋"/>
                <w:sz w:val="21"/>
                <w:szCs w:val="21"/>
                <w:lang w:val="en-US" w:eastAsia="zh-CN"/>
              </w:rPr>
              <w:t>浙江富力诚欣工程顾问有限公司</w:t>
            </w:r>
            <w:r>
              <w:rPr>
                <w:rFonts w:ascii="仿宋" w:hAnsi="仿宋" w:eastAsia="仿宋" w:cs="仿宋"/>
                <w:sz w:val="21"/>
                <w:szCs w:val="21"/>
              </w:rPr>
              <w:t xml:space="preserve"> </w:t>
            </w:r>
            <w:r>
              <w:rPr>
                <w:rFonts w:hint="eastAsia" w:ascii="仿宋" w:hAnsi="仿宋" w:eastAsia="仿宋" w:cs="仿宋"/>
                <w:sz w:val="21"/>
                <w:szCs w:val="21"/>
              </w:rPr>
              <w:t xml:space="preserve"> </w:t>
            </w:r>
          </w:p>
          <w:p>
            <w:pPr>
              <w:snapToGrid w:val="0"/>
              <w:spacing w:line="340" w:lineRule="exact"/>
              <w:rPr>
                <w:rFonts w:ascii="仿宋" w:hAnsi="仿宋" w:eastAsia="仿宋" w:cs="仿宋"/>
                <w:sz w:val="21"/>
                <w:szCs w:val="21"/>
              </w:rPr>
            </w:pPr>
            <w:r>
              <w:rPr>
                <w:rFonts w:hint="eastAsia" w:ascii="仿宋" w:hAnsi="仿宋" w:eastAsia="仿宋" w:cs="仿宋"/>
                <w:sz w:val="21"/>
                <w:szCs w:val="21"/>
              </w:rPr>
              <w:t>地址：</w:t>
            </w:r>
            <w:r>
              <w:rPr>
                <w:rFonts w:hint="eastAsia" w:ascii="仿宋" w:hAnsi="仿宋" w:eastAsia="仿宋" w:cs="仿宋"/>
                <w:sz w:val="21"/>
                <w:szCs w:val="21"/>
                <w:lang w:eastAsia="zh-CN"/>
              </w:rPr>
              <w:t>湖州市吴兴区总部自由港</w:t>
            </w:r>
            <w:r>
              <w:rPr>
                <w:rFonts w:hint="eastAsia" w:ascii="仿宋" w:hAnsi="仿宋" w:eastAsia="仿宋" w:cs="仿宋"/>
                <w:sz w:val="21"/>
                <w:szCs w:val="21"/>
                <w:lang w:val="en-US" w:eastAsia="zh-CN"/>
              </w:rPr>
              <w:t>B幢2612</w:t>
            </w:r>
            <w:r>
              <w:rPr>
                <w:rFonts w:hint="eastAsia" w:ascii="仿宋" w:hAnsi="仿宋" w:eastAsia="仿宋" w:cs="仿宋"/>
                <w:sz w:val="21"/>
                <w:szCs w:val="21"/>
              </w:rPr>
              <w:t xml:space="preserve"> </w:t>
            </w:r>
            <w:r>
              <w:rPr>
                <w:rFonts w:ascii="仿宋" w:hAnsi="仿宋" w:eastAsia="仿宋" w:cs="仿宋"/>
                <w:sz w:val="21"/>
                <w:szCs w:val="21"/>
              </w:rPr>
              <w:t xml:space="preserve"> </w:t>
            </w:r>
            <w:r>
              <w:rPr>
                <w:rFonts w:hint="eastAsia" w:ascii="仿宋" w:hAnsi="仿宋" w:eastAsia="仿宋" w:cs="仿宋"/>
                <w:sz w:val="21"/>
                <w:szCs w:val="21"/>
              </w:rPr>
              <w:t xml:space="preserve"> </w:t>
            </w:r>
          </w:p>
          <w:p>
            <w:pPr>
              <w:snapToGrid w:val="0"/>
              <w:spacing w:line="400" w:lineRule="exact"/>
              <w:rPr>
                <w:rFonts w:ascii="仿宋" w:hAnsi="仿宋" w:eastAsia="仿宋" w:cs="仿宋"/>
                <w:sz w:val="21"/>
                <w:szCs w:val="21"/>
              </w:rPr>
            </w:pPr>
            <w:r>
              <w:rPr>
                <w:rFonts w:hint="eastAsia" w:ascii="仿宋" w:hAnsi="仿宋" w:eastAsia="仿宋" w:cs="仿宋"/>
                <w:snapToGrid w:val="0"/>
                <w:sz w:val="22"/>
                <w:szCs w:val="22"/>
              </w:rPr>
              <w:t>联 系 人：</w:t>
            </w:r>
            <w:r>
              <w:rPr>
                <w:rFonts w:hint="eastAsia" w:ascii="仿宋" w:hAnsi="仿宋" w:eastAsia="仿宋" w:cs="仿宋"/>
                <w:snapToGrid w:val="0"/>
                <w:sz w:val="22"/>
                <w:szCs w:val="22"/>
                <w:lang w:eastAsia="zh-CN"/>
              </w:rPr>
              <w:t>姚锶文</w:t>
            </w:r>
            <w:r>
              <w:rPr>
                <w:rFonts w:hint="eastAsia" w:ascii="仿宋" w:hAnsi="仿宋" w:eastAsia="仿宋" w:cs="仿宋"/>
                <w:snapToGrid w:val="0"/>
                <w:sz w:val="22"/>
                <w:szCs w:val="22"/>
              </w:rPr>
              <w:t xml:space="preserve">        </w:t>
            </w:r>
            <w:r>
              <w:rPr>
                <w:rFonts w:hint="eastAsia" w:ascii="仿宋" w:hAnsi="仿宋" w:eastAsia="仿宋" w:cs="仿宋"/>
                <w:snapToGrid w:val="0"/>
                <w:color w:val="000000"/>
                <w:sz w:val="22"/>
                <w:szCs w:val="22"/>
              </w:rPr>
              <w:t>电   话：</w:t>
            </w:r>
            <w:r>
              <w:rPr>
                <w:rFonts w:hint="eastAsia" w:ascii="仿宋" w:hAnsi="仿宋" w:eastAsia="仿宋" w:cs="仿宋"/>
                <w:snapToGrid w:val="0"/>
                <w:color w:val="000000"/>
                <w:sz w:val="22"/>
                <w:szCs w:val="22"/>
                <w:lang w:val="en-US" w:eastAsia="zh-CN"/>
              </w:rPr>
              <w:t>17705727969</w:t>
            </w:r>
            <w:r>
              <w:rPr>
                <w:rFonts w:hint="eastAsia" w:ascii="仿宋" w:hAnsi="仿宋" w:eastAsia="仿宋" w:cs="仿宋"/>
                <w:snapToGrid w:val="0"/>
                <w:color w:val="00000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1.1.7</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建设地点</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八里店镇安置小区西湖漾家园一期、二期小区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1.1.8</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现场管理机构</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1.1.9</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设计人</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1.1.10</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委托人</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1.2.1</w:t>
            </w:r>
          </w:p>
        </w:tc>
        <w:tc>
          <w:tcPr>
            <w:tcW w:w="2123" w:type="dxa"/>
            <w:vAlign w:val="center"/>
          </w:tcPr>
          <w:p>
            <w:pPr>
              <w:spacing w:line="32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资金来源</w:t>
            </w:r>
          </w:p>
        </w:tc>
        <w:tc>
          <w:tcPr>
            <w:tcW w:w="6908" w:type="dxa"/>
            <w:vAlign w:val="center"/>
          </w:tcPr>
          <w:p>
            <w:pPr>
              <w:rPr>
                <w:rFonts w:ascii="仿宋" w:hAnsi="仿宋" w:eastAsia="仿宋" w:cs="仿宋"/>
                <w:color w:val="000000"/>
                <w:sz w:val="21"/>
                <w:szCs w:val="21"/>
              </w:rPr>
            </w:pPr>
            <w:r>
              <w:rPr>
                <w:rFonts w:hint="eastAsia" w:ascii="仿宋" w:hAnsi="仿宋" w:eastAsia="仿宋" w:cs="仿宋"/>
                <w:snapToGrid w:val="0"/>
                <w:color w:val="000000"/>
                <w:sz w:val="22"/>
                <w:szCs w:val="22"/>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1.2.2</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出资比例</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1.2.3</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资金落实情况</w:t>
            </w:r>
          </w:p>
        </w:tc>
        <w:tc>
          <w:tcPr>
            <w:tcW w:w="6908" w:type="dxa"/>
            <w:vAlign w:val="center"/>
          </w:tcPr>
          <w:p>
            <w:pPr>
              <w:rPr>
                <w:rFonts w:ascii="仿宋" w:hAnsi="仿宋" w:eastAsia="仿宋" w:cs="仿宋"/>
                <w:sz w:val="21"/>
                <w:szCs w:val="21"/>
              </w:rPr>
            </w:pPr>
            <w:r>
              <w:rPr>
                <w:rFonts w:hint="eastAsia" w:ascii="仿宋" w:hAnsi="仿宋" w:eastAsia="仿宋" w:cs="仿宋"/>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1.3.1</w:t>
            </w:r>
          </w:p>
        </w:tc>
        <w:tc>
          <w:tcPr>
            <w:tcW w:w="2123" w:type="dxa"/>
            <w:vAlign w:val="center"/>
          </w:tcPr>
          <w:p>
            <w:pPr>
              <w:snapToGrid w:val="0"/>
              <w:spacing w:line="360" w:lineRule="exact"/>
              <w:jc w:val="center"/>
              <w:rPr>
                <w:rFonts w:ascii="仿宋" w:hAnsi="仿宋" w:eastAsia="仿宋" w:cs="仿宋"/>
                <w:sz w:val="21"/>
                <w:szCs w:val="21"/>
              </w:rPr>
            </w:pPr>
            <w:r>
              <w:rPr>
                <w:rFonts w:hint="eastAsia" w:ascii="仿宋" w:hAnsi="仿宋" w:eastAsia="仿宋" w:cs="仿宋"/>
                <w:sz w:val="21"/>
                <w:szCs w:val="21"/>
              </w:rPr>
              <w:t>招标内容</w:t>
            </w:r>
          </w:p>
        </w:tc>
        <w:tc>
          <w:tcPr>
            <w:tcW w:w="6908" w:type="dxa"/>
            <w:vAlign w:val="center"/>
          </w:tcPr>
          <w:p>
            <w:pPr>
              <w:rPr>
                <w:rFonts w:ascii="仿宋" w:hAnsi="仿宋" w:eastAsia="仿宋" w:cs="仿宋"/>
                <w:snapToGrid w:val="0"/>
                <w:sz w:val="21"/>
                <w:szCs w:val="21"/>
              </w:rPr>
            </w:pPr>
            <w:r>
              <w:rPr>
                <w:rFonts w:hint="eastAsia" w:ascii="仿宋" w:hAnsi="仿宋" w:eastAsia="仿宋" w:cs="仿宋"/>
                <w:snapToGrid w:val="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spacing w:line="320" w:lineRule="exact"/>
              <w:jc w:val="center"/>
              <w:rPr>
                <w:rFonts w:ascii="仿宋" w:hAnsi="仿宋" w:eastAsia="仿宋" w:cs="仿宋"/>
                <w:snapToGrid w:val="0"/>
                <w:sz w:val="21"/>
                <w:szCs w:val="21"/>
              </w:rPr>
            </w:pPr>
            <w:r>
              <w:rPr>
                <w:rFonts w:hint="eastAsia" w:ascii="仿宋" w:hAnsi="仿宋" w:eastAsia="仿宋" w:cs="仿宋"/>
                <w:snapToGrid w:val="0"/>
                <w:sz w:val="21"/>
                <w:szCs w:val="21"/>
              </w:rPr>
              <w:t>1.3.2</w:t>
            </w:r>
          </w:p>
        </w:tc>
        <w:tc>
          <w:tcPr>
            <w:tcW w:w="2123" w:type="dxa"/>
            <w:vAlign w:val="center"/>
          </w:tcPr>
          <w:p>
            <w:pPr>
              <w:snapToGrid w:val="0"/>
              <w:spacing w:line="360" w:lineRule="exact"/>
              <w:jc w:val="center"/>
              <w:rPr>
                <w:rFonts w:ascii="仿宋" w:hAnsi="仿宋" w:eastAsia="仿宋" w:cs="仿宋"/>
                <w:snapToGrid w:val="0"/>
                <w:sz w:val="21"/>
                <w:szCs w:val="21"/>
              </w:rPr>
            </w:pPr>
            <w:r>
              <w:rPr>
                <w:rFonts w:hint="eastAsia" w:ascii="仿宋" w:hAnsi="仿宋" w:eastAsia="仿宋" w:cs="仿宋"/>
                <w:sz w:val="21"/>
                <w:szCs w:val="21"/>
              </w:rPr>
              <w:t>服务期</w:t>
            </w:r>
          </w:p>
        </w:tc>
        <w:tc>
          <w:tcPr>
            <w:tcW w:w="6908" w:type="dxa"/>
            <w:vAlign w:val="center"/>
          </w:tcPr>
          <w:p>
            <w:pPr>
              <w:snapToGrid w:val="0"/>
              <w:spacing w:line="360" w:lineRule="exact"/>
              <w:jc w:val="left"/>
              <w:rPr>
                <w:rFonts w:ascii="仿宋" w:hAnsi="仿宋" w:eastAsia="仿宋" w:cs="仿宋"/>
                <w:sz w:val="21"/>
              </w:rPr>
            </w:pPr>
            <w:r>
              <w:rPr>
                <w:rFonts w:hint="eastAsia" w:ascii="仿宋" w:hAnsi="仿宋" w:eastAsia="仿宋" w:cs="仿宋"/>
                <w:snapToGrid w:val="0"/>
                <w:sz w:val="21"/>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45" w:type="dxa"/>
            <w:vAlign w:val="center"/>
          </w:tcPr>
          <w:p>
            <w:pPr>
              <w:spacing w:line="320" w:lineRule="exact"/>
              <w:jc w:val="center"/>
              <w:rPr>
                <w:rFonts w:ascii="仿宋" w:hAnsi="仿宋" w:eastAsia="仿宋" w:cs="仿宋"/>
                <w:snapToGrid w:val="0"/>
                <w:sz w:val="21"/>
                <w:szCs w:val="21"/>
              </w:rPr>
            </w:pPr>
            <w:r>
              <w:rPr>
                <w:rFonts w:hint="eastAsia" w:ascii="仿宋" w:hAnsi="仿宋" w:eastAsia="仿宋" w:cs="仿宋"/>
                <w:snapToGrid w:val="0"/>
                <w:sz w:val="21"/>
                <w:szCs w:val="21"/>
              </w:rPr>
              <w:t>1.3.3</w:t>
            </w:r>
          </w:p>
        </w:tc>
        <w:tc>
          <w:tcPr>
            <w:tcW w:w="2123" w:type="dxa"/>
            <w:vAlign w:val="center"/>
          </w:tcPr>
          <w:p>
            <w:pPr>
              <w:snapToGrid w:val="0"/>
              <w:spacing w:line="360" w:lineRule="exact"/>
              <w:jc w:val="center"/>
              <w:rPr>
                <w:rFonts w:ascii="仿宋" w:hAnsi="仿宋" w:eastAsia="仿宋" w:cs="仿宋"/>
                <w:snapToGrid w:val="0"/>
                <w:sz w:val="21"/>
                <w:szCs w:val="21"/>
              </w:rPr>
            </w:pPr>
            <w:r>
              <w:rPr>
                <w:rFonts w:hint="eastAsia" w:ascii="仿宋" w:hAnsi="仿宋" w:eastAsia="仿宋" w:cs="仿宋"/>
                <w:snapToGrid w:val="0"/>
                <w:sz w:val="21"/>
                <w:szCs w:val="21"/>
              </w:rPr>
              <w:t>质量要求</w:t>
            </w:r>
          </w:p>
        </w:tc>
        <w:tc>
          <w:tcPr>
            <w:tcW w:w="6908" w:type="dxa"/>
            <w:vAlign w:val="center"/>
          </w:tcPr>
          <w:p>
            <w:pPr>
              <w:rPr>
                <w:rFonts w:ascii="仿宋" w:hAnsi="仿宋" w:eastAsia="仿宋" w:cs="仿宋"/>
                <w:snapToGrid w:val="0"/>
                <w:sz w:val="21"/>
                <w:szCs w:val="21"/>
              </w:rPr>
            </w:pPr>
            <w:r>
              <w:rPr>
                <w:rFonts w:hint="eastAsia" w:ascii="仿宋" w:hAnsi="仿宋" w:eastAsia="仿宋" w:cs="仿宋"/>
                <w:snapToGrid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1.4.1</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投标人应具备承担本标段服务的资格条件、要求</w:t>
            </w:r>
          </w:p>
        </w:tc>
        <w:tc>
          <w:tcPr>
            <w:tcW w:w="6908" w:type="dxa"/>
            <w:vAlign w:val="center"/>
          </w:tcPr>
          <w:p>
            <w:pPr>
              <w:spacing w:line="280" w:lineRule="exact"/>
              <w:jc w:val="left"/>
              <w:rPr>
                <w:rFonts w:ascii="仿宋" w:hAnsi="仿宋" w:eastAsia="仿宋" w:cs="仿宋"/>
                <w:sz w:val="21"/>
                <w:szCs w:val="21"/>
              </w:rPr>
            </w:pPr>
            <w:r>
              <w:rPr>
                <w:rFonts w:hint="eastAsia" w:ascii="仿宋" w:hAnsi="仿宋" w:eastAsia="仿宋" w:cs="仿宋"/>
                <w:sz w:val="21"/>
                <w:szCs w:val="21"/>
              </w:rPr>
              <w:t>1、资质要求：见招标公告“投标人资格条件要求附表”</w:t>
            </w:r>
          </w:p>
          <w:p>
            <w:pPr>
              <w:spacing w:line="280" w:lineRule="exact"/>
              <w:jc w:val="left"/>
              <w:rPr>
                <w:rFonts w:ascii="仿宋" w:hAnsi="仿宋" w:eastAsia="仿宋" w:cs="仿宋"/>
                <w:sz w:val="21"/>
                <w:szCs w:val="21"/>
              </w:rPr>
            </w:pPr>
            <w:r>
              <w:rPr>
                <w:rFonts w:hint="eastAsia" w:ascii="仿宋" w:hAnsi="仿宋" w:eastAsia="仿宋" w:cs="仿宋"/>
                <w:sz w:val="21"/>
                <w:szCs w:val="21"/>
              </w:rPr>
              <w:t>2、财务要求：不作要求</w:t>
            </w:r>
          </w:p>
          <w:p>
            <w:pPr>
              <w:spacing w:line="280" w:lineRule="exact"/>
              <w:jc w:val="left"/>
              <w:rPr>
                <w:rFonts w:ascii="仿宋" w:hAnsi="仿宋" w:eastAsia="仿宋" w:cs="仿宋"/>
                <w:sz w:val="21"/>
                <w:szCs w:val="21"/>
              </w:rPr>
            </w:pPr>
            <w:r>
              <w:rPr>
                <w:rFonts w:hint="eastAsia" w:ascii="仿宋" w:hAnsi="仿宋" w:eastAsia="仿宋" w:cs="仿宋"/>
                <w:sz w:val="21"/>
                <w:szCs w:val="21"/>
              </w:rPr>
              <w:t>3、业绩要求：详见投标人资格条件要求附表</w:t>
            </w:r>
          </w:p>
          <w:p>
            <w:pPr>
              <w:spacing w:line="280" w:lineRule="exact"/>
              <w:jc w:val="left"/>
              <w:rPr>
                <w:rFonts w:ascii="仿宋" w:hAnsi="仿宋" w:eastAsia="仿宋" w:cs="仿宋"/>
                <w:sz w:val="21"/>
                <w:szCs w:val="21"/>
              </w:rPr>
            </w:pPr>
            <w:r>
              <w:rPr>
                <w:rFonts w:hint="eastAsia" w:ascii="仿宋" w:hAnsi="仿宋" w:eastAsia="仿宋" w:cs="仿宋"/>
                <w:sz w:val="21"/>
                <w:szCs w:val="21"/>
              </w:rPr>
              <w:t>4、信誉要求：信誉良好。</w:t>
            </w:r>
          </w:p>
          <w:p>
            <w:pPr>
              <w:spacing w:line="280" w:lineRule="exact"/>
              <w:jc w:val="left"/>
              <w:rPr>
                <w:rFonts w:ascii="仿宋" w:hAnsi="仿宋" w:eastAsia="仿宋" w:cs="仿宋"/>
                <w:sz w:val="21"/>
                <w:szCs w:val="21"/>
              </w:rPr>
            </w:pPr>
            <w:r>
              <w:rPr>
                <w:rFonts w:hint="eastAsia" w:ascii="仿宋" w:hAnsi="仿宋" w:eastAsia="仿宋" w:cs="仿宋"/>
                <w:sz w:val="21"/>
                <w:szCs w:val="21"/>
              </w:rPr>
              <w:t>5、项目负责人资格：见招标公告“投标人资格条件要求附表”</w:t>
            </w:r>
          </w:p>
          <w:p>
            <w:pPr>
              <w:spacing w:line="280" w:lineRule="exact"/>
              <w:jc w:val="left"/>
              <w:rPr>
                <w:rFonts w:ascii="仿宋" w:hAnsi="仿宋" w:eastAsia="仿宋" w:cs="仿宋"/>
                <w:sz w:val="21"/>
                <w:szCs w:val="21"/>
              </w:rPr>
            </w:pPr>
            <w:r>
              <w:rPr>
                <w:rFonts w:hint="eastAsia" w:ascii="仿宋" w:hAnsi="仿宋" w:eastAsia="仿宋" w:cs="仿宋"/>
                <w:sz w:val="21"/>
                <w:szCs w:val="21"/>
              </w:rPr>
              <w:t>其他要求：见招标公告“投标人资格条件要求附表”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条款号</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条款名称</w:t>
            </w:r>
          </w:p>
        </w:tc>
        <w:tc>
          <w:tcPr>
            <w:tcW w:w="6908"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1.4.2</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是否接受联合体投标</w:t>
            </w:r>
          </w:p>
        </w:tc>
        <w:tc>
          <w:tcPr>
            <w:tcW w:w="6908" w:type="dxa"/>
            <w:vAlign w:val="center"/>
          </w:tcPr>
          <w:p>
            <w:pPr>
              <w:rPr>
                <w:rFonts w:hint="eastAsia" w:ascii="仿宋" w:hAnsi="仿宋" w:eastAsia="仿宋" w:cs="仿宋"/>
                <w:sz w:val="21"/>
                <w:szCs w:val="21"/>
                <w:u w:val="single"/>
                <w:lang w:val="en-US" w:eastAsia="zh-CN"/>
              </w:rPr>
            </w:pPr>
            <w:r>
              <w:rPr>
                <w:rFonts w:hint="eastAsia" w:ascii="仿宋" w:hAnsi="仿宋" w:eastAsia="仿宋" w:cs="仿宋"/>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1.9.1</w:t>
            </w:r>
          </w:p>
        </w:tc>
        <w:tc>
          <w:tcPr>
            <w:tcW w:w="2123" w:type="dxa"/>
            <w:vAlign w:val="center"/>
          </w:tcPr>
          <w:p>
            <w:pPr>
              <w:snapToGrid w:val="0"/>
              <w:spacing w:line="30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踏勘现场</w:t>
            </w:r>
          </w:p>
        </w:tc>
        <w:tc>
          <w:tcPr>
            <w:tcW w:w="6908" w:type="dxa"/>
            <w:vAlign w:val="center"/>
          </w:tcPr>
          <w:p>
            <w:pPr>
              <w:snapToGrid w:val="0"/>
              <w:rPr>
                <w:rFonts w:ascii="仿宋" w:hAnsi="仿宋" w:eastAsia="仿宋" w:cs="仿宋"/>
                <w:sz w:val="21"/>
                <w:szCs w:val="21"/>
              </w:rPr>
            </w:pPr>
            <w:r>
              <w:rPr>
                <w:rFonts w:hint="eastAsia" w:ascii="仿宋" w:hAnsi="仿宋" w:eastAsia="仿宋" w:cs="仿宋"/>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1.10</w:t>
            </w:r>
          </w:p>
        </w:tc>
        <w:tc>
          <w:tcPr>
            <w:tcW w:w="2123" w:type="dxa"/>
            <w:vAlign w:val="center"/>
          </w:tcPr>
          <w:p>
            <w:pPr>
              <w:snapToGrid w:val="0"/>
              <w:spacing w:line="30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投标预备会</w:t>
            </w:r>
          </w:p>
        </w:tc>
        <w:tc>
          <w:tcPr>
            <w:tcW w:w="6908" w:type="dxa"/>
            <w:vAlign w:val="center"/>
          </w:tcPr>
          <w:p>
            <w:pPr>
              <w:snapToGrid w:val="0"/>
              <w:spacing w:line="300" w:lineRule="exact"/>
              <w:rPr>
                <w:rFonts w:ascii="仿宋" w:hAnsi="仿宋" w:eastAsia="仿宋" w:cs="仿宋"/>
                <w:sz w:val="21"/>
                <w:szCs w:val="21"/>
              </w:rPr>
            </w:pPr>
            <w:r>
              <w:rPr>
                <w:rFonts w:hint="eastAsia" w:ascii="仿宋" w:hAnsi="仿宋" w:eastAsia="仿宋" w:cs="仿宋"/>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1.11</w:t>
            </w:r>
          </w:p>
        </w:tc>
        <w:tc>
          <w:tcPr>
            <w:tcW w:w="2123" w:type="dxa"/>
            <w:vAlign w:val="center"/>
          </w:tcPr>
          <w:p>
            <w:pPr>
              <w:snapToGrid w:val="0"/>
              <w:spacing w:line="30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分包</w:t>
            </w:r>
          </w:p>
        </w:tc>
        <w:tc>
          <w:tcPr>
            <w:tcW w:w="6908" w:type="dxa"/>
            <w:vAlign w:val="center"/>
          </w:tcPr>
          <w:p>
            <w:pPr>
              <w:snapToGrid w:val="0"/>
              <w:spacing w:line="300" w:lineRule="exact"/>
              <w:rPr>
                <w:rFonts w:ascii="仿宋" w:hAnsi="仿宋" w:eastAsia="仿宋" w:cs="仿宋"/>
                <w:sz w:val="21"/>
                <w:szCs w:val="21"/>
              </w:rPr>
            </w:pPr>
            <w:r>
              <w:rPr>
                <w:rFonts w:hint="eastAsia" w:ascii="仿宋" w:hAnsi="仿宋" w:eastAsia="仿宋" w:cs="仿宋"/>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1.12</w:t>
            </w:r>
          </w:p>
        </w:tc>
        <w:tc>
          <w:tcPr>
            <w:tcW w:w="2123" w:type="dxa"/>
            <w:vAlign w:val="center"/>
          </w:tcPr>
          <w:p>
            <w:pPr>
              <w:spacing w:line="320" w:lineRule="exact"/>
              <w:jc w:val="center"/>
              <w:rPr>
                <w:rFonts w:ascii="仿宋" w:hAnsi="仿宋" w:eastAsia="仿宋" w:cs="仿宋"/>
                <w:color w:val="FF0000"/>
                <w:sz w:val="21"/>
                <w:szCs w:val="21"/>
              </w:rPr>
            </w:pPr>
            <w:r>
              <w:rPr>
                <w:rFonts w:hint="eastAsia" w:ascii="仿宋" w:hAnsi="仿宋" w:eastAsia="仿宋" w:cs="仿宋"/>
                <w:color w:val="FF0000"/>
                <w:sz w:val="21"/>
                <w:szCs w:val="21"/>
              </w:rPr>
              <w:t>偏离</w:t>
            </w:r>
          </w:p>
        </w:tc>
        <w:tc>
          <w:tcPr>
            <w:tcW w:w="6908" w:type="dxa"/>
            <w:vAlign w:val="center"/>
          </w:tcPr>
          <w:p>
            <w:pPr>
              <w:spacing w:line="280" w:lineRule="exact"/>
              <w:rPr>
                <w:rFonts w:ascii="仿宋" w:hAnsi="仿宋" w:eastAsia="仿宋" w:cs="仿宋"/>
                <w:bCs/>
                <w:sz w:val="21"/>
                <w:szCs w:val="21"/>
              </w:rPr>
            </w:pPr>
            <w:r>
              <w:rPr>
                <w:rFonts w:hint="eastAsia" w:ascii="仿宋" w:hAnsi="仿宋" w:eastAsia="仿宋" w:cs="仿宋"/>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jc w:val="center"/>
        </w:trPr>
        <w:tc>
          <w:tcPr>
            <w:tcW w:w="945" w:type="dxa"/>
            <w:vAlign w:val="center"/>
          </w:tcPr>
          <w:p>
            <w:pPr>
              <w:ind w:left="9"/>
              <w:jc w:val="center"/>
              <w:rPr>
                <w:rFonts w:ascii="仿宋" w:hAnsi="仿宋" w:eastAsia="仿宋" w:cs="仿宋"/>
                <w:sz w:val="22"/>
                <w:szCs w:val="22"/>
              </w:rPr>
            </w:pPr>
            <w:r>
              <w:rPr>
                <w:rFonts w:hint="eastAsia" w:ascii="仿宋" w:hAnsi="仿宋" w:eastAsia="仿宋" w:cs="仿宋"/>
                <w:sz w:val="22"/>
                <w:szCs w:val="22"/>
              </w:rPr>
              <w:t>2.1</w:t>
            </w:r>
          </w:p>
        </w:tc>
        <w:tc>
          <w:tcPr>
            <w:tcW w:w="2123" w:type="dxa"/>
            <w:vAlign w:val="center"/>
          </w:tcPr>
          <w:p>
            <w:pPr>
              <w:ind w:left="7"/>
              <w:jc w:val="center"/>
              <w:rPr>
                <w:rFonts w:ascii="仿宋" w:hAnsi="仿宋" w:eastAsia="仿宋" w:cs="仿宋"/>
                <w:sz w:val="22"/>
                <w:szCs w:val="22"/>
              </w:rPr>
            </w:pPr>
            <w:r>
              <w:rPr>
                <w:rFonts w:hint="eastAsia" w:ascii="仿宋" w:hAnsi="仿宋" w:eastAsia="仿宋" w:cs="仿宋"/>
                <w:sz w:val="22"/>
                <w:szCs w:val="22"/>
              </w:rPr>
              <w:t>构成招标文件的其他资料</w:t>
            </w:r>
          </w:p>
        </w:tc>
        <w:tc>
          <w:tcPr>
            <w:tcW w:w="6908" w:type="dxa"/>
            <w:vAlign w:val="center"/>
          </w:tcPr>
          <w:p>
            <w:pPr>
              <w:ind w:left="7"/>
              <w:jc w:val="left"/>
              <w:rPr>
                <w:rFonts w:ascii="仿宋" w:hAnsi="仿宋" w:eastAsia="仿宋" w:cs="仿宋"/>
                <w:sz w:val="22"/>
                <w:szCs w:val="22"/>
              </w:rPr>
            </w:pPr>
            <w:r>
              <w:rPr>
                <w:rFonts w:hint="eastAsia" w:ascii="仿宋" w:hAnsi="仿宋" w:eastAsia="仿宋" w:cs="仿宋"/>
                <w:sz w:val="22"/>
                <w:szCs w:val="22"/>
              </w:rPr>
              <w:t>招标文件修改补充文件；</w:t>
            </w:r>
          </w:p>
          <w:p>
            <w:pPr>
              <w:ind w:left="7"/>
              <w:jc w:val="left"/>
              <w:rPr>
                <w:rFonts w:ascii="仿宋" w:hAnsi="仿宋" w:eastAsia="仿宋" w:cs="仿宋"/>
                <w:sz w:val="22"/>
                <w:szCs w:val="22"/>
              </w:rPr>
            </w:pPr>
            <w:r>
              <w:rPr>
                <w:rFonts w:hint="eastAsia" w:ascii="仿宋" w:hAnsi="仿宋" w:eastAsia="仿宋" w:cs="仿宋"/>
                <w:sz w:val="22"/>
                <w:szCs w:val="22"/>
              </w:rPr>
              <w:t>投标人提疑回复函；</w:t>
            </w:r>
          </w:p>
          <w:p>
            <w:pPr>
              <w:ind w:left="7"/>
              <w:jc w:val="left"/>
              <w:rPr>
                <w:rFonts w:ascii="仿宋" w:hAnsi="仿宋" w:eastAsia="仿宋" w:cs="仿宋"/>
                <w:sz w:val="22"/>
                <w:szCs w:val="22"/>
              </w:rPr>
            </w:pPr>
            <w:r>
              <w:rPr>
                <w:rFonts w:hint="eastAsia" w:ascii="仿宋" w:hAnsi="仿宋" w:eastAsia="仿宋" w:cs="仿宋"/>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ind w:left="9"/>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2.2.1</w:t>
            </w:r>
          </w:p>
        </w:tc>
        <w:tc>
          <w:tcPr>
            <w:tcW w:w="2123" w:type="dxa"/>
            <w:vAlign w:val="center"/>
          </w:tcPr>
          <w:p>
            <w:pPr>
              <w:spacing w:line="320" w:lineRule="exact"/>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投标人提疑的截止时间</w:t>
            </w:r>
          </w:p>
        </w:tc>
        <w:tc>
          <w:tcPr>
            <w:tcW w:w="6908" w:type="dxa"/>
            <w:vAlign w:val="center"/>
          </w:tcPr>
          <w:p>
            <w:pPr>
              <w:spacing w:line="320" w:lineRule="exact"/>
              <w:rPr>
                <w:rFonts w:ascii="仿宋" w:hAnsi="仿宋" w:eastAsia="仿宋" w:cs="仿宋"/>
                <w:color w:val="000000" w:themeColor="text1"/>
                <w:sz w:val="22"/>
                <w:szCs w:val="22"/>
                <w14:textFill>
                  <w14:solidFill>
                    <w14:schemeClr w14:val="tx1"/>
                  </w14:solidFill>
                </w14:textFill>
              </w:rPr>
            </w:pPr>
            <w:permStart w:id="2" w:edGrp="everyone"/>
            <w:r>
              <w:rPr>
                <w:rFonts w:hint="eastAsia" w:ascii="仿宋" w:hAnsi="仿宋" w:eastAsia="仿宋" w:cs="仿宋"/>
                <w:color w:val="000000" w:themeColor="text1"/>
                <w:sz w:val="22"/>
                <w:szCs w:val="22"/>
                <w:u w:val="single"/>
                <w14:textFill>
                  <w14:solidFill>
                    <w14:schemeClr w14:val="tx1"/>
                  </w14:solidFill>
                </w14:textFill>
              </w:rPr>
              <w:t xml:space="preserve">2023 </w:t>
            </w:r>
            <w:permEnd w:id="2"/>
            <w:r>
              <w:rPr>
                <w:rFonts w:hint="eastAsia" w:ascii="仿宋" w:hAnsi="仿宋" w:eastAsia="仿宋" w:cs="仿宋"/>
                <w:color w:val="000000" w:themeColor="text1"/>
                <w:sz w:val="22"/>
                <w:szCs w:val="22"/>
                <w14:textFill>
                  <w14:solidFill>
                    <w14:schemeClr w14:val="tx1"/>
                  </w14:solidFill>
                </w14:textFill>
              </w:rPr>
              <w:t>年</w:t>
            </w:r>
            <w:r>
              <w:rPr>
                <w:rFonts w:hint="eastAsia" w:ascii="仿宋" w:hAnsi="仿宋" w:eastAsia="仿宋" w:cs="仿宋"/>
                <w:color w:val="000000" w:themeColor="text1"/>
                <w:sz w:val="22"/>
                <w:szCs w:val="22"/>
                <w:u w:val="single"/>
                <w:lang w:val="en-US" w:eastAsia="zh-CN"/>
                <w14:textFill>
                  <w14:solidFill>
                    <w14:schemeClr w14:val="tx1"/>
                  </w14:solidFill>
                </w14:textFill>
              </w:rPr>
              <w:t>7</w:t>
            </w:r>
            <w:r>
              <w:rPr>
                <w:rFonts w:hint="eastAsia" w:ascii="仿宋" w:hAnsi="仿宋" w:eastAsia="仿宋" w:cs="仿宋"/>
                <w:color w:val="000000" w:themeColor="text1"/>
                <w:sz w:val="22"/>
                <w:szCs w:val="22"/>
                <w14:textFill>
                  <w14:solidFill>
                    <w14:schemeClr w14:val="tx1"/>
                  </w14:solidFill>
                </w14:textFill>
              </w:rPr>
              <w:t>月</w:t>
            </w:r>
            <w:r>
              <w:rPr>
                <w:rFonts w:hint="eastAsia" w:ascii="仿宋" w:hAnsi="仿宋" w:eastAsia="仿宋" w:cs="仿宋"/>
                <w:color w:val="000000" w:themeColor="text1"/>
                <w:sz w:val="22"/>
                <w:szCs w:val="22"/>
                <w:u w:val="single"/>
                <w:lang w:val="en-US" w:eastAsia="zh-CN"/>
                <w14:textFill>
                  <w14:solidFill>
                    <w14:schemeClr w14:val="tx1"/>
                  </w14:solidFill>
                </w14:textFill>
              </w:rPr>
              <w:t>15</w:t>
            </w:r>
            <w:bookmarkStart w:id="718" w:name="_GoBack"/>
            <w:bookmarkEnd w:id="718"/>
            <w:r>
              <w:rPr>
                <w:rFonts w:hint="eastAsia" w:ascii="仿宋" w:hAnsi="仿宋" w:eastAsia="仿宋" w:cs="仿宋"/>
                <w:color w:val="000000" w:themeColor="text1"/>
                <w:sz w:val="22"/>
                <w:szCs w:val="22"/>
                <w14:textFill>
                  <w14:solidFill>
                    <w14:schemeClr w14:val="tx1"/>
                  </w14:solidFill>
                </w14:textFill>
              </w:rPr>
              <w:t>日</w:t>
            </w:r>
            <w:permStart w:id="3" w:edGrp="everyone"/>
            <w:r>
              <w:rPr>
                <w:rFonts w:hint="eastAsia" w:ascii="仿宋" w:hAnsi="仿宋" w:eastAsia="仿宋" w:cs="仿宋"/>
                <w:color w:val="000000" w:themeColor="text1"/>
                <w:sz w:val="22"/>
                <w:szCs w:val="22"/>
                <w:u w:val="single"/>
                <w14:textFill>
                  <w14:solidFill>
                    <w14:schemeClr w14:val="tx1"/>
                  </w14:solidFill>
                </w14:textFill>
              </w:rPr>
              <w:t xml:space="preserve"> 23 </w:t>
            </w:r>
            <w:permEnd w:id="3"/>
            <w:r>
              <w:rPr>
                <w:rFonts w:hint="eastAsia" w:ascii="仿宋" w:hAnsi="仿宋" w:eastAsia="仿宋" w:cs="仿宋"/>
                <w:color w:val="000000" w:themeColor="text1"/>
                <w:sz w:val="22"/>
                <w:szCs w:val="22"/>
                <w14:textFill>
                  <w14:solidFill>
                    <w14:schemeClr w14:val="tx1"/>
                  </w14:solidFill>
                </w14:textFill>
              </w:rPr>
              <w:t>时</w:t>
            </w:r>
            <w:permStart w:id="4" w:edGrp="everyone"/>
            <w:r>
              <w:rPr>
                <w:rFonts w:hint="eastAsia" w:ascii="仿宋" w:hAnsi="仿宋" w:eastAsia="仿宋" w:cs="仿宋"/>
                <w:color w:val="000000" w:themeColor="text1"/>
                <w:sz w:val="22"/>
                <w:szCs w:val="22"/>
                <w:u w:val="single"/>
                <w14:textFill>
                  <w14:solidFill>
                    <w14:schemeClr w14:val="tx1"/>
                  </w14:solidFill>
                </w14:textFill>
              </w:rPr>
              <w:t xml:space="preserve"> 59 </w:t>
            </w:r>
            <w:permEnd w:id="4"/>
            <w:r>
              <w:rPr>
                <w:rFonts w:hint="eastAsia" w:ascii="仿宋" w:hAnsi="仿宋" w:eastAsia="仿宋" w:cs="仿宋"/>
                <w:color w:val="000000" w:themeColor="text1"/>
                <w:sz w:val="22"/>
                <w:szCs w:val="22"/>
                <w14:textFill>
                  <w14:solidFill>
                    <w14:schemeClr w14:val="tx1"/>
                  </w14:solidFill>
                </w14:textFill>
              </w:rPr>
              <w:t>分</w:t>
            </w:r>
            <w:permStart w:id="5" w:edGrp="everyone"/>
            <w:r>
              <w:rPr>
                <w:rFonts w:hint="eastAsia" w:ascii="仿宋" w:hAnsi="仿宋" w:eastAsia="仿宋" w:cs="仿宋"/>
                <w:color w:val="000000" w:themeColor="text1"/>
                <w:sz w:val="22"/>
                <w:szCs w:val="22"/>
                <w:u w:val="single"/>
                <w14:textFill>
                  <w14:solidFill>
                    <w14:schemeClr w14:val="tx1"/>
                  </w14:solidFill>
                </w14:textFill>
              </w:rPr>
              <w:t xml:space="preserve"> 59 </w:t>
            </w:r>
            <w:permEnd w:id="5"/>
            <w:r>
              <w:rPr>
                <w:rFonts w:hint="eastAsia" w:ascii="仿宋" w:hAnsi="仿宋" w:eastAsia="仿宋" w:cs="仿宋"/>
                <w:color w:val="000000" w:themeColor="text1"/>
                <w:sz w:val="22"/>
                <w:szCs w:val="22"/>
                <w14:textFill>
                  <w14:solidFill>
                    <w14:schemeClr w14:val="tx1"/>
                  </w14:solidFill>
                </w14:textFill>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exact"/>
          <w:jc w:val="center"/>
        </w:trPr>
        <w:tc>
          <w:tcPr>
            <w:tcW w:w="945" w:type="dxa"/>
            <w:vAlign w:val="center"/>
          </w:tcPr>
          <w:p>
            <w:pPr>
              <w:ind w:left="9"/>
              <w:jc w:val="center"/>
              <w:rPr>
                <w:rFonts w:ascii="仿宋" w:hAnsi="仿宋" w:eastAsia="仿宋" w:cs="仿宋"/>
                <w:sz w:val="22"/>
                <w:szCs w:val="22"/>
              </w:rPr>
            </w:pPr>
            <w:r>
              <w:rPr>
                <w:rFonts w:hint="eastAsia" w:ascii="仿宋" w:hAnsi="仿宋" w:eastAsia="仿宋" w:cs="仿宋"/>
                <w:sz w:val="22"/>
                <w:szCs w:val="22"/>
              </w:rPr>
              <w:t>2.2.3</w:t>
            </w:r>
          </w:p>
        </w:tc>
        <w:tc>
          <w:tcPr>
            <w:tcW w:w="2123" w:type="dxa"/>
            <w:vAlign w:val="center"/>
          </w:tcPr>
          <w:p>
            <w:pPr>
              <w:spacing w:line="320" w:lineRule="exact"/>
              <w:jc w:val="center"/>
              <w:rPr>
                <w:rFonts w:ascii="仿宋" w:hAnsi="仿宋" w:eastAsia="仿宋" w:cs="仿宋"/>
                <w:sz w:val="22"/>
                <w:szCs w:val="22"/>
              </w:rPr>
            </w:pPr>
            <w:r>
              <w:rPr>
                <w:rFonts w:hint="eastAsia" w:ascii="仿宋" w:hAnsi="仿宋" w:eastAsia="仿宋" w:cs="仿宋"/>
                <w:sz w:val="22"/>
                <w:szCs w:val="22"/>
              </w:rPr>
              <w:t>提疑、答疑澄清的方式</w:t>
            </w:r>
          </w:p>
        </w:tc>
        <w:tc>
          <w:tcPr>
            <w:tcW w:w="6908" w:type="dxa"/>
            <w:vAlign w:val="center"/>
          </w:tcPr>
          <w:p>
            <w:pPr>
              <w:spacing w:line="320" w:lineRule="exact"/>
              <w:rPr>
                <w:rFonts w:eastAsia="仿宋" w:cs="宋体"/>
                <w:b/>
                <w:sz w:val="21"/>
                <w:szCs w:val="21"/>
              </w:rPr>
            </w:pPr>
            <w:r>
              <w:rPr>
                <w:rFonts w:hint="eastAsia" w:eastAsia="仿宋" w:cs="宋体"/>
                <w:b/>
                <w:sz w:val="21"/>
                <w:szCs w:val="21"/>
              </w:rPr>
              <w:t>提疑：投标人对招标文件有任何疑问，应于规定的提疑截止时间前通过登录湖州市公共资源交易信息网—交易主体登录—电子招投标交易平台—网上提问，进行提疑；或于规定的提疑截止时间前在湖州市公共资源交易信息网(http://ggzy.huzhou.gov.cn/) —“其他交易栏--招标公告”中相应工程的公告中的“提问”区进行提疑；</w:t>
            </w:r>
          </w:p>
          <w:p>
            <w:pPr>
              <w:spacing w:line="320" w:lineRule="exact"/>
              <w:rPr>
                <w:rFonts w:eastAsia="仿宋" w:cs="宋体"/>
                <w:b/>
                <w:sz w:val="21"/>
                <w:szCs w:val="21"/>
              </w:rPr>
            </w:pPr>
            <w:r>
              <w:rPr>
                <w:rFonts w:hint="eastAsia" w:eastAsia="仿宋" w:cs="宋体"/>
                <w:b/>
                <w:sz w:val="21"/>
                <w:szCs w:val="21"/>
              </w:rPr>
              <w:t>答疑澄清：无论是招标人根据需要主动对招标文件进行必要的澄清，或是根据投标人的对招标文件提交的疑问，招标人都将于规定的投标截止时间前通过湖州市公共资源交易系统进行发布。</w:t>
            </w:r>
          </w:p>
          <w:p>
            <w:pPr>
              <w:snapToGrid w:val="0"/>
              <w:spacing w:line="320" w:lineRule="exact"/>
              <w:rPr>
                <w:rFonts w:ascii="仿宋" w:hAnsi="仿宋" w:eastAsia="仿宋" w:cs="仿宋"/>
                <w:sz w:val="22"/>
                <w:szCs w:val="22"/>
              </w:rPr>
            </w:pPr>
            <w:r>
              <w:rPr>
                <w:rFonts w:hint="eastAsia" w:eastAsia="仿宋" w:cs="宋体"/>
                <w:b/>
                <w:sz w:val="21"/>
                <w:szCs w:val="21"/>
              </w:rPr>
              <w:t>查看答疑：投标人应在截标时间前登录湖州市限额发包平台-交易主体-相应工程或在湖州市限额发包平台(http://49.4.53.110/HZfront/) “其他交易--交易公告””相应工程公告中的“答疑信息”区随时查看系统中有关该工程的答疑澄清等内容。否则，由此引起的投标损失自负。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45" w:type="dxa"/>
            <w:vAlign w:val="center"/>
          </w:tcPr>
          <w:p>
            <w:pPr>
              <w:ind w:left="9"/>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2.3.1</w:t>
            </w:r>
          </w:p>
        </w:tc>
        <w:tc>
          <w:tcPr>
            <w:tcW w:w="2123" w:type="dxa"/>
            <w:vAlign w:val="center"/>
          </w:tcPr>
          <w:p>
            <w:pPr>
              <w:spacing w:line="320" w:lineRule="exact"/>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招标人修改招标文件截止时间</w:t>
            </w:r>
          </w:p>
        </w:tc>
        <w:tc>
          <w:tcPr>
            <w:tcW w:w="6908" w:type="dxa"/>
            <w:vAlign w:val="center"/>
          </w:tcPr>
          <w:p>
            <w:pPr>
              <w:spacing w:line="320" w:lineRule="exact"/>
              <w:rPr>
                <w:rFonts w:ascii="仿宋" w:hAnsi="仿宋" w:eastAsia="仿宋" w:cs="仿宋"/>
                <w:color w:val="000000" w:themeColor="text1"/>
                <w:sz w:val="22"/>
                <w:szCs w:val="22"/>
                <w14:textFill>
                  <w14:solidFill>
                    <w14:schemeClr w14:val="tx1"/>
                  </w14:solidFill>
                </w14:textFill>
              </w:rPr>
            </w:pPr>
            <w:permStart w:id="6" w:edGrp="everyone"/>
            <w:r>
              <w:rPr>
                <w:rFonts w:hint="eastAsia" w:ascii="仿宋" w:hAnsi="仿宋" w:eastAsia="仿宋" w:cs="仿宋"/>
                <w:color w:val="000000" w:themeColor="text1"/>
                <w:sz w:val="22"/>
                <w:szCs w:val="22"/>
                <w:u w:val="single"/>
                <w14:textFill>
                  <w14:solidFill>
                    <w14:schemeClr w14:val="tx1"/>
                  </w14:solidFill>
                </w14:textFill>
              </w:rPr>
              <w:t xml:space="preserve"> 2023 </w:t>
            </w:r>
            <w:permEnd w:id="6"/>
            <w:r>
              <w:rPr>
                <w:rFonts w:hint="eastAsia" w:ascii="仿宋" w:hAnsi="仿宋" w:eastAsia="仿宋" w:cs="仿宋"/>
                <w:color w:val="000000" w:themeColor="text1"/>
                <w:sz w:val="22"/>
                <w:szCs w:val="22"/>
                <w14:textFill>
                  <w14:solidFill>
                    <w14:schemeClr w14:val="tx1"/>
                  </w14:solidFill>
                </w14:textFill>
              </w:rPr>
              <w:t>年</w:t>
            </w:r>
            <w:r>
              <w:rPr>
                <w:rFonts w:hint="eastAsia" w:ascii="仿宋" w:hAnsi="仿宋" w:eastAsia="仿宋" w:cs="仿宋"/>
                <w:color w:val="000000" w:themeColor="text1"/>
                <w:sz w:val="22"/>
                <w:szCs w:val="22"/>
                <w:u w:val="single"/>
                <w:lang w:val="en-US" w:eastAsia="zh-CN"/>
                <w14:textFill>
                  <w14:solidFill>
                    <w14:schemeClr w14:val="tx1"/>
                  </w14:solidFill>
                </w14:textFill>
              </w:rPr>
              <w:t>7</w:t>
            </w:r>
            <w:r>
              <w:rPr>
                <w:rFonts w:hint="eastAsia" w:ascii="仿宋" w:hAnsi="仿宋" w:eastAsia="仿宋" w:cs="仿宋"/>
                <w:color w:val="000000" w:themeColor="text1"/>
                <w:sz w:val="22"/>
                <w:szCs w:val="22"/>
                <w14:textFill>
                  <w14:solidFill>
                    <w14:schemeClr w14:val="tx1"/>
                  </w14:solidFill>
                </w14:textFill>
              </w:rPr>
              <w:t>月</w:t>
            </w:r>
            <w:r>
              <w:rPr>
                <w:rFonts w:hint="eastAsia" w:ascii="仿宋" w:hAnsi="仿宋" w:eastAsia="仿宋" w:cs="仿宋"/>
                <w:color w:val="000000" w:themeColor="text1"/>
                <w:sz w:val="22"/>
                <w:szCs w:val="22"/>
                <w:u w:val="single"/>
                <w:lang w:val="en-US" w:eastAsia="zh-CN"/>
                <w14:textFill>
                  <w14:solidFill>
                    <w14:schemeClr w14:val="tx1"/>
                  </w14:solidFill>
                </w14:textFill>
              </w:rPr>
              <w:t>10</w:t>
            </w:r>
            <w:r>
              <w:rPr>
                <w:rFonts w:hint="eastAsia" w:ascii="仿宋" w:hAnsi="仿宋" w:eastAsia="仿宋" w:cs="仿宋"/>
                <w:color w:val="000000" w:themeColor="text1"/>
                <w:sz w:val="22"/>
                <w:szCs w:val="22"/>
                <w14:textFill>
                  <w14:solidFill>
                    <w14:schemeClr w14:val="tx1"/>
                  </w14:solidFill>
                </w14:textFill>
              </w:rPr>
              <w:t>日</w:t>
            </w:r>
            <w:permStart w:id="7" w:edGrp="everyone"/>
            <w:r>
              <w:rPr>
                <w:rFonts w:hint="eastAsia" w:ascii="仿宋" w:hAnsi="仿宋" w:eastAsia="仿宋" w:cs="仿宋"/>
                <w:color w:val="000000" w:themeColor="text1"/>
                <w:sz w:val="22"/>
                <w:szCs w:val="22"/>
                <w:u w:val="single"/>
                <w14:textFill>
                  <w14:solidFill>
                    <w14:schemeClr w14:val="tx1"/>
                  </w14:solidFill>
                </w14:textFill>
              </w:rPr>
              <w:t xml:space="preserve"> 23 </w:t>
            </w:r>
            <w:permEnd w:id="7"/>
            <w:r>
              <w:rPr>
                <w:rFonts w:hint="eastAsia" w:ascii="仿宋" w:hAnsi="仿宋" w:eastAsia="仿宋" w:cs="仿宋"/>
                <w:color w:val="000000" w:themeColor="text1"/>
                <w:sz w:val="22"/>
                <w:szCs w:val="22"/>
                <w14:textFill>
                  <w14:solidFill>
                    <w14:schemeClr w14:val="tx1"/>
                  </w14:solidFill>
                </w14:textFill>
              </w:rPr>
              <w:t>时</w:t>
            </w:r>
            <w:permStart w:id="8" w:edGrp="everyone"/>
            <w:r>
              <w:rPr>
                <w:rFonts w:hint="eastAsia" w:ascii="仿宋" w:hAnsi="仿宋" w:eastAsia="仿宋" w:cs="仿宋"/>
                <w:color w:val="000000" w:themeColor="text1"/>
                <w:sz w:val="22"/>
                <w:szCs w:val="22"/>
                <w:u w:val="single"/>
                <w14:textFill>
                  <w14:solidFill>
                    <w14:schemeClr w14:val="tx1"/>
                  </w14:solidFill>
                </w14:textFill>
              </w:rPr>
              <w:t xml:space="preserve"> 59 </w:t>
            </w:r>
            <w:permEnd w:id="8"/>
            <w:r>
              <w:rPr>
                <w:rFonts w:hint="eastAsia" w:ascii="仿宋" w:hAnsi="仿宋" w:eastAsia="仿宋" w:cs="仿宋"/>
                <w:color w:val="000000" w:themeColor="text1"/>
                <w:sz w:val="22"/>
                <w:szCs w:val="22"/>
                <w14:textFill>
                  <w14:solidFill>
                    <w14:schemeClr w14:val="tx1"/>
                  </w14:solidFill>
                </w14:textFill>
              </w:rPr>
              <w:t>分</w:t>
            </w:r>
            <w:permStart w:id="9" w:edGrp="everyone"/>
            <w:r>
              <w:rPr>
                <w:rFonts w:hint="eastAsia" w:ascii="仿宋" w:hAnsi="仿宋" w:eastAsia="仿宋" w:cs="仿宋"/>
                <w:color w:val="000000" w:themeColor="text1"/>
                <w:sz w:val="22"/>
                <w:szCs w:val="22"/>
                <w14:textFill>
                  <w14:solidFill>
                    <w14:schemeClr w14:val="tx1"/>
                  </w14:solidFill>
                </w14:textFill>
              </w:rPr>
              <w:t xml:space="preserve"> </w:t>
            </w:r>
            <w:r>
              <w:rPr>
                <w:rFonts w:hint="eastAsia" w:ascii="仿宋" w:hAnsi="仿宋" w:eastAsia="仿宋" w:cs="仿宋"/>
                <w:color w:val="000000" w:themeColor="text1"/>
                <w:sz w:val="22"/>
                <w:szCs w:val="22"/>
                <w:u w:val="single"/>
                <w14:textFill>
                  <w14:solidFill>
                    <w14:schemeClr w14:val="tx1"/>
                  </w14:solidFill>
                </w14:textFill>
              </w:rPr>
              <w:t xml:space="preserve"> 59秒</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45" w:type="dxa"/>
            <w:vAlign w:val="center"/>
          </w:tcPr>
          <w:p>
            <w:pPr>
              <w:ind w:left="9"/>
              <w:jc w:val="center"/>
              <w:rPr>
                <w:rFonts w:ascii="仿宋" w:hAnsi="仿宋" w:eastAsia="仿宋" w:cs="仿宋"/>
                <w:sz w:val="22"/>
                <w:szCs w:val="22"/>
              </w:rPr>
            </w:pPr>
            <w:r>
              <w:rPr>
                <w:rFonts w:hint="eastAsia" w:ascii="仿宋" w:hAnsi="仿宋" w:eastAsia="仿宋" w:cs="仿宋"/>
                <w:sz w:val="22"/>
                <w:szCs w:val="22"/>
              </w:rPr>
              <w:t>2.3.2</w:t>
            </w:r>
          </w:p>
        </w:tc>
        <w:tc>
          <w:tcPr>
            <w:tcW w:w="2123" w:type="dxa"/>
            <w:vAlign w:val="center"/>
          </w:tcPr>
          <w:p>
            <w:pPr>
              <w:ind w:right="110"/>
              <w:jc w:val="center"/>
              <w:rPr>
                <w:rFonts w:ascii="仿宋" w:hAnsi="仿宋" w:eastAsia="仿宋" w:cs="仿宋"/>
                <w:sz w:val="22"/>
                <w:szCs w:val="22"/>
              </w:rPr>
            </w:pPr>
            <w:r>
              <w:rPr>
                <w:rFonts w:hint="eastAsia" w:ascii="仿宋" w:hAnsi="仿宋" w:eastAsia="仿宋" w:cs="仿宋"/>
                <w:sz w:val="22"/>
                <w:szCs w:val="22"/>
              </w:rPr>
              <w:t>投标人确认收到招标文件修改</w:t>
            </w:r>
          </w:p>
        </w:tc>
        <w:tc>
          <w:tcPr>
            <w:tcW w:w="6908" w:type="dxa"/>
            <w:vAlign w:val="center"/>
          </w:tcPr>
          <w:p>
            <w:pPr>
              <w:spacing w:line="320" w:lineRule="exact"/>
              <w:jc w:val="left"/>
              <w:rPr>
                <w:rFonts w:ascii="仿宋" w:hAnsi="仿宋" w:eastAsia="仿宋" w:cs="仿宋"/>
                <w:sz w:val="22"/>
                <w:szCs w:val="22"/>
              </w:rPr>
            </w:pPr>
            <w:r>
              <w:rPr>
                <w:rFonts w:hint="eastAsia" w:ascii="仿宋" w:hAnsi="仿宋" w:eastAsia="仿宋" w:cs="仿宋"/>
                <w:sz w:val="22"/>
                <w:szCs w:val="22"/>
              </w:rPr>
              <w:t>时间：</w:t>
            </w:r>
            <w:permStart w:id="10" w:edGrp="everyone"/>
            <w:r>
              <w:rPr>
                <w:rFonts w:hint="eastAsia" w:ascii="仿宋" w:hAnsi="仿宋" w:eastAsia="仿宋" w:cs="仿宋"/>
                <w:sz w:val="22"/>
                <w:szCs w:val="22"/>
              </w:rPr>
              <w:t xml:space="preserve"> / </w:t>
            </w:r>
            <w:permEnd w:id="10"/>
            <w:r>
              <w:rPr>
                <w:rFonts w:hint="eastAsia" w:ascii="仿宋" w:hAnsi="仿宋" w:eastAsia="仿宋" w:cs="仿宋"/>
                <w:sz w:val="22"/>
                <w:szCs w:val="22"/>
              </w:rPr>
              <w:t xml:space="preserve">   形式：</w:t>
            </w:r>
            <w:permStart w:id="11" w:edGrp="everyone"/>
            <w:r>
              <w:rPr>
                <w:rFonts w:hint="eastAsia" w:ascii="仿宋" w:hAnsi="仿宋" w:eastAsia="仿宋" w:cs="仿宋"/>
                <w:sz w:val="22"/>
                <w:szCs w:val="22"/>
              </w:rPr>
              <w:t xml:space="preserve"> / </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5" w:type="dxa"/>
            <w:vAlign w:val="center"/>
          </w:tcPr>
          <w:p>
            <w:pPr>
              <w:spacing w:line="320" w:lineRule="exact"/>
              <w:jc w:val="center"/>
              <w:rPr>
                <w:rFonts w:ascii="仿宋" w:hAnsi="仿宋" w:eastAsia="仿宋" w:cs="仿宋"/>
                <w:color w:val="000000"/>
                <w:sz w:val="22"/>
                <w:szCs w:val="22"/>
              </w:rPr>
            </w:pPr>
            <w:r>
              <w:rPr>
                <w:rFonts w:hint="eastAsia" w:ascii="仿宋" w:hAnsi="仿宋" w:eastAsia="仿宋" w:cs="仿宋"/>
                <w:color w:val="000000"/>
                <w:sz w:val="22"/>
                <w:szCs w:val="22"/>
              </w:rPr>
              <w:t>3.2.3</w:t>
            </w:r>
          </w:p>
        </w:tc>
        <w:tc>
          <w:tcPr>
            <w:tcW w:w="2123" w:type="dxa"/>
            <w:vAlign w:val="center"/>
          </w:tcPr>
          <w:p>
            <w:pPr>
              <w:spacing w:line="320" w:lineRule="exact"/>
              <w:jc w:val="center"/>
              <w:rPr>
                <w:rFonts w:ascii="仿宋" w:hAnsi="仿宋" w:eastAsia="仿宋" w:cs="仿宋"/>
                <w:color w:val="000000"/>
                <w:sz w:val="22"/>
                <w:szCs w:val="22"/>
              </w:rPr>
            </w:pPr>
            <w:r>
              <w:rPr>
                <w:rFonts w:hint="eastAsia" w:ascii="仿宋" w:hAnsi="仿宋" w:eastAsia="仿宋" w:cs="仿宋"/>
                <w:color w:val="000000"/>
                <w:sz w:val="22"/>
                <w:szCs w:val="22"/>
              </w:rPr>
              <w:t>投标限价</w:t>
            </w:r>
          </w:p>
          <w:p>
            <w:pPr>
              <w:spacing w:line="320" w:lineRule="exact"/>
              <w:jc w:val="center"/>
              <w:rPr>
                <w:rFonts w:ascii="仿宋" w:hAnsi="仿宋" w:eastAsia="仿宋" w:cs="仿宋"/>
                <w:color w:val="000000"/>
                <w:sz w:val="22"/>
                <w:szCs w:val="22"/>
              </w:rPr>
            </w:pPr>
            <w:r>
              <w:rPr>
                <w:rFonts w:hint="eastAsia" w:ascii="仿宋" w:hAnsi="仿宋" w:eastAsia="仿宋" w:cs="仿宋"/>
                <w:color w:val="000000"/>
                <w:sz w:val="22"/>
                <w:szCs w:val="22"/>
              </w:rPr>
              <w:t>或其计算方法</w:t>
            </w:r>
          </w:p>
        </w:tc>
        <w:tc>
          <w:tcPr>
            <w:tcW w:w="6908" w:type="dxa"/>
            <w:vAlign w:val="center"/>
          </w:tcPr>
          <w:p>
            <w:pPr>
              <w:spacing w:line="320" w:lineRule="exact"/>
              <w:rPr>
                <w:rFonts w:ascii="仿宋" w:hAnsi="仿宋" w:eastAsia="仿宋" w:cs="仿宋"/>
                <w:color w:val="000000"/>
                <w:sz w:val="21"/>
                <w:szCs w:val="21"/>
              </w:rPr>
            </w:pPr>
            <w:r>
              <w:rPr>
                <w:rFonts w:hint="eastAsia" w:ascii="仿宋" w:hAnsi="仿宋" w:eastAsia="仿宋" w:cs="仿宋"/>
                <w:color w:val="000000"/>
                <w:sz w:val="21"/>
                <w:szCs w:val="21"/>
              </w:rPr>
              <w:t>本次招标设置投标最高限价,本项目最高限价为：792万元。</w:t>
            </w:r>
            <w:r>
              <w:rPr>
                <w:rFonts w:hint="eastAsia" w:ascii="仿宋" w:hAnsi="仿宋" w:eastAsia="仿宋" w:cs="仿宋"/>
                <w:b/>
                <w:bCs/>
                <w:color w:val="000000" w:themeColor="text1"/>
                <w:sz w:val="21"/>
                <w:szCs w:val="21"/>
                <w14:textFill>
                  <w14:solidFill>
                    <w14:schemeClr w14:val="tx1"/>
                  </w14:solidFill>
                </w14:textFill>
              </w:rPr>
              <w:t>报价超过最高限价的作无效标处理。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3.2.4</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投标报价的其他要求</w:t>
            </w:r>
          </w:p>
        </w:tc>
        <w:tc>
          <w:tcPr>
            <w:tcW w:w="6908" w:type="dxa"/>
            <w:vAlign w:val="center"/>
          </w:tcPr>
          <w:p>
            <w:pPr>
              <w:snapToGrid w:val="0"/>
              <w:spacing w:line="280" w:lineRule="exact"/>
              <w:rPr>
                <w:rFonts w:ascii="仿宋" w:hAnsi="仿宋" w:eastAsia="仿宋" w:cs="仿宋"/>
                <w:sz w:val="21"/>
                <w:szCs w:val="21"/>
              </w:rPr>
            </w:pPr>
            <w:r>
              <w:rPr>
                <w:rFonts w:hint="eastAsia" w:ascii="仿宋" w:hAnsi="仿宋" w:eastAsia="仿宋" w:cs="仿宋"/>
                <w:sz w:val="21"/>
                <w:szCs w:val="21"/>
              </w:rPr>
              <w:t>详见招标文件第四章。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3.3.1</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投标有效期</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u w:val="single"/>
              </w:rPr>
              <w:t>90</w:t>
            </w:r>
            <w:r>
              <w:rPr>
                <w:rFonts w:hint="eastAsia" w:ascii="仿宋" w:hAnsi="仿宋" w:eastAsia="仿宋" w:cs="仿宋"/>
                <w:sz w:val="21"/>
                <w:szCs w:val="21"/>
              </w:rPr>
              <w:t>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3.4</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投标保证金</w:t>
            </w:r>
          </w:p>
        </w:tc>
        <w:tc>
          <w:tcPr>
            <w:tcW w:w="6908" w:type="dxa"/>
            <w:vAlign w:val="center"/>
          </w:tcPr>
          <w:p>
            <w:pPr>
              <w:pStyle w:val="11"/>
              <w:topLinePunct/>
              <w:spacing w:line="320" w:lineRule="exact"/>
              <w:rPr>
                <w:rFonts w:ascii="Times New Roman" w:eastAsia="仿宋" w:cs="宋体"/>
                <w:sz w:val="21"/>
                <w:szCs w:val="21"/>
              </w:rPr>
            </w:pPr>
            <w:r>
              <w:rPr>
                <w:rFonts w:hint="eastAsia" w:ascii="MS Mincho" w:hAnsi="MS Mincho" w:eastAsia="MS Mincho" w:cs="MS Mincho"/>
                <w:sz w:val="21"/>
                <w:szCs w:val="21"/>
              </w:rPr>
              <w:t>☑</w:t>
            </w:r>
            <w:r>
              <w:rPr>
                <w:rFonts w:hint="eastAsia" w:ascii="Times New Roman" w:eastAsia="仿宋" w:cs="宋体"/>
                <w:sz w:val="21"/>
                <w:szCs w:val="21"/>
              </w:rPr>
              <w:t>不要求递交投标保证金</w:t>
            </w:r>
          </w:p>
          <w:p>
            <w:pPr>
              <w:pStyle w:val="11"/>
              <w:topLinePunct/>
              <w:spacing w:line="320" w:lineRule="exact"/>
              <w:rPr>
                <w:rFonts w:ascii="Times New Roman" w:eastAsia="仿宋" w:cs="宋体"/>
                <w:b/>
                <w:sz w:val="21"/>
                <w:szCs w:val="21"/>
              </w:rPr>
            </w:pPr>
            <w:r>
              <w:rPr>
                <w:rFonts w:hint="eastAsia" w:ascii="Times New Roman" w:eastAsia="仿宋" w:cs="宋体"/>
                <w:sz w:val="21"/>
                <w:szCs w:val="21"/>
              </w:rPr>
              <w:t>□</w:t>
            </w:r>
            <w:r>
              <w:rPr>
                <w:rFonts w:hint="eastAsia" w:ascii="仿宋" w:hAnsi="仿宋" w:eastAsia="仿宋" w:cs="仿宋"/>
                <w:sz w:val="21"/>
                <w:szCs w:val="21"/>
              </w:rPr>
              <w:t>要求递交投标保证</w:t>
            </w:r>
            <w:r>
              <w:rPr>
                <w:rFonts w:hint="eastAsia" w:ascii="Times New Roman" w:eastAsia="仿宋" w:cs="宋体"/>
                <w:sz w:val="21"/>
                <w:szCs w:val="21"/>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3.5</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是否允许递交备选投标方案</w:t>
            </w:r>
          </w:p>
        </w:tc>
        <w:tc>
          <w:tcPr>
            <w:tcW w:w="6908" w:type="dxa"/>
            <w:vAlign w:val="center"/>
          </w:tcPr>
          <w:p>
            <w:pPr>
              <w:spacing w:line="280" w:lineRule="exact"/>
              <w:rPr>
                <w:rFonts w:ascii="仿宋" w:hAnsi="仿宋" w:eastAsia="仿宋" w:cs="仿宋"/>
                <w:b/>
                <w:sz w:val="21"/>
                <w:szCs w:val="21"/>
              </w:rPr>
            </w:pPr>
            <w:r>
              <w:rPr>
                <w:rFonts w:hint="eastAsia" w:ascii="仿宋" w:hAnsi="仿宋" w:eastAsia="仿宋" w:cs="仿宋"/>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3.6.3</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签字或盖章要求</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招标文件提供投标文件格式中有要求签字或盖章（含电子签章）的按要求执行。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3.5.4</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投标文件份数要求</w:t>
            </w:r>
          </w:p>
        </w:tc>
        <w:tc>
          <w:tcPr>
            <w:tcW w:w="6908" w:type="dxa"/>
            <w:vAlign w:val="center"/>
          </w:tcPr>
          <w:p>
            <w:pPr>
              <w:spacing w:line="280" w:lineRule="exact"/>
              <w:rPr>
                <w:rFonts w:ascii="仿宋" w:hAnsi="仿宋" w:eastAsia="仿宋" w:cs="仿宋"/>
                <w:color w:val="000000" w:themeColor="text1"/>
                <w:sz w:val="21"/>
                <w:szCs w:val="21"/>
                <w14:textFill>
                  <w14:solidFill>
                    <w14:schemeClr w14:val="tx1"/>
                  </w14:solidFill>
                </w14:textFill>
              </w:rPr>
            </w:pPr>
            <w:permStart w:id="12" w:edGrp="everyone"/>
            <w:r>
              <w:rPr>
                <w:rFonts w:hint="eastAsia" w:ascii="仿宋" w:hAnsi="仿宋" w:eastAsia="仿宋" w:cs="仿宋"/>
                <w:color w:val="FF0000"/>
                <w:sz w:val="21"/>
                <w:szCs w:val="21"/>
              </w:rPr>
              <w:t>中标后中标人提供完整的投标文件正本1份、副本2份，正副本须分别装订；</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3.5.5</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注册及标书制作工具下载网址</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http://ggzy.huzhou.gov.cn/HZfront/zlxz_HuZhou/010008/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4.1</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投标文件递交</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 xml:space="preserve">投标文件（CA加密后的电子投标文件）：在投标截止时间前登录湖州市公共资源交易信息网—湖州市限额发包平台—交易主体登录—“上传投标文件”模块上传；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4.2.1</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投标文件递交地点</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 xml:space="preserve">投标文件（CA加密后的电子投标文件）：登录湖州市公共资源交易信息网—湖州市限额发包平台—交易主体登录—“上传投标文件”模块上传；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4.2.2</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是否退还投标文件</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未成功解密的或投标截止时间后提交的，予以退还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5.1</w:t>
            </w:r>
          </w:p>
        </w:tc>
        <w:tc>
          <w:tcPr>
            <w:tcW w:w="2123"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开标时间和地点</w:t>
            </w:r>
          </w:p>
        </w:tc>
        <w:tc>
          <w:tcPr>
            <w:tcW w:w="6908"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开标时间：同投标截止时间</w:t>
            </w:r>
          </w:p>
          <w:p>
            <w:pPr>
              <w:spacing w:line="280" w:lineRule="exact"/>
              <w:rPr>
                <w:rFonts w:ascii="仿宋" w:hAnsi="仿宋" w:eastAsia="仿宋" w:cs="仿宋"/>
                <w:sz w:val="21"/>
                <w:szCs w:val="21"/>
              </w:rPr>
            </w:pPr>
            <w:r>
              <w:rPr>
                <w:rFonts w:hint="eastAsia" w:ascii="仿宋" w:hAnsi="仿宋" w:eastAsia="仿宋" w:cs="仿宋"/>
                <w:sz w:val="21"/>
                <w:szCs w:val="21"/>
              </w:rPr>
              <w:t>开标地点：</w:t>
            </w:r>
            <w:permStart w:id="13" w:edGrp="everyone"/>
            <w:r>
              <w:rPr>
                <w:rFonts w:hint="eastAsia" w:ascii="仿宋" w:hAnsi="仿宋" w:eastAsia="仿宋" w:cs="仿宋"/>
                <w:sz w:val="21"/>
                <w:szCs w:val="21"/>
              </w:rPr>
              <w:t xml:space="preserve">网上远程不见面开标大厅 </w:t>
            </w:r>
            <w:permEnd w:id="13"/>
          </w:p>
          <w:p>
            <w:pPr>
              <w:spacing w:line="280" w:lineRule="exact"/>
              <w:rPr>
                <w:rFonts w:ascii="仿宋" w:hAnsi="仿宋" w:eastAsia="仿宋" w:cs="仿宋"/>
                <w:sz w:val="21"/>
                <w:szCs w:val="21"/>
              </w:rPr>
            </w:pPr>
            <w:r>
              <w:rPr>
                <w:rFonts w:hint="eastAsia" w:ascii="仿宋" w:hAnsi="仿宋" w:eastAsia="仿宋" w:cs="仿宋"/>
                <w:sz w:val="21"/>
                <w:szCs w:val="21"/>
              </w:rPr>
              <w:t>网上不见面开标大厅登录方式：登录湖州市限额发包交易系统上传；</w:t>
            </w:r>
          </w:p>
          <w:p>
            <w:pPr>
              <w:spacing w:line="280" w:lineRule="exact"/>
              <w:rPr>
                <w:rFonts w:ascii="仿宋" w:hAnsi="仿宋" w:eastAsia="仿宋" w:cs="仿宋"/>
                <w:sz w:val="21"/>
                <w:szCs w:val="21"/>
              </w:rPr>
            </w:pPr>
            <w:r>
              <w:rPr>
                <w:rFonts w:hint="eastAsia" w:ascii="仿宋" w:hAnsi="仿宋" w:eastAsia="仿宋" w:cs="仿宋"/>
                <w:sz w:val="21"/>
                <w:szCs w:val="21"/>
              </w:rPr>
              <w:t>网址：http://49.4.53.110/BidOpening/bidopeninghallaction/hall/login；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5.2</w:t>
            </w:r>
          </w:p>
        </w:tc>
        <w:tc>
          <w:tcPr>
            <w:tcW w:w="2123"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开标程序</w:t>
            </w:r>
          </w:p>
        </w:tc>
        <w:tc>
          <w:tcPr>
            <w:tcW w:w="6908" w:type="dxa"/>
            <w:vAlign w:val="center"/>
          </w:tcPr>
          <w:p>
            <w:pPr>
              <w:spacing w:line="280" w:lineRule="exact"/>
              <w:rPr>
                <w:rFonts w:ascii="仿宋" w:hAnsi="仿宋" w:eastAsia="仿宋" w:cs="仿宋"/>
                <w:b/>
                <w:bCs/>
                <w:sz w:val="21"/>
                <w:szCs w:val="21"/>
              </w:rPr>
            </w:pPr>
            <w:r>
              <w:rPr>
                <w:rFonts w:hint="eastAsia" w:ascii="仿宋" w:hAnsi="仿宋" w:eastAsia="仿宋" w:cs="仿宋"/>
                <w:b/>
                <w:bCs/>
                <w:sz w:val="21"/>
                <w:szCs w:val="21"/>
              </w:rPr>
              <w:t>开标顺序：上传投标文件的先后顺序：</w:t>
            </w:r>
          </w:p>
          <w:p>
            <w:pPr>
              <w:spacing w:line="280" w:lineRule="exact"/>
              <w:rPr>
                <w:rFonts w:ascii="仿宋" w:hAnsi="仿宋" w:eastAsia="仿宋" w:cs="仿宋"/>
                <w:b/>
                <w:bCs/>
                <w:sz w:val="21"/>
                <w:szCs w:val="21"/>
              </w:rPr>
            </w:pPr>
            <w:r>
              <w:rPr>
                <w:rFonts w:hint="eastAsia" w:ascii="仿宋" w:hAnsi="仿宋" w:eastAsia="仿宋" w:cs="仿宋"/>
                <w:b/>
                <w:bCs/>
                <w:sz w:val="21"/>
                <w:szCs w:val="21"/>
              </w:rPr>
              <w:t>1、投标截止前30分钟，由招标代理机构登录网上不见面开标大厅系统，做好网上不见面开标准备；</w:t>
            </w:r>
          </w:p>
          <w:p>
            <w:pPr>
              <w:spacing w:line="280" w:lineRule="exact"/>
              <w:rPr>
                <w:rFonts w:ascii="仿宋" w:hAnsi="仿宋" w:eastAsia="仿宋" w:cs="仿宋"/>
                <w:b/>
                <w:bCs/>
                <w:sz w:val="21"/>
                <w:szCs w:val="21"/>
              </w:rPr>
            </w:pPr>
            <w:r>
              <w:rPr>
                <w:rFonts w:hint="eastAsia" w:ascii="仿宋" w:hAnsi="仿宋" w:eastAsia="仿宋" w:cs="仿宋"/>
                <w:b/>
                <w:bCs/>
                <w:sz w:val="21"/>
                <w:szCs w:val="21"/>
              </w:rPr>
              <w:t>2、各投标人应于投标截止时间前使用加密锁自行登录不见面开标大厅并完成在线签到，否则视为在线不到场，投标文件开启解密时将被拒绝解密；投标人的在线签到人员必须是投标人的法定代表人或授权委托人，如签到人员与投标人的法定代表人或授权委托人不一致的，其投标将按无效投标处理。</w:t>
            </w:r>
          </w:p>
          <w:p>
            <w:pPr>
              <w:spacing w:line="280" w:lineRule="exact"/>
              <w:rPr>
                <w:rFonts w:ascii="仿宋" w:hAnsi="仿宋" w:eastAsia="仿宋" w:cs="仿宋"/>
                <w:b/>
                <w:bCs/>
                <w:sz w:val="21"/>
                <w:szCs w:val="21"/>
              </w:rPr>
            </w:pPr>
            <w:r>
              <w:rPr>
                <w:rFonts w:hint="eastAsia" w:ascii="仿宋" w:hAnsi="仿宋" w:eastAsia="仿宋" w:cs="仿宋"/>
                <w:b/>
                <w:bCs/>
                <w:sz w:val="21"/>
                <w:szCs w:val="21"/>
              </w:rPr>
              <w:t>3、投标截止时间，由招标代理机构公布投标人情况、解密要求、在线公布现场监督、见证人员；</w:t>
            </w:r>
          </w:p>
          <w:p>
            <w:pPr>
              <w:spacing w:line="280" w:lineRule="exact"/>
              <w:rPr>
                <w:rFonts w:ascii="仿宋" w:hAnsi="仿宋" w:eastAsia="仿宋" w:cs="仿宋"/>
                <w:b/>
                <w:bCs/>
                <w:sz w:val="21"/>
                <w:szCs w:val="21"/>
              </w:rPr>
            </w:pPr>
            <w:r>
              <w:rPr>
                <w:rFonts w:hint="eastAsia" w:ascii="仿宋" w:hAnsi="仿宋" w:eastAsia="仿宋" w:cs="仿宋"/>
                <w:b/>
                <w:bCs/>
                <w:sz w:val="21"/>
                <w:szCs w:val="21"/>
              </w:rPr>
              <w:t>4、投标人需在系统开启投标文件解密时间后30分钟内对投标文件进行网上在线解密，未在规定时间内完成的，其投标将被拒绝；</w:t>
            </w:r>
          </w:p>
          <w:p>
            <w:pPr>
              <w:spacing w:line="280" w:lineRule="exact"/>
              <w:rPr>
                <w:rFonts w:ascii="仿宋" w:hAnsi="仿宋" w:eastAsia="仿宋" w:cs="仿宋"/>
                <w:b/>
                <w:bCs/>
                <w:sz w:val="21"/>
                <w:szCs w:val="21"/>
              </w:rPr>
            </w:pPr>
            <w:r>
              <w:rPr>
                <w:rFonts w:hint="eastAsia" w:ascii="仿宋" w:hAnsi="仿宋" w:eastAsia="仿宋" w:cs="仿宋"/>
                <w:b/>
                <w:bCs/>
                <w:sz w:val="21"/>
                <w:szCs w:val="21"/>
              </w:rPr>
              <w:t>5、招标人现场解密、投标文件导入等全程操作；</w:t>
            </w:r>
          </w:p>
          <w:p>
            <w:pPr>
              <w:spacing w:line="280" w:lineRule="exact"/>
              <w:rPr>
                <w:rFonts w:ascii="仿宋" w:hAnsi="仿宋" w:eastAsia="仿宋" w:cs="仿宋"/>
                <w:b/>
                <w:bCs/>
                <w:sz w:val="21"/>
                <w:szCs w:val="21"/>
              </w:rPr>
            </w:pPr>
            <w:r>
              <w:rPr>
                <w:rFonts w:hint="eastAsia" w:ascii="仿宋" w:hAnsi="仿宋" w:eastAsia="仿宋" w:cs="仿宋"/>
                <w:b/>
                <w:bCs/>
                <w:sz w:val="21"/>
                <w:szCs w:val="21"/>
              </w:rPr>
              <w:t>6、对网上开标过程有异议的，投标人应当直接在线提疑，同时由招标人在线进行回复；</w:t>
            </w:r>
          </w:p>
          <w:p>
            <w:pPr>
              <w:spacing w:line="280" w:lineRule="exact"/>
              <w:rPr>
                <w:rFonts w:ascii="仿宋" w:hAnsi="仿宋" w:eastAsia="仿宋" w:cs="仿宋"/>
                <w:b/>
                <w:bCs/>
                <w:sz w:val="21"/>
                <w:szCs w:val="21"/>
              </w:rPr>
            </w:pPr>
            <w:r>
              <w:rPr>
                <w:rFonts w:hint="eastAsia" w:ascii="仿宋" w:hAnsi="仿宋" w:eastAsia="仿宋" w:cs="仿宋"/>
                <w:b/>
                <w:bCs/>
                <w:sz w:val="21"/>
                <w:szCs w:val="21"/>
              </w:rPr>
              <w:t>7、宣布开标结束。</w:t>
            </w:r>
          </w:p>
          <w:p>
            <w:pPr>
              <w:spacing w:line="280" w:lineRule="exact"/>
              <w:rPr>
                <w:rFonts w:ascii="仿宋" w:hAnsi="仿宋" w:eastAsia="仿宋" w:cs="仿宋"/>
                <w:sz w:val="21"/>
                <w:szCs w:val="21"/>
              </w:rPr>
            </w:pPr>
            <w:r>
              <w:rPr>
                <w:rFonts w:hint="eastAsia" w:ascii="仿宋" w:hAnsi="仿宋" w:eastAsia="仿宋" w:cs="仿宋"/>
                <w:b/>
                <w:bCs/>
                <w:sz w:val="21"/>
                <w:szCs w:val="21"/>
              </w:rPr>
              <w:t>注：在开标过程中招标人及招标代理机构全程操作必须在直播视频中完成，不得随意离开。交易中心见证人员、现场监督人员做好相关工作并签字。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6.1.1</w:t>
            </w:r>
          </w:p>
        </w:tc>
        <w:tc>
          <w:tcPr>
            <w:tcW w:w="2123" w:type="dxa"/>
            <w:vAlign w:val="center"/>
          </w:tcPr>
          <w:p>
            <w:pPr>
              <w:spacing w:line="320" w:lineRule="exact"/>
              <w:ind w:firstLine="25" w:firstLineChars="12"/>
              <w:jc w:val="center"/>
              <w:rPr>
                <w:rFonts w:ascii="仿宋" w:hAnsi="仿宋" w:eastAsia="仿宋" w:cs="仿宋"/>
                <w:sz w:val="21"/>
                <w:szCs w:val="21"/>
              </w:rPr>
            </w:pPr>
            <w:r>
              <w:rPr>
                <w:rFonts w:hint="eastAsia" w:ascii="仿宋" w:hAnsi="仿宋" w:eastAsia="仿宋" w:cs="仿宋"/>
                <w:sz w:val="21"/>
                <w:szCs w:val="21"/>
              </w:rPr>
              <w:t>评标委员会的组建</w:t>
            </w:r>
          </w:p>
        </w:tc>
        <w:tc>
          <w:tcPr>
            <w:tcW w:w="6908" w:type="dxa"/>
            <w:vAlign w:val="center"/>
          </w:tcPr>
          <w:p>
            <w:pPr>
              <w:snapToGrid w:val="0"/>
              <w:spacing w:line="310" w:lineRule="exact"/>
              <w:rPr>
                <w:rFonts w:ascii="仿宋" w:hAnsi="仿宋" w:eastAsia="仿宋" w:cs="仿宋"/>
                <w:snapToGrid w:val="0"/>
                <w:sz w:val="22"/>
                <w:szCs w:val="22"/>
              </w:rPr>
            </w:pPr>
            <w:r>
              <w:rPr>
                <w:rFonts w:hint="eastAsia" w:ascii="仿宋" w:hAnsi="仿宋" w:eastAsia="仿宋" w:cs="仿宋"/>
                <w:snapToGrid w:val="0"/>
                <w:sz w:val="22"/>
                <w:szCs w:val="22"/>
              </w:rPr>
              <w:t>评标委员会构成：</w:t>
            </w:r>
            <w:r>
              <w:rPr>
                <w:rFonts w:hint="eastAsia" w:ascii="仿宋" w:hAnsi="仿宋" w:eastAsia="仿宋" w:cs="仿宋"/>
                <w:snapToGrid w:val="0"/>
                <w:color w:val="FF0000"/>
                <w:sz w:val="22"/>
                <w:szCs w:val="22"/>
                <w:highlight w:val="yellow"/>
                <w:lang w:val="en-US" w:eastAsia="zh-CN"/>
              </w:rPr>
              <w:t>3</w:t>
            </w:r>
            <w:r>
              <w:rPr>
                <w:rFonts w:hint="eastAsia" w:ascii="仿宋" w:hAnsi="仿宋" w:eastAsia="仿宋" w:cs="仿宋"/>
                <w:snapToGrid w:val="0"/>
                <w:sz w:val="22"/>
                <w:szCs w:val="22"/>
              </w:rPr>
              <w:t>人及以上单数；</w:t>
            </w:r>
          </w:p>
          <w:p>
            <w:pPr>
              <w:snapToGrid w:val="0"/>
              <w:spacing w:line="310" w:lineRule="exact"/>
              <w:rPr>
                <w:rFonts w:ascii="仿宋" w:hAnsi="仿宋" w:eastAsia="仿宋" w:cs="仿宋"/>
                <w:sz w:val="21"/>
                <w:szCs w:val="21"/>
              </w:rPr>
            </w:pPr>
            <w:r>
              <w:rPr>
                <w:rFonts w:hint="eastAsia" w:ascii="仿宋" w:hAnsi="仿宋" w:eastAsia="仿宋" w:cs="仿宋"/>
                <w:snapToGrid w:val="0"/>
                <w:sz w:val="22"/>
                <w:szCs w:val="22"/>
              </w:rPr>
              <w:t>评标专家确定方式：由招标人在投标截止时间前24小时内从综合专家库中随机抽取。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7.3.1</w:t>
            </w:r>
          </w:p>
        </w:tc>
        <w:tc>
          <w:tcPr>
            <w:tcW w:w="2123" w:type="dxa"/>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履约保证金</w:t>
            </w:r>
          </w:p>
        </w:tc>
        <w:tc>
          <w:tcPr>
            <w:tcW w:w="6908" w:type="dxa"/>
            <w:vAlign w:val="center"/>
          </w:tcPr>
          <w:p>
            <w:pPr>
              <w:snapToGrid w:val="0"/>
              <w:spacing w:line="310" w:lineRule="exact"/>
              <w:rPr>
                <w:rFonts w:ascii="仿宋" w:hAnsi="仿宋" w:eastAsia="仿宋" w:cs="仿宋"/>
                <w:sz w:val="21"/>
                <w:szCs w:val="21"/>
              </w:rPr>
            </w:pPr>
            <w:r>
              <w:rPr>
                <w:rFonts w:hint="eastAsia" w:ascii="仿宋" w:hAnsi="仿宋" w:eastAsia="仿宋" w:cs="仿宋"/>
                <w:sz w:val="21"/>
                <w:szCs w:val="21"/>
              </w:rPr>
              <w:t>履约担保的形式：☑履约担保金（含现金支票、银行汇票、保兑支票）或银行履约保函或履约担保书（建设工程完工履约保证保险保单保函）</w:t>
            </w:r>
          </w:p>
          <w:p>
            <w:pPr>
              <w:snapToGrid w:val="0"/>
              <w:spacing w:line="310" w:lineRule="exact"/>
              <w:rPr>
                <w:rFonts w:ascii="仿宋" w:hAnsi="仿宋" w:eastAsia="仿宋" w:cs="仿宋"/>
                <w:sz w:val="21"/>
                <w:szCs w:val="21"/>
              </w:rPr>
            </w:pPr>
            <w:r>
              <w:rPr>
                <w:rFonts w:hint="eastAsia" w:ascii="仿宋" w:hAnsi="仿宋" w:eastAsia="仿宋" w:cs="仿宋"/>
                <w:sz w:val="21"/>
                <w:szCs w:val="21"/>
              </w:rPr>
              <w:t>注：采用建设工程完工履约保证保险保单保函的应符合《湖州市住房和城乡建设局等4部门关于开展建设工程综合保险试点工作的通知》湖建发【2018】211号、《湖州市建设工程综合保险项目共保体中标公示》等文件内容，由首席保险人出具。</w:t>
            </w:r>
          </w:p>
          <w:p>
            <w:pPr>
              <w:snapToGrid w:val="0"/>
              <w:spacing w:line="310" w:lineRule="exact"/>
              <w:rPr>
                <w:rFonts w:ascii="仿宋" w:hAnsi="仿宋" w:eastAsia="仿宋" w:cs="仿宋"/>
                <w:sz w:val="21"/>
                <w:szCs w:val="21"/>
              </w:rPr>
            </w:pPr>
            <w:r>
              <w:rPr>
                <w:rFonts w:hint="eastAsia" w:ascii="仿宋" w:hAnsi="仿宋" w:eastAsia="仿宋" w:cs="仿宋"/>
                <w:sz w:val="21"/>
                <w:szCs w:val="21"/>
              </w:rPr>
              <w:t>履约担保的金额：</w:t>
            </w:r>
            <w:r>
              <w:rPr>
                <w:rFonts w:hint="eastAsia" w:ascii="仿宋" w:hAnsi="仿宋" w:eastAsia="仿宋" w:cs="仿宋"/>
                <w:sz w:val="21"/>
                <w:szCs w:val="21"/>
                <w:highlight w:val="yellow"/>
              </w:rPr>
              <w:t>中标价的5%。</w:t>
            </w:r>
          </w:p>
          <w:p>
            <w:pPr>
              <w:snapToGrid w:val="0"/>
              <w:spacing w:line="310" w:lineRule="exact"/>
              <w:rPr>
                <w:rFonts w:ascii="仿宋" w:hAnsi="仿宋" w:eastAsia="仿宋" w:cs="仿宋"/>
                <w:sz w:val="21"/>
                <w:szCs w:val="21"/>
              </w:rPr>
            </w:pPr>
            <w:r>
              <w:rPr>
                <w:rFonts w:hint="eastAsia" w:ascii="仿宋" w:hAnsi="仿宋" w:eastAsia="仿宋" w:cs="仿宋"/>
                <w:sz w:val="21"/>
                <w:szCs w:val="21"/>
              </w:rPr>
              <w:t>履约保证金在服务期结束后，如无违约情况，由招标人无息退还。中标人可领取中标通知书之日起30日历天内以现金或银行保函形式向发包人提交履约保证金，若排名第一的中标候选人不按照招标文件要求提交履约保证金的，则直接取消其中标资格，经评审的第二中标候选人顺位，成为本项目的中标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10.1</w:t>
            </w:r>
          </w:p>
        </w:tc>
        <w:tc>
          <w:tcPr>
            <w:tcW w:w="2123" w:type="dxa"/>
            <w:vAlign w:val="center"/>
          </w:tcPr>
          <w:p>
            <w:pPr>
              <w:pStyle w:val="7"/>
              <w:snapToGrid w:val="0"/>
              <w:spacing w:line="320" w:lineRule="exact"/>
              <w:ind w:right="-22" w:rightChars="-8" w:firstLine="23" w:firstLineChars="11"/>
              <w:jc w:val="center"/>
              <w:rPr>
                <w:rFonts w:ascii="仿宋" w:hAnsi="仿宋" w:eastAsia="仿宋" w:cs="仿宋"/>
                <w:sz w:val="21"/>
                <w:szCs w:val="21"/>
              </w:rPr>
            </w:pPr>
            <w:r>
              <w:rPr>
                <w:rFonts w:hint="eastAsia" w:ascii="仿宋" w:hAnsi="仿宋" w:eastAsia="仿宋" w:cs="仿宋"/>
                <w:sz w:val="21"/>
                <w:szCs w:val="21"/>
              </w:rPr>
              <w:t>招标结果公示</w:t>
            </w:r>
          </w:p>
        </w:tc>
        <w:tc>
          <w:tcPr>
            <w:tcW w:w="6908" w:type="dxa"/>
            <w:vAlign w:val="center"/>
          </w:tcPr>
          <w:p>
            <w:pPr>
              <w:snapToGrid w:val="0"/>
              <w:spacing w:line="310" w:lineRule="exact"/>
              <w:rPr>
                <w:rFonts w:ascii="仿宋" w:hAnsi="仿宋" w:eastAsia="仿宋" w:cs="仿宋"/>
                <w:sz w:val="21"/>
                <w:szCs w:val="21"/>
              </w:rPr>
            </w:pPr>
            <w:r>
              <w:rPr>
                <w:rFonts w:hint="eastAsia" w:ascii="仿宋" w:hAnsi="仿宋" w:eastAsia="仿宋" w:cs="仿宋"/>
                <w:sz w:val="21"/>
                <w:szCs w:val="21"/>
              </w:rPr>
              <w:t>推荐1-3名中标候选人。招标结束后，将招标结果在原发布招标公告网上公示三日，公示包括推荐中标候选人及其最终报价、否决投标人及否决原因等主要要素。如果发现有弄虚作假的行为，取消中标资格，并建议政府主管部门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45" w:type="dxa"/>
            <w:vAlign w:val="center"/>
          </w:tcPr>
          <w:p>
            <w:pPr>
              <w:snapToGrid w:val="0"/>
              <w:spacing w:line="310" w:lineRule="exact"/>
              <w:jc w:val="center"/>
              <w:rPr>
                <w:rFonts w:ascii="仿宋" w:hAnsi="仿宋" w:eastAsia="仿宋" w:cs="仿宋"/>
                <w:sz w:val="21"/>
                <w:szCs w:val="21"/>
              </w:rPr>
            </w:pPr>
            <w:r>
              <w:rPr>
                <w:rFonts w:hint="eastAsia" w:ascii="仿宋" w:hAnsi="仿宋" w:eastAsia="仿宋" w:cs="仿宋"/>
                <w:sz w:val="21"/>
                <w:szCs w:val="21"/>
              </w:rPr>
              <w:t>10.2</w:t>
            </w:r>
          </w:p>
        </w:tc>
        <w:tc>
          <w:tcPr>
            <w:tcW w:w="2123" w:type="dxa"/>
            <w:vAlign w:val="center"/>
          </w:tcPr>
          <w:p>
            <w:pPr>
              <w:snapToGrid w:val="0"/>
              <w:spacing w:line="310" w:lineRule="exact"/>
              <w:jc w:val="center"/>
              <w:rPr>
                <w:rFonts w:ascii="仿宋" w:hAnsi="仿宋" w:eastAsia="仿宋" w:cs="仿宋"/>
                <w:sz w:val="21"/>
                <w:szCs w:val="21"/>
              </w:rPr>
            </w:pPr>
            <w:r>
              <w:rPr>
                <w:rFonts w:hint="eastAsia" w:ascii="仿宋" w:hAnsi="仿宋" w:eastAsia="仿宋" w:cs="仿宋"/>
                <w:sz w:val="21"/>
                <w:szCs w:val="21"/>
              </w:rPr>
              <w:t>电子招标投标</w:t>
            </w:r>
          </w:p>
        </w:tc>
        <w:tc>
          <w:tcPr>
            <w:tcW w:w="6908" w:type="dxa"/>
            <w:vAlign w:val="center"/>
          </w:tcPr>
          <w:p>
            <w:pPr>
              <w:snapToGrid w:val="0"/>
              <w:spacing w:line="310" w:lineRule="exact"/>
              <w:rPr>
                <w:rFonts w:ascii="仿宋" w:hAnsi="仿宋" w:eastAsia="仿宋" w:cs="仿宋"/>
                <w:sz w:val="21"/>
                <w:szCs w:val="21"/>
              </w:rPr>
            </w:pPr>
            <w:permStart w:id="14" w:edGrp="everyone"/>
            <w:r>
              <w:rPr>
                <w:rFonts w:hint="eastAsia" w:ascii="仿宋" w:hAnsi="仿宋" w:eastAsia="仿宋" w:cs="仿宋"/>
                <w:sz w:val="21"/>
                <w:szCs w:val="21"/>
              </w:rPr>
              <w:t>□</w:t>
            </w:r>
            <w:permEnd w:id="14"/>
            <w:r>
              <w:rPr>
                <w:rFonts w:hint="eastAsia" w:ascii="仿宋" w:hAnsi="仿宋" w:eastAsia="仿宋" w:cs="仿宋"/>
                <w:sz w:val="21"/>
                <w:szCs w:val="21"/>
              </w:rPr>
              <w:t>否</w:t>
            </w:r>
          </w:p>
          <w:p>
            <w:pPr>
              <w:snapToGrid w:val="0"/>
              <w:spacing w:line="310" w:lineRule="exact"/>
              <w:rPr>
                <w:rFonts w:ascii="仿宋" w:hAnsi="仿宋" w:eastAsia="仿宋" w:cs="仿宋"/>
                <w:sz w:val="21"/>
                <w:szCs w:val="21"/>
              </w:rPr>
            </w:pPr>
            <w:permStart w:id="15" w:edGrp="everyone"/>
            <w:r>
              <w:rPr>
                <w:rFonts w:hint="eastAsia" w:ascii="仿宋" w:hAnsi="仿宋" w:eastAsia="仿宋" w:cs="仿宋"/>
                <w:sz w:val="21"/>
                <w:szCs w:val="21"/>
              </w:rPr>
              <w:t>☑</w:t>
            </w:r>
            <w:permEnd w:id="15"/>
            <w:r>
              <w:rPr>
                <w:rFonts w:hint="eastAsia" w:ascii="仿宋" w:hAnsi="仿宋" w:eastAsia="仿宋" w:cs="仿宋"/>
                <w:sz w:val="21"/>
                <w:szCs w:val="21"/>
              </w:rPr>
              <w:t>是，具体要求：1、各投标人须提供符合要求的CA加密后的电子投标文件、有效的CA锁供开标现场解密；2、招标人对各投标文件的现场解密。整个开标过程中不论何种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45" w:type="dxa"/>
            <w:vAlign w:val="center"/>
          </w:tcPr>
          <w:p>
            <w:pPr>
              <w:snapToGrid w:val="0"/>
              <w:spacing w:line="310" w:lineRule="exact"/>
              <w:jc w:val="center"/>
              <w:rPr>
                <w:rFonts w:ascii="仿宋" w:hAnsi="仿宋" w:eastAsia="仿宋" w:cs="仿宋"/>
                <w:b/>
                <w:bCs/>
                <w:sz w:val="21"/>
                <w:szCs w:val="21"/>
              </w:rPr>
            </w:pPr>
            <w:r>
              <w:rPr>
                <w:rFonts w:hint="eastAsia" w:ascii="仿宋" w:hAnsi="仿宋" w:eastAsia="仿宋" w:cs="仿宋"/>
                <w:b/>
                <w:bCs/>
                <w:sz w:val="21"/>
                <w:szCs w:val="21"/>
              </w:rPr>
              <w:t>11</w:t>
            </w:r>
          </w:p>
        </w:tc>
        <w:tc>
          <w:tcPr>
            <w:tcW w:w="2123" w:type="dxa"/>
            <w:vAlign w:val="center"/>
          </w:tcPr>
          <w:p>
            <w:pPr>
              <w:snapToGrid w:val="0"/>
              <w:spacing w:line="310" w:lineRule="exact"/>
              <w:jc w:val="center"/>
              <w:rPr>
                <w:rFonts w:ascii="仿宋" w:hAnsi="仿宋" w:eastAsia="仿宋" w:cs="仿宋"/>
                <w:b/>
                <w:bCs/>
                <w:sz w:val="21"/>
                <w:szCs w:val="21"/>
              </w:rPr>
            </w:pPr>
            <w:r>
              <w:rPr>
                <w:rFonts w:hint="eastAsia" w:ascii="仿宋" w:hAnsi="仿宋" w:eastAsia="仿宋" w:cs="仿宋"/>
                <w:b/>
                <w:bCs/>
                <w:sz w:val="21"/>
                <w:szCs w:val="21"/>
              </w:rPr>
              <w:t>投标人硬件设备要求</w:t>
            </w:r>
          </w:p>
        </w:tc>
        <w:tc>
          <w:tcPr>
            <w:tcW w:w="6908" w:type="dxa"/>
            <w:vAlign w:val="center"/>
          </w:tcPr>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各投标人需要保障参与不见面开标的电脑硬件要求符合以下内容：</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1.具备摄像头与耳麦（用于接收代理公司开标指令）。</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2.要求使用ie浏览器11及以上版本。</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3.电脑操作系统要求在win7及以上。</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4.内存要求在4G以上。</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5.要求正确安装湖州市电子招投标驱动程序。</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开标过程中不得随意离开摄像头范围，因投标单位自身原因造成未成功解密的，均按未提交投标文件处理。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976" w:type="dxa"/>
            <w:gridSpan w:val="3"/>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iCs/>
                <w:sz w:val="21"/>
                <w:szCs w:val="21"/>
              </w:rPr>
              <w:t>投标人须知具体内容如与本前附表不一致的，以本前附表为准。</w:t>
            </w:r>
          </w:p>
        </w:tc>
      </w:tr>
    </w:tbl>
    <w:p>
      <w:pPr>
        <w:spacing w:line="460" w:lineRule="exact"/>
        <w:jc w:val="left"/>
        <w:rPr>
          <w:rFonts w:ascii="华文仿宋" w:hAnsi="华文仿宋" w:eastAsia="华文仿宋" w:cs="华文仿宋"/>
          <w:b/>
          <w:bCs/>
          <w:sz w:val="32"/>
          <w:szCs w:val="32"/>
        </w:rPr>
      </w:pPr>
      <w:bookmarkStart w:id="26" w:name="_Toc3117"/>
      <w:bookmarkStart w:id="27" w:name="_Toc392345909"/>
      <w:bookmarkStart w:id="28" w:name="_Toc429512957"/>
    </w:p>
    <w:p>
      <w:pPr>
        <w:pStyle w:val="41"/>
        <w:tabs>
          <w:tab w:val="left" w:pos="852"/>
        </w:tabs>
        <w:spacing w:before="0" w:line="500" w:lineRule="exact"/>
        <w:rPr>
          <w:rFonts w:ascii="仿宋" w:hAnsi="仿宋" w:eastAsia="仿宋" w:cs="仿宋"/>
          <w:b/>
          <w:sz w:val="21"/>
          <w:szCs w:val="21"/>
        </w:rPr>
      </w:pPr>
      <w:bookmarkStart w:id="29" w:name="_Toc21349"/>
      <w:r>
        <w:rPr>
          <w:rFonts w:hint="eastAsia" w:ascii="仿宋" w:hAnsi="仿宋" w:eastAsia="仿宋" w:cs="仿宋"/>
          <w:b/>
          <w:sz w:val="21"/>
          <w:szCs w:val="21"/>
        </w:rPr>
        <w:t>1. 总则</w:t>
      </w:r>
      <w:bookmarkEnd w:id="26"/>
      <w:bookmarkEnd w:id="27"/>
      <w:bookmarkEnd w:id="28"/>
      <w:bookmarkEnd w:id="29"/>
    </w:p>
    <w:p>
      <w:pPr>
        <w:pStyle w:val="42"/>
        <w:numPr>
          <w:ilvl w:val="1"/>
          <w:numId w:val="0"/>
        </w:numPr>
        <w:spacing w:line="500" w:lineRule="exact"/>
        <w:outlineLvl w:val="9"/>
        <w:rPr>
          <w:rFonts w:ascii="仿宋" w:hAnsi="仿宋" w:eastAsia="仿宋" w:cs="仿宋"/>
          <w:b/>
          <w:sz w:val="21"/>
          <w:szCs w:val="21"/>
        </w:rPr>
      </w:pPr>
      <w:bookmarkStart w:id="30" w:name="_Toc429494968"/>
      <w:bookmarkStart w:id="31" w:name="_Toc392345910"/>
      <w:bookmarkStart w:id="32" w:name="_Toc152045530"/>
      <w:bookmarkStart w:id="33" w:name="_Toc491857248"/>
      <w:bookmarkStart w:id="34" w:name="_Toc144974498"/>
      <w:bookmarkStart w:id="35" w:name="_Toc9344"/>
      <w:bookmarkStart w:id="36" w:name="_Toc429512958"/>
      <w:bookmarkStart w:id="37" w:name="_Toc429494375"/>
      <w:bookmarkStart w:id="38" w:name="_Toc429596603"/>
      <w:bookmarkStart w:id="39" w:name="_Toc229646712"/>
      <w:bookmarkStart w:id="40" w:name="_Toc25219"/>
      <w:bookmarkStart w:id="41" w:name="_Toc152042306"/>
      <w:r>
        <w:rPr>
          <w:rFonts w:hint="eastAsia" w:ascii="仿宋" w:hAnsi="仿宋" w:eastAsia="仿宋" w:cs="仿宋"/>
          <w:b/>
          <w:sz w:val="21"/>
          <w:szCs w:val="21"/>
        </w:rPr>
        <w:t>1.1 项目概况</w:t>
      </w:r>
      <w:bookmarkEnd w:id="30"/>
      <w:bookmarkEnd w:id="31"/>
      <w:bookmarkEnd w:id="32"/>
      <w:bookmarkEnd w:id="33"/>
      <w:bookmarkEnd w:id="34"/>
      <w:bookmarkEnd w:id="35"/>
      <w:bookmarkEnd w:id="36"/>
      <w:bookmarkEnd w:id="37"/>
      <w:bookmarkEnd w:id="38"/>
      <w:bookmarkEnd w:id="39"/>
      <w:bookmarkEnd w:id="40"/>
      <w:bookmarkEnd w:id="41"/>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1.1.1 根据湖州市相关规定，本招标项目己具备招标条件，现对本标段进行招标。</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1.1.2 本招标项目名称：见投标人须知前附表。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1.1.3 本招标合同名称：见投标人须知前附表。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1.1.4 本招标合同编号：见投标人须知前附表。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1.1.5 本招标项目招标人：见投标人须知前附表。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1.1.6 本招标项目招标代理人：见投标人须知前附表。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1.1.7 本标段建设地点：见投标人须知前附表。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1.1.8 本招标项目现场管理机构：见投标人须知前附表。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1.1.9 本招标项目设计人：见投标人须知前附表。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1.1.10 本招标项目委托人：见投标人须知前附表。</w:t>
      </w:r>
    </w:p>
    <w:p>
      <w:pPr>
        <w:pStyle w:val="42"/>
        <w:numPr>
          <w:ilvl w:val="1"/>
          <w:numId w:val="0"/>
        </w:numPr>
        <w:spacing w:line="500" w:lineRule="exact"/>
        <w:outlineLvl w:val="9"/>
        <w:rPr>
          <w:rFonts w:ascii="仿宋" w:hAnsi="仿宋" w:eastAsia="仿宋" w:cs="仿宋"/>
          <w:b/>
          <w:sz w:val="21"/>
          <w:szCs w:val="21"/>
        </w:rPr>
      </w:pPr>
      <w:bookmarkStart w:id="42" w:name="_Toc24751"/>
      <w:bookmarkStart w:id="43" w:name="_Toc429494376"/>
      <w:bookmarkStart w:id="44" w:name="_Toc429596604"/>
      <w:bookmarkStart w:id="45" w:name="_Toc152045531"/>
      <w:bookmarkStart w:id="46" w:name="_Toc30669"/>
      <w:bookmarkStart w:id="47" w:name="_Toc392345911"/>
      <w:bookmarkStart w:id="48" w:name="_Toc229646713"/>
      <w:bookmarkStart w:id="49" w:name="_Toc429512959"/>
      <w:bookmarkStart w:id="50" w:name="_Toc144974499"/>
      <w:bookmarkStart w:id="51" w:name="_Toc429494969"/>
      <w:bookmarkStart w:id="52" w:name="_Toc152042307"/>
      <w:bookmarkStart w:id="53" w:name="_Toc491857249"/>
      <w:r>
        <w:rPr>
          <w:rFonts w:hint="eastAsia" w:ascii="仿宋" w:hAnsi="仿宋" w:eastAsia="仿宋" w:cs="仿宋"/>
          <w:b/>
          <w:sz w:val="21"/>
          <w:szCs w:val="21"/>
        </w:rPr>
        <w:t>1.2 资金来源和落实情况</w:t>
      </w:r>
      <w:bookmarkEnd w:id="42"/>
      <w:bookmarkEnd w:id="43"/>
      <w:bookmarkEnd w:id="44"/>
      <w:bookmarkEnd w:id="45"/>
      <w:bookmarkEnd w:id="46"/>
      <w:bookmarkEnd w:id="47"/>
      <w:bookmarkEnd w:id="48"/>
      <w:bookmarkEnd w:id="49"/>
      <w:bookmarkEnd w:id="50"/>
      <w:bookmarkEnd w:id="51"/>
      <w:bookmarkEnd w:id="52"/>
      <w:bookmarkEnd w:id="53"/>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1.2.1 本招标项目的资金来源：见投标人须知前附表。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1.2.2 本招标项目的出资比例：见投标人须知前附表。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1.2.3 本招标项目的资金落实情况：见投标人须知前附表。</w:t>
      </w:r>
    </w:p>
    <w:p>
      <w:pPr>
        <w:pStyle w:val="42"/>
        <w:numPr>
          <w:ilvl w:val="1"/>
          <w:numId w:val="0"/>
        </w:numPr>
        <w:spacing w:line="500" w:lineRule="exact"/>
        <w:outlineLvl w:val="9"/>
        <w:rPr>
          <w:rFonts w:ascii="仿宋" w:hAnsi="仿宋" w:eastAsia="仿宋" w:cs="仿宋"/>
          <w:b/>
          <w:sz w:val="21"/>
          <w:szCs w:val="21"/>
        </w:rPr>
      </w:pPr>
      <w:bookmarkStart w:id="54" w:name="_Toc491857250"/>
      <w:bookmarkStart w:id="55" w:name="_Toc17280"/>
      <w:bookmarkStart w:id="56" w:name="_Toc6929"/>
      <w:bookmarkStart w:id="57" w:name="_Toc392345912"/>
      <w:bookmarkStart w:id="58" w:name="_Toc429512960"/>
      <w:bookmarkStart w:id="59" w:name="_Toc429494377"/>
      <w:bookmarkStart w:id="60" w:name="_Toc152045532"/>
      <w:bookmarkStart w:id="61" w:name="_Toc144974500"/>
      <w:bookmarkStart w:id="62" w:name="_Toc429596605"/>
      <w:bookmarkStart w:id="63" w:name="_Toc429494970"/>
      <w:bookmarkStart w:id="64" w:name="_Toc152042308"/>
      <w:bookmarkStart w:id="65" w:name="_Toc229646714"/>
      <w:r>
        <w:rPr>
          <w:rFonts w:hint="eastAsia" w:ascii="仿宋" w:hAnsi="仿宋" w:eastAsia="仿宋" w:cs="仿宋"/>
          <w:b/>
          <w:sz w:val="21"/>
          <w:szCs w:val="21"/>
        </w:rPr>
        <w:t>1.3 招标范围及服务期</w:t>
      </w:r>
      <w:bookmarkEnd w:id="54"/>
      <w:bookmarkEnd w:id="55"/>
      <w:bookmarkEnd w:id="56"/>
      <w:bookmarkEnd w:id="57"/>
      <w:bookmarkEnd w:id="58"/>
      <w:bookmarkEnd w:id="59"/>
      <w:bookmarkEnd w:id="60"/>
      <w:bookmarkEnd w:id="61"/>
      <w:bookmarkEnd w:id="62"/>
      <w:bookmarkEnd w:id="63"/>
      <w:bookmarkEnd w:id="64"/>
      <w:bookmarkEnd w:id="65"/>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1.3.1 本次招标范围：见投标人须知前附表。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1.3.2 本招标项目的服务期：见投标人须知前附表。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1.3.3 本招标项目的质量要求：见投标人须知前附表。</w:t>
      </w:r>
    </w:p>
    <w:p>
      <w:pPr>
        <w:pStyle w:val="42"/>
        <w:numPr>
          <w:ilvl w:val="1"/>
          <w:numId w:val="0"/>
        </w:numPr>
        <w:spacing w:line="500" w:lineRule="exact"/>
        <w:outlineLvl w:val="9"/>
        <w:rPr>
          <w:rFonts w:ascii="仿宋" w:hAnsi="仿宋" w:eastAsia="仿宋" w:cs="仿宋"/>
          <w:b/>
          <w:sz w:val="21"/>
          <w:szCs w:val="21"/>
        </w:rPr>
      </w:pPr>
      <w:bookmarkStart w:id="66" w:name="_Toc429494378"/>
      <w:bookmarkStart w:id="67" w:name="_Toc429494971"/>
      <w:bookmarkStart w:id="68" w:name="_Toc429512961"/>
      <w:bookmarkStart w:id="69" w:name="_Toc152042310"/>
      <w:bookmarkStart w:id="70" w:name="_Toc229646715"/>
      <w:bookmarkStart w:id="71" w:name="_Toc144974502"/>
      <w:bookmarkStart w:id="72" w:name="_Toc26320"/>
      <w:bookmarkStart w:id="73" w:name="_Toc152045534"/>
      <w:bookmarkStart w:id="74" w:name="_Toc491857251"/>
      <w:bookmarkStart w:id="75" w:name="_Toc429596606"/>
      <w:bookmarkStart w:id="76" w:name="_Toc100"/>
      <w:bookmarkStart w:id="77" w:name="_Toc392345913"/>
      <w:r>
        <w:rPr>
          <w:rFonts w:hint="eastAsia" w:ascii="仿宋" w:hAnsi="仿宋" w:eastAsia="仿宋" w:cs="仿宋"/>
          <w:b/>
          <w:sz w:val="21"/>
          <w:szCs w:val="21"/>
        </w:rPr>
        <w:t>1.4 投标人资格要求</w:t>
      </w:r>
      <w:bookmarkEnd w:id="66"/>
      <w:bookmarkEnd w:id="67"/>
      <w:bookmarkEnd w:id="68"/>
      <w:bookmarkEnd w:id="69"/>
      <w:bookmarkEnd w:id="70"/>
      <w:bookmarkEnd w:id="71"/>
      <w:bookmarkEnd w:id="72"/>
      <w:bookmarkEnd w:id="73"/>
      <w:bookmarkEnd w:id="74"/>
      <w:bookmarkEnd w:id="75"/>
      <w:bookmarkEnd w:id="76"/>
      <w:bookmarkEnd w:id="77"/>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1.4.1投标人应具备以下要求：见投标人须知前附表。</w:t>
      </w:r>
    </w:p>
    <w:p>
      <w:pPr>
        <w:pStyle w:val="43"/>
        <w:spacing w:line="500" w:lineRule="exact"/>
        <w:ind w:firstLine="425"/>
        <w:jc w:val="both"/>
        <w:rPr>
          <w:rFonts w:ascii="仿宋" w:hAnsi="仿宋" w:eastAsia="仿宋" w:cs="仿宋"/>
          <w:color w:val="auto"/>
          <w:sz w:val="21"/>
          <w:szCs w:val="21"/>
        </w:rPr>
      </w:pPr>
      <w:bookmarkStart w:id="78" w:name="_Toc152045535"/>
      <w:bookmarkStart w:id="79" w:name="_Toc144974503"/>
      <w:bookmarkStart w:id="80" w:name="_Toc229646716"/>
      <w:bookmarkStart w:id="81" w:name="_Toc152042311"/>
      <w:r>
        <w:rPr>
          <w:rFonts w:hint="eastAsia" w:ascii="仿宋" w:hAnsi="仿宋" w:eastAsia="仿宋" w:cs="仿宋"/>
          <w:color w:val="auto"/>
          <w:sz w:val="21"/>
          <w:szCs w:val="21"/>
        </w:rPr>
        <w:t>1.4.2 本工程不接受联合体投标。</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1.4.3投标人不得存在下列情形之一：</w:t>
      </w:r>
    </w:p>
    <w:p>
      <w:pPr>
        <w:pStyle w:val="43"/>
        <w:spacing w:line="500" w:lineRule="exact"/>
        <w:ind w:firstLine="425"/>
        <w:jc w:val="both"/>
        <w:rPr>
          <w:rFonts w:ascii="仿宋" w:hAnsi="仿宋" w:eastAsia="仿宋" w:cs="仿宋"/>
          <w:color w:val="auto"/>
          <w:sz w:val="21"/>
          <w:szCs w:val="21"/>
        </w:rPr>
      </w:pPr>
      <w:bookmarkStart w:id="82" w:name="_Toc429494379"/>
      <w:bookmarkStart w:id="83" w:name="_Toc491857252"/>
      <w:bookmarkStart w:id="84" w:name="_Toc392345914"/>
      <w:bookmarkStart w:id="85" w:name="_Toc429596607"/>
      <w:bookmarkStart w:id="86" w:name="_Toc429494972"/>
      <w:bookmarkStart w:id="87" w:name="_Toc429512962"/>
      <w:r>
        <w:rPr>
          <w:rFonts w:hint="eastAsia" w:ascii="仿宋" w:hAnsi="仿宋" w:eastAsia="仿宋" w:cs="仿宋"/>
          <w:color w:val="auto"/>
          <w:sz w:val="21"/>
          <w:szCs w:val="21"/>
        </w:rPr>
        <w:t xml:space="preserve">（1）为招标人不具有独立法人资格的附属机构（单位）；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（2）为本标段提供招标代理服务的；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（3）单位负责人为同一人或者存在控股、管理关系的不同单位，同时参加本标段投标的；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（4）投标人及其法定代表人控股的其他公司，同时参加本标段投标的；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（5）与招标人存在利害关系可能影响招标公正性的法人、其他组织或者个人参加投标的；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（6）被责令停业的；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（7）湖州市内被暂停或取消投标资格的；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（8）财产被接管或冻结的。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9）投标人及其相关人员在工程建设招投标活动中出现串通投标、弄虚作假行为，或在标后履约中出现转包、违法分包行为，或发生与工程建设相关的较大工程质量事故、安全事故，受到行政处罚的，在处罚有效期内（无有效期的按一年计），招标人拒绝其参加本项目的竞标。</w:t>
      </w:r>
    </w:p>
    <w:p>
      <w:pPr>
        <w:pStyle w:val="42"/>
        <w:numPr>
          <w:ilvl w:val="1"/>
          <w:numId w:val="0"/>
        </w:numPr>
        <w:spacing w:line="500" w:lineRule="exact"/>
        <w:outlineLvl w:val="9"/>
        <w:rPr>
          <w:rFonts w:ascii="仿宋" w:hAnsi="仿宋" w:eastAsia="仿宋" w:cs="仿宋"/>
          <w:b/>
          <w:sz w:val="21"/>
          <w:szCs w:val="21"/>
        </w:rPr>
      </w:pPr>
      <w:bookmarkStart w:id="88" w:name="_Toc25008"/>
      <w:bookmarkStart w:id="89" w:name="_Toc31698"/>
      <w:r>
        <w:rPr>
          <w:rFonts w:hint="eastAsia" w:ascii="仿宋" w:hAnsi="仿宋" w:eastAsia="仿宋" w:cs="仿宋"/>
          <w:b/>
          <w:sz w:val="21"/>
          <w:szCs w:val="21"/>
        </w:rPr>
        <w:t>1.5 费用承担</w:t>
      </w:r>
      <w:bookmarkEnd w:id="78"/>
      <w:bookmarkEnd w:id="79"/>
      <w:bookmarkEnd w:id="80"/>
      <w:bookmarkEnd w:id="81"/>
      <w:bookmarkEnd w:id="82"/>
      <w:bookmarkEnd w:id="83"/>
      <w:bookmarkEnd w:id="84"/>
      <w:bookmarkEnd w:id="85"/>
      <w:bookmarkEnd w:id="86"/>
      <w:bookmarkEnd w:id="87"/>
      <w:bookmarkEnd w:id="88"/>
      <w:bookmarkEnd w:id="89"/>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1、投标人准备和参加投标活动发生的费用自理。</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000000" w:themeColor="text1"/>
          <w:sz w:val="21"/>
          <w:szCs w:val="21"/>
          <w14:textFill>
            <w14:solidFill>
              <w14:schemeClr w14:val="tx1"/>
            </w14:solidFill>
          </w14:textFill>
        </w:rPr>
        <w:t>本项目代理费10000元由中标单位在领取成交通知书前一次性支付给代理机构，请各竞包人自行考虑计入竞包报价中。</w:t>
      </w:r>
    </w:p>
    <w:p>
      <w:pPr>
        <w:pStyle w:val="42"/>
        <w:numPr>
          <w:ilvl w:val="1"/>
          <w:numId w:val="0"/>
        </w:numPr>
        <w:spacing w:line="500" w:lineRule="exact"/>
        <w:outlineLvl w:val="9"/>
        <w:rPr>
          <w:rFonts w:ascii="仿宋" w:hAnsi="仿宋" w:eastAsia="仿宋" w:cs="仿宋"/>
          <w:b/>
          <w:sz w:val="21"/>
          <w:szCs w:val="21"/>
        </w:rPr>
      </w:pPr>
      <w:bookmarkStart w:id="90" w:name="_Toc429512963"/>
      <w:bookmarkStart w:id="91" w:name="_Toc429494973"/>
      <w:bookmarkStart w:id="92" w:name="_Toc429596608"/>
      <w:bookmarkStart w:id="93" w:name="_Toc491857253"/>
      <w:bookmarkStart w:id="94" w:name="_Toc19988"/>
      <w:bookmarkStart w:id="95" w:name="_Toc322615398"/>
      <w:bookmarkStart w:id="96" w:name="_Toc319408072"/>
      <w:bookmarkStart w:id="97" w:name="_Toc152042312"/>
      <w:bookmarkStart w:id="98" w:name="_Toc392345915"/>
      <w:bookmarkStart w:id="99" w:name="_Toc152045536"/>
      <w:bookmarkStart w:id="100" w:name="_Toc323711750"/>
      <w:bookmarkStart w:id="101" w:name="_Toc319407837"/>
      <w:bookmarkStart w:id="102" w:name="_Toc22844"/>
      <w:bookmarkStart w:id="103" w:name="_Toc245036603"/>
      <w:bookmarkStart w:id="104" w:name="_Toc144974504"/>
      <w:bookmarkStart w:id="105" w:name="_Toc429494380"/>
      <w:bookmarkStart w:id="106" w:name="_Toc152042318"/>
      <w:bookmarkStart w:id="107" w:name="_Toc152045542"/>
      <w:bookmarkStart w:id="108" w:name="_Toc229646724"/>
      <w:bookmarkStart w:id="109" w:name="_Toc144974510"/>
      <w:r>
        <w:rPr>
          <w:rFonts w:hint="eastAsia" w:ascii="仿宋" w:hAnsi="仿宋" w:eastAsia="仿宋" w:cs="仿宋"/>
          <w:b/>
          <w:sz w:val="21"/>
          <w:szCs w:val="21"/>
        </w:rPr>
        <w:t>1.6 保密</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43"/>
        <w:spacing w:line="500" w:lineRule="exact"/>
        <w:ind w:firstLine="425"/>
        <w:jc w:val="both"/>
        <w:rPr>
          <w:rFonts w:ascii="仿宋" w:hAnsi="仿宋" w:eastAsia="仿宋" w:cs="仿宋"/>
          <w:color w:val="auto"/>
          <w:szCs w:val="21"/>
        </w:rPr>
      </w:pPr>
      <w:r>
        <w:rPr>
          <w:rFonts w:hint="eastAsia" w:ascii="仿宋" w:hAnsi="仿宋" w:eastAsia="仿宋" w:cs="仿宋"/>
          <w:color w:val="auto"/>
          <w:sz w:val="21"/>
          <w:szCs w:val="21"/>
        </w:rPr>
        <w:t>参与招标投标活动的各方应对招标文件和投标文件中的商业和技术等秘密保密，违者应对由此造成的后果承担法律责任。</w:t>
      </w:r>
      <w:r>
        <w:rPr>
          <w:rFonts w:hint="eastAsia" w:ascii="仿宋" w:hAnsi="仿宋" w:eastAsia="仿宋" w:cs="仿宋"/>
          <w:color w:val="auto"/>
          <w:szCs w:val="21"/>
        </w:rPr>
        <w:t xml:space="preserve"> </w:t>
      </w:r>
    </w:p>
    <w:p>
      <w:pPr>
        <w:pStyle w:val="42"/>
        <w:numPr>
          <w:ilvl w:val="1"/>
          <w:numId w:val="0"/>
        </w:numPr>
        <w:spacing w:line="500" w:lineRule="exact"/>
        <w:outlineLvl w:val="9"/>
        <w:rPr>
          <w:rFonts w:ascii="仿宋" w:hAnsi="仿宋" w:eastAsia="仿宋" w:cs="仿宋"/>
          <w:b/>
          <w:sz w:val="21"/>
          <w:szCs w:val="21"/>
        </w:rPr>
      </w:pPr>
      <w:bookmarkStart w:id="110" w:name="_Toc144974505"/>
      <w:bookmarkStart w:id="111" w:name="_Toc429494381"/>
      <w:bookmarkStart w:id="112" w:name="_Toc322615399"/>
      <w:bookmarkStart w:id="113" w:name="_Toc3971"/>
      <w:bookmarkStart w:id="114" w:name="_Toc429494974"/>
      <w:bookmarkStart w:id="115" w:name="_Toc392345916"/>
      <w:bookmarkStart w:id="116" w:name="_Toc152045537"/>
      <w:bookmarkStart w:id="117" w:name="_Toc319408073"/>
      <w:bookmarkStart w:id="118" w:name="_Toc319407838"/>
      <w:bookmarkStart w:id="119" w:name="_Toc7193"/>
      <w:bookmarkStart w:id="120" w:name="_Toc429512964"/>
      <w:bookmarkStart w:id="121" w:name="_Toc152042313"/>
      <w:bookmarkStart w:id="122" w:name="_Toc323711751"/>
      <w:bookmarkStart w:id="123" w:name="_Toc245036604"/>
      <w:bookmarkStart w:id="124" w:name="_Toc491857254"/>
      <w:bookmarkStart w:id="125" w:name="_Toc429596609"/>
      <w:r>
        <w:rPr>
          <w:rFonts w:hint="eastAsia" w:ascii="仿宋" w:hAnsi="仿宋" w:eastAsia="仿宋" w:cs="仿宋"/>
          <w:b/>
          <w:sz w:val="21"/>
          <w:szCs w:val="21"/>
        </w:rPr>
        <w:t>1.7 语言</w:t>
      </w:r>
      <w:bookmarkEnd w:id="110"/>
      <w:r>
        <w:rPr>
          <w:rFonts w:hint="eastAsia" w:ascii="仿宋" w:hAnsi="仿宋" w:eastAsia="仿宋" w:cs="仿宋"/>
          <w:b/>
          <w:sz w:val="21"/>
          <w:szCs w:val="21"/>
        </w:rPr>
        <w:t>文字</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除专用术语外，与招标投标有关的语言均使用中文。必要时专用术语应附有中文注释。</w:t>
      </w:r>
    </w:p>
    <w:p>
      <w:pPr>
        <w:pStyle w:val="42"/>
        <w:numPr>
          <w:ilvl w:val="1"/>
          <w:numId w:val="0"/>
        </w:numPr>
        <w:spacing w:line="500" w:lineRule="exact"/>
        <w:outlineLvl w:val="9"/>
        <w:rPr>
          <w:rFonts w:ascii="仿宋" w:hAnsi="仿宋" w:eastAsia="仿宋" w:cs="仿宋"/>
          <w:b/>
          <w:sz w:val="21"/>
          <w:szCs w:val="21"/>
        </w:rPr>
      </w:pPr>
      <w:bookmarkStart w:id="126" w:name="_Toc28895"/>
      <w:bookmarkStart w:id="127" w:name="_Toc429494975"/>
      <w:bookmarkStart w:id="128" w:name="_Toc319407839"/>
      <w:bookmarkStart w:id="129" w:name="_Toc319408074"/>
      <w:bookmarkStart w:id="130" w:name="_Toc323711752"/>
      <w:bookmarkStart w:id="131" w:name="_Toc152042314"/>
      <w:bookmarkStart w:id="132" w:name="_Toc245036605"/>
      <w:bookmarkStart w:id="133" w:name="_Toc491857255"/>
      <w:bookmarkStart w:id="134" w:name="_Toc144974506"/>
      <w:bookmarkStart w:id="135" w:name="_Toc20756"/>
      <w:bookmarkStart w:id="136" w:name="_Toc429494382"/>
      <w:bookmarkStart w:id="137" w:name="_Toc429512965"/>
      <w:bookmarkStart w:id="138" w:name="_Toc392345917"/>
      <w:bookmarkStart w:id="139" w:name="_Toc429596610"/>
      <w:bookmarkStart w:id="140" w:name="_Toc152045538"/>
      <w:bookmarkStart w:id="141" w:name="_Toc322615400"/>
      <w:r>
        <w:rPr>
          <w:rFonts w:hint="eastAsia" w:ascii="仿宋" w:hAnsi="仿宋" w:eastAsia="仿宋" w:cs="仿宋"/>
          <w:b/>
          <w:sz w:val="21"/>
          <w:szCs w:val="21"/>
        </w:rPr>
        <w:t>1.8 计量单位</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所有计量均采用中华人民共和国法定计量单位。</w:t>
      </w:r>
    </w:p>
    <w:p>
      <w:pPr>
        <w:pStyle w:val="42"/>
        <w:numPr>
          <w:ilvl w:val="1"/>
          <w:numId w:val="0"/>
        </w:numPr>
        <w:spacing w:line="500" w:lineRule="exact"/>
        <w:outlineLvl w:val="9"/>
        <w:rPr>
          <w:rFonts w:ascii="仿宋" w:hAnsi="仿宋" w:eastAsia="仿宋" w:cs="仿宋"/>
          <w:b/>
          <w:sz w:val="21"/>
          <w:szCs w:val="21"/>
        </w:rPr>
      </w:pPr>
      <w:bookmarkStart w:id="142" w:name="_Toc322615401"/>
      <w:bookmarkStart w:id="143" w:name="_Toc319407840"/>
      <w:bookmarkStart w:id="144" w:name="_Toc429596611"/>
      <w:bookmarkStart w:id="145" w:name="_Toc429512966"/>
      <w:bookmarkStart w:id="146" w:name="_Toc429494976"/>
      <w:bookmarkStart w:id="147" w:name="_Toc491857256"/>
      <w:bookmarkStart w:id="148" w:name="_Toc429494383"/>
      <w:bookmarkStart w:id="149" w:name="_Toc28081"/>
      <w:bookmarkStart w:id="150" w:name="_Toc152042315"/>
      <w:bookmarkStart w:id="151" w:name="_Toc20073"/>
      <w:bookmarkStart w:id="152" w:name="_Toc144974507"/>
      <w:bookmarkStart w:id="153" w:name="_Toc319408075"/>
      <w:bookmarkStart w:id="154" w:name="_Toc323711753"/>
      <w:bookmarkStart w:id="155" w:name="_Toc152045539"/>
      <w:bookmarkStart w:id="156" w:name="_Toc392345918"/>
      <w:bookmarkStart w:id="157" w:name="_Toc245036606"/>
      <w:r>
        <w:rPr>
          <w:rFonts w:hint="eastAsia" w:ascii="仿宋" w:hAnsi="仿宋" w:eastAsia="仿宋" w:cs="仿宋"/>
          <w:b/>
          <w:sz w:val="21"/>
          <w:szCs w:val="21"/>
        </w:rPr>
        <w:t>1.9 踏勘现场</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1.9.1招标人不组织踏勘现场。</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1.9.2 投标人自行踏勘现场发生的费用自理。</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1.9.３投标人自行负责在踏勘现场中所发生的人员伤亡和财产损失。</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1.9.４ 招标人提供的本工程的相关参考资料，并不构成合同文件的组成部分，投标人应对上述资料的解释、推论和应用负责，招标人不对投标人据此作出的判断和决策承担任何责任。</w:t>
      </w:r>
      <w:bookmarkStart w:id="158" w:name="_Toc118782"/>
      <w:bookmarkStart w:id="159" w:name="_Toc429512969"/>
      <w:bookmarkStart w:id="160" w:name="_Toc429494386"/>
      <w:bookmarkStart w:id="161" w:name="_Toc429494979"/>
      <w:bookmarkStart w:id="162" w:name="_Toc18643"/>
      <w:bookmarkStart w:id="163" w:name="_Toc429596614"/>
      <w:bookmarkStart w:id="164" w:name="_Toc491857259"/>
    </w:p>
    <w:p>
      <w:pPr>
        <w:pStyle w:val="42"/>
        <w:numPr>
          <w:ilvl w:val="1"/>
          <w:numId w:val="0"/>
        </w:numPr>
        <w:spacing w:line="500" w:lineRule="exact"/>
        <w:outlineLvl w:val="9"/>
        <w:rPr>
          <w:rFonts w:ascii="仿宋" w:hAnsi="仿宋" w:eastAsia="仿宋" w:cs="仿宋"/>
          <w:kern w:val="0"/>
          <w:sz w:val="21"/>
          <w:szCs w:val="21"/>
        </w:rPr>
      </w:pPr>
      <w:r>
        <w:rPr>
          <w:rFonts w:hint="eastAsia" w:ascii="仿宋" w:hAnsi="仿宋" w:eastAsia="仿宋" w:cs="仿宋"/>
          <w:b/>
          <w:sz w:val="21"/>
          <w:szCs w:val="21"/>
        </w:rPr>
        <w:t>1.10 转包和分包</w:t>
      </w:r>
      <w:bookmarkEnd w:id="158"/>
      <w:bookmarkStart w:id="165" w:name="_Toc18025"/>
      <w:r>
        <w:rPr>
          <w:rFonts w:hint="eastAsia" w:ascii="仿宋" w:hAnsi="仿宋" w:eastAsia="仿宋" w:cs="仿宋"/>
          <w:b/>
          <w:sz w:val="21"/>
          <w:szCs w:val="21"/>
        </w:rPr>
        <w:t>：</w:t>
      </w:r>
      <w:r>
        <w:rPr>
          <w:rFonts w:hint="eastAsia" w:ascii="仿宋" w:hAnsi="仿宋" w:eastAsia="仿宋" w:cs="仿宋"/>
          <w:sz w:val="21"/>
          <w:szCs w:val="21"/>
        </w:rPr>
        <w:t>本项目严禁转包和违法分包</w:t>
      </w:r>
    </w:p>
    <w:bookmarkEnd w:id="165"/>
    <w:p>
      <w:pPr>
        <w:pStyle w:val="42"/>
        <w:numPr>
          <w:ilvl w:val="1"/>
          <w:numId w:val="0"/>
        </w:numPr>
        <w:spacing w:line="500" w:lineRule="exact"/>
        <w:outlineLvl w:val="9"/>
        <w:rPr>
          <w:rFonts w:ascii="仿宋" w:hAnsi="仿宋" w:eastAsia="仿宋" w:cs="仿宋"/>
          <w:b/>
          <w:sz w:val="21"/>
          <w:szCs w:val="21"/>
        </w:rPr>
      </w:pPr>
      <w:bookmarkStart w:id="166" w:name="_Toc32766"/>
      <w:r>
        <w:rPr>
          <w:rFonts w:hint="eastAsia" w:ascii="仿宋" w:hAnsi="仿宋" w:eastAsia="仿宋" w:cs="仿宋"/>
          <w:b/>
          <w:sz w:val="21"/>
          <w:szCs w:val="21"/>
        </w:rPr>
        <w:t>1.11偏离</w:t>
      </w:r>
      <w:bookmarkEnd w:id="159"/>
      <w:bookmarkEnd w:id="160"/>
      <w:bookmarkEnd w:id="161"/>
      <w:bookmarkEnd w:id="162"/>
      <w:bookmarkEnd w:id="163"/>
      <w:bookmarkEnd w:id="164"/>
      <w:bookmarkEnd w:id="166"/>
      <w:r>
        <w:rPr>
          <w:rFonts w:hint="eastAsia" w:ascii="仿宋" w:hAnsi="仿宋" w:eastAsia="仿宋" w:cs="仿宋"/>
          <w:b/>
          <w:sz w:val="21"/>
          <w:szCs w:val="21"/>
        </w:rPr>
        <w:t>：</w:t>
      </w:r>
      <w:r>
        <w:rPr>
          <w:rFonts w:hint="eastAsia" w:ascii="仿宋" w:hAnsi="仿宋" w:eastAsia="仿宋" w:cs="仿宋"/>
          <w:kern w:val="0"/>
          <w:sz w:val="21"/>
          <w:szCs w:val="21"/>
        </w:rPr>
        <w:t>本项目不允许偏离</w:t>
      </w:r>
    </w:p>
    <w:bookmarkEnd w:id="106"/>
    <w:bookmarkEnd w:id="107"/>
    <w:bookmarkEnd w:id="108"/>
    <w:bookmarkEnd w:id="109"/>
    <w:p>
      <w:pPr>
        <w:pStyle w:val="41"/>
        <w:tabs>
          <w:tab w:val="left" w:pos="852"/>
        </w:tabs>
        <w:spacing w:before="0" w:line="500" w:lineRule="exact"/>
        <w:rPr>
          <w:rFonts w:ascii="仿宋" w:hAnsi="仿宋" w:eastAsia="仿宋" w:cs="仿宋"/>
          <w:b/>
          <w:sz w:val="21"/>
          <w:szCs w:val="21"/>
        </w:rPr>
      </w:pPr>
      <w:bookmarkStart w:id="167" w:name="_Toc323711757"/>
      <w:bookmarkStart w:id="168" w:name="_Toc245036610"/>
      <w:bookmarkStart w:id="169" w:name="_Toc392345920"/>
      <w:bookmarkStart w:id="170" w:name="_Toc429512970"/>
      <w:bookmarkStart w:id="171" w:name="_Toc11032"/>
      <w:bookmarkStart w:id="172" w:name="_Toc13358"/>
      <w:bookmarkStart w:id="173" w:name="_Toc152045546"/>
      <w:bookmarkStart w:id="174" w:name="_Toc229646728"/>
      <w:bookmarkStart w:id="175" w:name="_Toc144974514"/>
      <w:bookmarkStart w:id="176" w:name="_Toc152042322"/>
      <w:bookmarkStart w:id="177" w:name="_Toc152042324"/>
      <w:bookmarkStart w:id="178" w:name="_Toc229646730"/>
      <w:bookmarkStart w:id="179" w:name="_Toc144974516"/>
      <w:bookmarkStart w:id="180" w:name="_Toc152045548"/>
      <w:r>
        <w:rPr>
          <w:rFonts w:hint="eastAsia" w:ascii="仿宋" w:hAnsi="仿宋" w:eastAsia="仿宋" w:cs="仿宋"/>
          <w:b/>
          <w:sz w:val="21"/>
          <w:szCs w:val="21"/>
        </w:rPr>
        <w:t xml:space="preserve">2. </w:t>
      </w:r>
      <w:bookmarkEnd w:id="167"/>
      <w:bookmarkEnd w:id="168"/>
      <w:bookmarkEnd w:id="169"/>
      <w:bookmarkEnd w:id="170"/>
      <w:bookmarkEnd w:id="171"/>
      <w:r>
        <w:rPr>
          <w:rFonts w:hint="eastAsia" w:ascii="仿宋" w:hAnsi="仿宋" w:eastAsia="仿宋" w:cs="仿宋"/>
          <w:b/>
          <w:sz w:val="21"/>
          <w:szCs w:val="21"/>
        </w:rPr>
        <w:t>招标文件</w:t>
      </w:r>
      <w:bookmarkEnd w:id="172"/>
    </w:p>
    <w:p>
      <w:pPr>
        <w:pStyle w:val="42"/>
        <w:numPr>
          <w:ilvl w:val="1"/>
          <w:numId w:val="0"/>
        </w:numPr>
        <w:spacing w:line="500" w:lineRule="exact"/>
        <w:outlineLvl w:val="9"/>
        <w:rPr>
          <w:rFonts w:ascii="仿宋" w:hAnsi="仿宋" w:eastAsia="仿宋" w:cs="仿宋"/>
          <w:b/>
          <w:sz w:val="21"/>
          <w:szCs w:val="21"/>
        </w:rPr>
      </w:pPr>
      <w:bookmarkStart w:id="181" w:name="_Toc152045543"/>
      <w:bookmarkStart w:id="182" w:name="_Toc429494388"/>
      <w:bookmarkStart w:id="183" w:name="_Toc319407845"/>
      <w:bookmarkStart w:id="184" w:name="_Toc144974511"/>
      <w:bookmarkStart w:id="185" w:name="_Toc245036611"/>
      <w:bookmarkStart w:id="186" w:name="_Toc429494981"/>
      <w:bookmarkStart w:id="187" w:name="_Toc322615406"/>
      <w:bookmarkStart w:id="188" w:name="_Toc319408080"/>
      <w:bookmarkStart w:id="189" w:name="_Toc429512971"/>
      <w:bookmarkStart w:id="190" w:name="_Toc25662"/>
      <w:bookmarkStart w:id="191" w:name="_Toc323711758"/>
      <w:bookmarkStart w:id="192" w:name="_Toc491857261"/>
      <w:bookmarkStart w:id="193" w:name="_Toc152042319"/>
      <w:bookmarkStart w:id="194" w:name="_Toc429596616"/>
      <w:bookmarkStart w:id="195" w:name="_Toc392345921"/>
      <w:bookmarkStart w:id="196" w:name="_Toc25538"/>
      <w:r>
        <w:rPr>
          <w:rFonts w:hint="eastAsia" w:ascii="仿宋" w:hAnsi="仿宋" w:eastAsia="仿宋" w:cs="仿宋"/>
          <w:b/>
          <w:sz w:val="21"/>
          <w:szCs w:val="21"/>
        </w:rPr>
        <w:t>2.1 招标文件的组成</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本招标文件包括：</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（1）招标公告；</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（2）投标须知；</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（3）评标办法；</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（4）合同条款；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（5）投标文件格式。</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根据本章第1.10款、第2.2款和第2.3款对招标文件所作的澄清、修改，构成招标文件的组成部分。</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招标文件、招标文件的澄清或修改等在同一内容的表述上不一致时，以最后发出的书面文件为准。</w:t>
      </w:r>
    </w:p>
    <w:p>
      <w:pPr>
        <w:pStyle w:val="42"/>
        <w:numPr>
          <w:ilvl w:val="1"/>
          <w:numId w:val="0"/>
        </w:numPr>
        <w:spacing w:line="500" w:lineRule="exact"/>
        <w:outlineLvl w:val="9"/>
        <w:rPr>
          <w:rFonts w:ascii="仿宋" w:hAnsi="仿宋" w:eastAsia="仿宋" w:cs="仿宋"/>
          <w:b/>
          <w:sz w:val="21"/>
          <w:szCs w:val="21"/>
        </w:rPr>
      </w:pPr>
      <w:bookmarkStart w:id="197" w:name="_Toc25549"/>
      <w:bookmarkStart w:id="198" w:name="_Toc152042320"/>
      <w:bookmarkStart w:id="199" w:name="_Toc429512972"/>
      <w:bookmarkStart w:id="200" w:name="_Toc322615407"/>
      <w:bookmarkStart w:id="201" w:name="_Toc491857262"/>
      <w:bookmarkStart w:id="202" w:name="_Toc429494982"/>
      <w:bookmarkStart w:id="203" w:name="_Toc392345922"/>
      <w:bookmarkStart w:id="204" w:name="_Toc144974512"/>
      <w:bookmarkStart w:id="205" w:name="_Toc26206"/>
      <w:bookmarkStart w:id="206" w:name="_Toc429494389"/>
      <w:bookmarkStart w:id="207" w:name="_Toc429596617"/>
      <w:bookmarkStart w:id="208" w:name="_Toc323711759"/>
      <w:bookmarkStart w:id="209" w:name="_Toc319407846"/>
      <w:bookmarkStart w:id="210" w:name="_Toc152045544"/>
      <w:bookmarkStart w:id="211" w:name="_Toc319408081"/>
      <w:bookmarkStart w:id="212" w:name="_Toc245036612"/>
      <w:r>
        <w:rPr>
          <w:rFonts w:hint="eastAsia" w:ascii="仿宋" w:hAnsi="仿宋" w:eastAsia="仿宋" w:cs="仿宋"/>
          <w:b/>
          <w:sz w:val="21"/>
          <w:szCs w:val="21"/>
        </w:rPr>
        <w:t>2.2 招标文件的澄清</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43"/>
        <w:spacing w:line="500" w:lineRule="exact"/>
        <w:ind w:firstLine="425"/>
        <w:jc w:val="both"/>
        <w:rPr>
          <w:rFonts w:ascii="仿宋" w:hAnsi="仿宋" w:eastAsia="仿宋" w:cs="仿宋"/>
          <w:color w:val="auto"/>
          <w:sz w:val="21"/>
          <w:szCs w:val="21"/>
        </w:rPr>
      </w:pPr>
      <w:bookmarkStart w:id="213" w:name="_Toc323711760"/>
      <w:bookmarkStart w:id="214" w:name="_Toc152042321"/>
      <w:bookmarkStart w:id="215" w:name="_Toc429512973"/>
      <w:bookmarkStart w:id="216" w:name="_Toc319408082"/>
      <w:bookmarkStart w:id="217" w:name="_Toc322615408"/>
      <w:bookmarkStart w:id="218" w:name="_Toc429494390"/>
      <w:bookmarkStart w:id="219" w:name="_Toc12023"/>
      <w:bookmarkStart w:id="220" w:name="_Toc144974513"/>
      <w:bookmarkStart w:id="221" w:name="_Toc319407847"/>
      <w:bookmarkStart w:id="222" w:name="_Toc245036613"/>
      <w:bookmarkStart w:id="223" w:name="_Toc429596618"/>
      <w:bookmarkStart w:id="224" w:name="_Toc491857263"/>
      <w:bookmarkStart w:id="225" w:name="_Toc429494983"/>
      <w:bookmarkStart w:id="226" w:name="_Toc152045545"/>
      <w:bookmarkStart w:id="227" w:name="_Toc392345923"/>
      <w:r>
        <w:rPr>
          <w:rFonts w:hint="eastAsia" w:ascii="仿宋" w:hAnsi="仿宋" w:eastAsia="仿宋" w:cs="仿宋"/>
          <w:color w:val="auto"/>
          <w:sz w:val="21"/>
          <w:szCs w:val="21"/>
        </w:rPr>
        <w:t>2.2.1 投标人应仔细阅读和检查招标文件的全部内容。如发现缺页或附件不全，应及时向招标人提出，以便补齐。如有疑问，应在</w:t>
      </w:r>
      <w:r>
        <w:fldChar w:fldCharType="begin"/>
      </w:r>
      <w:r>
        <w:instrText xml:space="preserve"> HYPERLINK \l "_2.2_招标文件的澄清" </w:instrText>
      </w:r>
      <w:r>
        <w:fldChar w:fldCharType="separate"/>
      </w:r>
      <w:r>
        <w:rPr>
          <w:rFonts w:hint="eastAsia" w:ascii="仿宋" w:hAnsi="仿宋" w:eastAsia="仿宋" w:cs="仿宋"/>
          <w:color w:val="auto"/>
          <w:sz w:val="21"/>
          <w:szCs w:val="21"/>
        </w:rPr>
        <w:t>投标人须知前</w:t>
      </w:r>
      <w:bookmarkStart w:id="228" w:name="_Hlt454279010"/>
      <w:bookmarkStart w:id="229" w:name="_Hlt454279009"/>
      <w:bookmarkStart w:id="230" w:name="_Hlt454279434"/>
      <w:r>
        <w:rPr>
          <w:rFonts w:hint="eastAsia" w:ascii="仿宋" w:hAnsi="仿宋" w:eastAsia="仿宋" w:cs="仿宋"/>
          <w:color w:val="auto"/>
          <w:sz w:val="21"/>
          <w:szCs w:val="21"/>
        </w:rPr>
        <w:t>附</w:t>
      </w:r>
      <w:bookmarkEnd w:id="228"/>
      <w:bookmarkEnd w:id="229"/>
      <w:bookmarkEnd w:id="230"/>
      <w:r>
        <w:rPr>
          <w:rFonts w:hint="eastAsia" w:ascii="仿宋" w:hAnsi="仿宋" w:eastAsia="仿宋" w:cs="仿宋"/>
          <w:color w:val="auto"/>
          <w:sz w:val="21"/>
          <w:szCs w:val="21"/>
        </w:rPr>
        <w:t>表2.2.1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规定的时间前在</w:t>
      </w:r>
      <w:r>
        <w:fldChar w:fldCharType="begin"/>
      </w:r>
      <w:r>
        <w:instrText xml:space="preserve"> HYPERLINK \l "第二章投标人须知前附表第223项" </w:instrText>
      </w:r>
      <w:r>
        <w:fldChar w:fldCharType="separate"/>
      </w:r>
      <w:bookmarkStart w:id="231" w:name="_Hlt454279438"/>
      <w:r>
        <w:rPr>
          <w:rFonts w:hint="eastAsia" w:ascii="仿宋" w:hAnsi="仿宋" w:eastAsia="仿宋" w:cs="仿宋"/>
          <w:color w:val="auto"/>
          <w:sz w:val="21"/>
          <w:szCs w:val="21"/>
        </w:rPr>
        <w:t>投标人</w:t>
      </w:r>
      <w:bookmarkEnd w:id="231"/>
      <w:r>
        <w:rPr>
          <w:rFonts w:hint="eastAsia" w:ascii="仿宋" w:hAnsi="仿宋" w:eastAsia="仿宋" w:cs="仿宋"/>
          <w:color w:val="auto"/>
          <w:sz w:val="21"/>
          <w:szCs w:val="21"/>
        </w:rPr>
        <w:t>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规定的方式进行提疑，要求招标人对招标文件予以澄清，超过截止日期的提疑不予受理。</w:t>
      </w:r>
    </w:p>
    <w:p>
      <w:pPr>
        <w:pStyle w:val="43"/>
        <w:spacing w:line="500" w:lineRule="exact"/>
        <w:ind w:firstLine="425"/>
        <w:jc w:val="both"/>
        <w:rPr>
          <w:rFonts w:ascii="仿宋" w:hAnsi="仿宋" w:eastAsia="仿宋" w:cs="仿宋"/>
          <w:color w:val="auto"/>
          <w:sz w:val="21"/>
          <w:szCs w:val="21"/>
        </w:rPr>
      </w:pPr>
      <w:bookmarkStart w:id="232" w:name="第二章第222项"/>
      <w:r>
        <w:rPr>
          <w:rFonts w:hint="eastAsia" w:ascii="仿宋" w:hAnsi="仿宋" w:eastAsia="仿宋" w:cs="仿宋"/>
          <w:color w:val="auto"/>
          <w:sz w:val="21"/>
          <w:szCs w:val="21"/>
        </w:rPr>
        <w:t>2.2.2</w:t>
      </w:r>
      <w:bookmarkEnd w:id="232"/>
      <w:r>
        <w:rPr>
          <w:rFonts w:hint="eastAsia" w:ascii="仿宋" w:hAnsi="仿宋" w:eastAsia="仿宋" w:cs="仿宋"/>
          <w:color w:val="auto"/>
          <w:sz w:val="21"/>
          <w:szCs w:val="21"/>
        </w:rPr>
        <w:t xml:space="preserve"> 招标人根据需要主动对招标文件进行必要的澄清，或是根据投标人的对招标文件提交的疑问，招标人都将作出统一解答或予以澄清，并以招标文件补充文件的形式在</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w:t>
      </w:r>
      <w:bookmarkStart w:id="233" w:name="_Hlt456020785"/>
      <w:r>
        <w:rPr>
          <w:rFonts w:hint="eastAsia" w:ascii="仿宋" w:hAnsi="仿宋" w:eastAsia="仿宋" w:cs="仿宋"/>
          <w:color w:val="auto"/>
          <w:sz w:val="21"/>
          <w:szCs w:val="21"/>
        </w:rPr>
        <w:t>知</w:t>
      </w:r>
      <w:bookmarkEnd w:id="233"/>
      <w:r>
        <w:rPr>
          <w:rFonts w:hint="eastAsia" w:ascii="仿宋" w:hAnsi="仿宋" w:eastAsia="仿宋" w:cs="仿宋"/>
          <w:color w:val="auto"/>
          <w:sz w:val="21"/>
          <w:szCs w:val="21"/>
        </w:rPr>
        <w:t>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规定的方式发布。如果澄清内容影响投标文件编制的，将相应延长投标截止时间。</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2.2.3 提疑、答疑澄清信息将统一按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p>
    <w:p>
      <w:pPr>
        <w:pStyle w:val="43"/>
        <w:spacing w:line="500" w:lineRule="exact"/>
        <w:ind w:firstLine="425"/>
        <w:jc w:val="both"/>
        <w:rPr>
          <w:rFonts w:ascii="仿宋" w:hAnsi="仿宋" w:eastAsia="仿宋" w:cs="仿宋"/>
          <w:color w:val="auto"/>
          <w:kern w:val="2"/>
          <w:sz w:val="21"/>
          <w:szCs w:val="21"/>
        </w:rPr>
      </w:pPr>
      <w:r>
        <w:rPr>
          <w:rFonts w:hint="eastAsia" w:ascii="仿宋" w:hAnsi="仿宋" w:eastAsia="仿宋" w:cs="仿宋"/>
          <w:color w:val="auto"/>
          <w:kern w:val="2"/>
          <w:sz w:val="21"/>
          <w:szCs w:val="21"/>
        </w:rPr>
        <w:t>2.2.4本项目（仅指电子招投标）若发布了澄清文件（指招标文件补疑内容），投标人必须选择澄清文件进行投标文件制作，否则其投标文件将无法上传。</w:t>
      </w:r>
    </w:p>
    <w:p>
      <w:pPr>
        <w:pStyle w:val="42"/>
        <w:numPr>
          <w:ilvl w:val="1"/>
          <w:numId w:val="0"/>
        </w:numPr>
        <w:spacing w:line="500" w:lineRule="exact"/>
        <w:outlineLvl w:val="9"/>
        <w:rPr>
          <w:rFonts w:ascii="仿宋" w:hAnsi="仿宋" w:eastAsia="仿宋" w:cs="仿宋"/>
          <w:b/>
          <w:sz w:val="21"/>
          <w:szCs w:val="21"/>
        </w:rPr>
      </w:pPr>
      <w:bookmarkStart w:id="234" w:name="_Toc7623"/>
      <w:r>
        <w:rPr>
          <w:rFonts w:hint="eastAsia" w:ascii="仿宋" w:hAnsi="仿宋" w:eastAsia="仿宋" w:cs="仿宋"/>
          <w:b/>
          <w:sz w:val="21"/>
          <w:szCs w:val="21"/>
        </w:rPr>
        <w:t>2.3 招标文件的修改</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4"/>
    </w:p>
    <w:p>
      <w:pPr>
        <w:pStyle w:val="43"/>
        <w:spacing w:line="500" w:lineRule="exact"/>
        <w:ind w:firstLine="425"/>
        <w:jc w:val="both"/>
        <w:rPr>
          <w:rFonts w:ascii="仿宋" w:hAnsi="仿宋" w:eastAsia="仿宋" w:cs="仿宋"/>
          <w:color w:val="auto"/>
          <w:sz w:val="21"/>
          <w:szCs w:val="21"/>
        </w:rPr>
      </w:pPr>
      <w:bookmarkStart w:id="235" w:name="_Toc8495"/>
      <w:bookmarkStart w:id="236" w:name="_Toc392345924"/>
      <w:bookmarkStart w:id="237" w:name="_Toc429512974"/>
      <w:r>
        <w:rPr>
          <w:rFonts w:hint="eastAsia" w:ascii="仿宋" w:hAnsi="仿宋" w:eastAsia="仿宋" w:cs="仿宋"/>
          <w:color w:val="auto"/>
          <w:sz w:val="21"/>
          <w:szCs w:val="21"/>
        </w:rPr>
        <w:t>2.3.1招标人可对招标文件进行必要的澄清或修改，招标文件的修改内容作为招标文件的组成部分，具有约束作用。当招标文件、招标文件的澄清、修改、补充等在同一内容的表述上不一致时，以最后发出的文件为准。如果修改招标文件的时间距投标截止时间不足15天，并且修改内容影响投标文件编制的，将相应延长投标截止时间。</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2.3.2 招标文件的修改将按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p>
    <w:p>
      <w:pPr>
        <w:pStyle w:val="41"/>
        <w:tabs>
          <w:tab w:val="left" w:pos="852"/>
        </w:tabs>
        <w:spacing w:before="0" w:line="500" w:lineRule="exact"/>
        <w:rPr>
          <w:rFonts w:ascii="仿宋" w:hAnsi="仿宋" w:eastAsia="仿宋" w:cs="仿宋"/>
          <w:b/>
          <w:sz w:val="21"/>
          <w:szCs w:val="21"/>
        </w:rPr>
      </w:pPr>
      <w:bookmarkStart w:id="238" w:name="_Toc20023"/>
      <w:r>
        <w:rPr>
          <w:rFonts w:hint="eastAsia" w:ascii="仿宋" w:hAnsi="仿宋" w:eastAsia="仿宋" w:cs="仿宋"/>
          <w:b/>
          <w:sz w:val="21"/>
          <w:szCs w:val="21"/>
        </w:rPr>
        <w:t>3. 投标文件</w:t>
      </w:r>
      <w:bookmarkEnd w:id="173"/>
      <w:bookmarkEnd w:id="174"/>
      <w:bookmarkEnd w:id="175"/>
      <w:bookmarkEnd w:id="176"/>
      <w:bookmarkEnd w:id="235"/>
      <w:bookmarkEnd w:id="236"/>
      <w:bookmarkEnd w:id="237"/>
      <w:bookmarkEnd w:id="238"/>
    </w:p>
    <w:p>
      <w:pPr>
        <w:pStyle w:val="42"/>
        <w:numPr>
          <w:ilvl w:val="1"/>
          <w:numId w:val="0"/>
        </w:numPr>
        <w:spacing w:line="500" w:lineRule="exact"/>
        <w:outlineLvl w:val="9"/>
        <w:rPr>
          <w:rFonts w:ascii="仿宋" w:hAnsi="仿宋" w:eastAsia="仿宋" w:cs="仿宋"/>
          <w:b/>
          <w:sz w:val="21"/>
          <w:szCs w:val="21"/>
        </w:rPr>
      </w:pPr>
      <w:bookmarkStart w:id="239" w:name="_Toc15295"/>
      <w:bookmarkStart w:id="240" w:name="_Toc31661"/>
      <w:bookmarkStart w:id="241" w:name="_Toc152045547"/>
      <w:bookmarkStart w:id="242" w:name="_Toc491857265"/>
      <w:bookmarkStart w:id="243" w:name="_Toc144974515"/>
      <w:bookmarkStart w:id="244" w:name="_Toc392345925"/>
      <w:bookmarkStart w:id="245" w:name="_Toc429512975"/>
      <w:bookmarkStart w:id="246" w:name="_Toc152042323"/>
      <w:bookmarkStart w:id="247" w:name="_Toc229646729"/>
      <w:bookmarkStart w:id="248" w:name="_Toc429494392"/>
      <w:bookmarkStart w:id="249" w:name="_Toc429494985"/>
      <w:bookmarkStart w:id="250" w:name="_Toc429596620"/>
      <w:r>
        <w:rPr>
          <w:rFonts w:hint="eastAsia" w:ascii="仿宋" w:hAnsi="仿宋" w:eastAsia="仿宋" w:cs="仿宋"/>
          <w:b/>
          <w:sz w:val="21"/>
          <w:szCs w:val="21"/>
        </w:rPr>
        <w:t>3.1 投标文件的组成</w:t>
      </w:r>
      <w:bookmarkEnd w:id="239"/>
      <w:bookmarkEnd w:id="240"/>
      <w:bookmarkEnd w:id="241"/>
      <w:bookmarkEnd w:id="242"/>
      <w:bookmarkEnd w:id="243"/>
      <w:bookmarkEnd w:id="244"/>
      <w:bookmarkEnd w:id="245"/>
      <w:bookmarkEnd w:id="246"/>
      <w:bookmarkEnd w:id="247"/>
      <w:bookmarkEnd w:id="248"/>
      <w:bookmarkEnd w:id="249"/>
      <w:bookmarkEnd w:id="250"/>
    </w:p>
    <w:p>
      <w:pPr>
        <w:pStyle w:val="43"/>
        <w:spacing w:line="500" w:lineRule="exact"/>
        <w:ind w:firstLine="425"/>
        <w:jc w:val="both"/>
        <w:rPr>
          <w:rFonts w:ascii="仿宋" w:hAnsi="仿宋" w:eastAsia="仿宋" w:cs="仿宋"/>
          <w:color w:val="auto"/>
          <w:sz w:val="21"/>
          <w:szCs w:val="21"/>
        </w:rPr>
      </w:pPr>
      <w:bookmarkStart w:id="251" w:name="_Toc392345926"/>
      <w:r>
        <w:rPr>
          <w:rFonts w:hint="eastAsia" w:ascii="仿宋" w:hAnsi="仿宋" w:eastAsia="仿宋" w:cs="仿宋"/>
          <w:color w:val="auto"/>
          <w:sz w:val="21"/>
          <w:szCs w:val="21"/>
        </w:rPr>
        <w:t>3.1.1资格文件主要包括以下内容</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（1）企业基本资料</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sz w:val="21"/>
          <w:szCs w:val="21"/>
        </w:rPr>
        <w:fldChar w:fldCharType="begin"/>
      </w:r>
      <w:r>
        <w:rPr>
          <w:rFonts w:hint="eastAsia" w:ascii="仿宋" w:hAnsi="仿宋" w:eastAsia="仿宋" w:cs="仿宋"/>
          <w:b/>
          <w:bCs/>
          <w:sz w:val="21"/>
          <w:szCs w:val="21"/>
        </w:rPr>
        <w:instrText xml:space="preserve"> = 1 \* GB3 </w:instrText>
      </w:r>
      <w:r>
        <w:rPr>
          <w:rFonts w:hint="eastAsia" w:ascii="仿宋" w:hAnsi="仿宋" w:eastAsia="仿宋" w:cs="仿宋"/>
          <w:b/>
          <w:bCs/>
          <w:sz w:val="21"/>
          <w:szCs w:val="21"/>
        </w:rPr>
        <w:fldChar w:fldCharType="separate"/>
      </w:r>
      <w:r>
        <w:rPr>
          <w:rFonts w:hint="eastAsia" w:ascii="仿宋" w:hAnsi="仿宋" w:eastAsia="仿宋" w:cs="仿宋"/>
          <w:b/>
          <w:bCs/>
          <w:sz w:val="21"/>
          <w:szCs w:val="21"/>
        </w:rPr>
        <w:t>①</w:t>
      </w:r>
      <w:r>
        <w:rPr>
          <w:rFonts w:hint="eastAsia" w:ascii="仿宋" w:hAnsi="仿宋" w:eastAsia="仿宋" w:cs="仿宋"/>
          <w:b/>
          <w:bCs/>
          <w:sz w:val="21"/>
          <w:szCs w:val="21"/>
        </w:rPr>
        <w:fldChar w:fldCharType="end"/>
      </w:r>
      <w:r>
        <w:rPr>
          <w:rFonts w:hint="eastAsia" w:ascii="仿宋" w:hAnsi="仿宋" w:eastAsia="仿宋" w:cs="仿宋"/>
          <w:b/>
          <w:bCs/>
          <w:sz w:val="21"/>
          <w:szCs w:val="21"/>
        </w:rPr>
        <w:t>企业基本情况表；②企业营业执照;③基本账户开户证明；</w:t>
      </w:r>
      <w:r>
        <w:rPr>
          <w:rFonts w:hint="eastAsia" w:ascii="仿宋" w:hAnsi="仿宋" w:eastAsia="仿宋" w:cs="仿宋"/>
          <w:b/>
          <w:bCs/>
          <w:color w:val="auto"/>
          <w:sz w:val="21"/>
          <w:szCs w:val="21"/>
        </w:rPr>
        <w:t xml:space="preserve"> </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（2）投标声明书；</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（3）企业法定代表人身份证明书及投标代表授权委托书；</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（4）投标代理人社保证明复印件（社保机构出具的由本单位或分公司为其缴纳的近3个月中任何1个月的社保证明。）；</w:t>
      </w:r>
    </w:p>
    <w:p>
      <w:pPr>
        <w:pStyle w:val="43"/>
        <w:spacing w:line="500" w:lineRule="exact"/>
        <w:ind w:firstLine="425"/>
        <w:jc w:val="both"/>
        <w:rPr>
          <w:rFonts w:ascii="仿宋" w:hAnsi="仿宋" w:eastAsia="仿宋" w:cs="仿宋"/>
          <w:b/>
          <w:bCs/>
          <w:sz w:val="21"/>
          <w:szCs w:val="21"/>
        </w:rPr>
      </w:pPr>
      <w:r>
        <w:rPr>
          <w:rFonts w:hint="eastAsia" w:ascii="仿宋" w:hAnsi="仿宋" w:eastAsia="仿宋" w:cs="仿宋"/>
          <w:b/>
          <w:bCs/>
          <w:color w:val="auto"/>
          <w:sz w:val="21"/>
          <w:szCs w:val="21"/>
        </w:rPr>
        <w:t>（5）</w:t>
      </w:r>
      <w:r>
        <w:rPr>
          <w:rFonts w:hint="eastAsia" w:ascii="仿宋" w:hAnsi="仿宋" w:eastAsia="仿宋" w:cs="仿宋"/>
          <w:b/>
          <w:bCs/>
          <w:sz w:val="21"/>
          <w:szCs w:val="21"/>
        </w:rPr>
        <w:t>投标（竞包）保证承诺函；</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（6）湖州市政府投资建设项目投标人廉洁守信承诺书；</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（7）投标人认为需要的其他文件资料。</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注：上述资料由投标人扫描件或电子件上传。投标人必须确保投标时所提供的所有资料真实有效，一旦发现有弄虚作假行为按《湖州市工程建设招投标活动中串通投标和弄虚作假行为认定及处理办法（试行）》处理。</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3.1.2商务部分主要包括下列内容：</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（1）投标函；</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（2）投标报价明细表；</w:t>
      </w:r>
    </w:p>
    <w:p>
      <w:pPr>
        <w:pStyle w:val="43"/>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（3）投标报价需要的其他资料（招标人要求提供的或投标人认为需要提供的其它商务资料）。</w:t>
      </w:r>
    </w:p>
    <w:p>
      <w:pPr>
        <w:pStyle w:val="43"/>
        <w:spacing w:line="500" w:lineRule="exact"/>
        <w:ind w:firstLine="425"/>
        <w:jc w:val="both"/>
        <w:rPr>
          <w:rFonts w:ascii="仿宋" w:hAnsi="仿宋" w:eastAsia="仿宋" w:cs="仿宋"/>
          <w:sz w:val="21"/>
          <w:szCs w:val="21"/>
        </w:rPr>
      </w:pPr>
      <w:r>
        <w:rPr>
          <w:rFonts w:hint="eastAsia" w:ascii="仿宋" w:hAnsi="仿宋" w:eastAsia="仿宋" w:cs="仿宋"/>
          <w:color w:val="FF0000"/>
          <w:sz w:val="21"/>
          <w:szCs w:val="21"/>
        </w:rPr>
        <w:t xml:space="preserve"> </w:t>
      </w:r>
      <w:r>
        <w:rPr>
          <w:rFonts w:hint="eastAsia" w:ascii="仿宋" w:hAnsi="仿宋" w:eastAsia="仿宋" w:cs="仿宋"/>
          <w:sz w:val="21"/>
          <w:szCs w:val="21"/>
        </w:rPr>
        <w:t>3.1.3技术部分主要包括下列内容：</w:t>
      </w:r>
    </w:p>
    <w:p>
      <w:pPr>
        <w:pStyle w:val="43"/>
        <w:spacing w:line="500" w:lineRule="exact"/>
        <w:ind w:firstLine="425"/>
        <w:jc w:val="both"/>
        <w:rPr>
          <w:rFonts w:ascii="仿宋" w:hAnsi="仿宋" w:eastAsia="仿宋" w:cs="仿宋"/>
          <w:b/>
          <w:bCs/>
          <w:sz w:val="21"/>
          <w:szCs w:val="21"/>
        </w:rPr>
      </w:pPr>
      <w:permStart w:id="16" w:edGrp="everyone"/>
      <w:r>
        <w:rPr>
          <w:rFonts w:hint="eastAsia" w:ascii="仿宋" w:hAnsi="仿宋" w:eastAsia="仿宋" w:cs="仿宋"/>
          <w:b/>
          <w:bCs/>
          <w:sz w:val="21"/>
          <w:szCs w:val="21"/>
        </w:rPr>
        <w:t>（1）投标人一般情况表；</w:t>
      </w:r>
    </w:p>
    <w:p>
      <w:pPr>
        <w:pStyle w:val="43"/>
        <w:spacing w:line="500" w:lineRule="exact"/>
        <w:ind w:firstLine="425"/>
        <w:jc w:val="both"/>
        <w:rPr>
          <w:rFonts w:ascii="仿宋" w:hAnsi="仿宋" w:eastAsia="仿宋" w:cs="仿宋"/>
          <w:b/>
          <w:bCs/>
          <w:sz w:val="21"/>
          <w:szCs w:val="21"/>
        </w:rPr>
      </w:pPr>
      <w:r>
        <w:rPr>
          <w:rFonts w:hint="eastAsia" w:ascii="仿宋" w:hAnsi="仿宋" w:eastAsia="仿宋" w:cs="仿宋"/>
          <w:b/>
          <w:bCs/>
          <w:sz w:val="21"/>
          <w:szCs w:val="21"/>
        </w:rPr>
        <w:t>（2）企业资信</w:t>
      </w:r>
    </w:p>
    <w:p>
      <w:pPr>
        <w:pStyle w:val="43"/>
        <w:spacing w:line="500" w:lineRule="exact"/>
        <w:ind w:firstLine="425"/>
        <w:jc w:val="both"/>
        <w:rPr>
          <w:rFonts w:ascii="仿宋" w:hAnsi="仿宋" w:eastAsia="仿宋" w:cs="仿宋"/>
          <w:b/>
          <w:bCs/>
          <w:sz w:val="21"/>
          <w:szCs w:val="21"/>
        </w:rPr>
      </w:pPr>
      <w:r>
        <w:rPr>
          <w:rFonts w:hint="eastAsia" w:ascii="仿宋" w:hAnsi="仿宋" w:eastAsia="仿宋" w:cs="仿宋"/>
          <w:b/>
          <w:bCs/>
          <w:sz w:val="21"/>
          <w:szCs w:val="21"/>
        </w:rPr>
        <w:t>（3）企业业绩；</w:t>
      </w:r>
    </w:p>
    <w:p>
      <w:pPr>
        <w:pStyle w:val="43"/>
        <w:spacing w:line="500" w:lineRule="exact"/>
        <w:ind w:firstLine="425"/>
        <w:jc w:val="both"/>
        <w:rPr>
          <w:rFonts w:ascii="仿宋" w:hAnsi="仿宋" w:eastAsia="仿宋" w:cs="仿宋"/>
          <w:b/>
          <w:bCs/>
          <w:sz w:val="21"/>
          <w:szCs w:val="21"/>
        </w:rPr>
      </w:pPr>
      <w:r>
        <w:rPr>
          <w:rFonts w:hint="eastAsia" w:ascii="仿宋" w:hAnsi="仿宋" w:eastAsia="仿宋" w:cs="仿宋"/>
          <w:b/>
          <w:bCs/>
          <w:sz w:val="21"/>
          <w:szCs w:val="21"/>
        </w:rPr>
        <w:t>（4）项目管理</w:t>
      </w:r>
    </w:p>
    <w:p>
      <w:pPr>
        <w:pStyle w:val="43"/>
        <w:spacing w:line="500" w:lineRule="exact"/>
        <w:ind w:firstLine="425"/>
        <w:jc w:val="both"/>
        <w:rPr>
          <w:rFonts w:ascii="仿宋" w:hAnsi="仿宋" w:eastAsia="仿宋" w:cs="仿宋"/>
          <w:b/>
          <w:bCs/>
          <w:sz w:val="21"/>
          <w:szCs w:val="21"/>
        </w:rPr>
      </w:pPr>
      <w:r>
        <w:rPr>
          <w:rFonts w:hint="eastAsia" w:ascii="仿宋" w:hAnsi="仿宋" w:eastAsia="仿宋" w:cs="仿宋"/>
          <w:b/>
          <w:bCs/>
          <w:sz w:val="21"/>
          <w:szCs w:val="21"/>
        </w:rPr>
        <w:t>（5）招标人要求的其他内容</w:t>
      </w:r>
    </w:p>
    <w:p>
      <w:pPr>
        <w:pStyle w:val="43"/>
        <w:spacing w:line="500" w:lineRule="exact"/>
        <w:ind w:firstLine="425"/>
        <w:jc w:val="both"/>
        <w:rPr>
          <w:rFonts w:ascii="仿宋" w:hAnsi="仿宋" w:eastAsia="仿宋" w:cs="仿宋"/>
          <w:b/>
          <w:bCs/>
          <w:color w:val="FF0000"/>
          <w:sz w:val="21"/>
          <w:szCs w:val="21"/>
        </w:rPr>
      </w:pPr>
      <w:r>
        <w:rPr>
          <w:rFonts w:hint="eastAsia" w:ascii="仿宋" w:hAnsi="仿宋" w:eastAsia="仿宋" w:cs="仿宋"/>
          <w:b/>
          <w:bCs/>
          <w:color w:val="FF0000"/>
          <w:sz w:val="21"/>
          <w:szCs w:val="21"/>
        </w:rPr>
        <w:t>注：具体根据投标文件组成内容及第三章评标方法及标准进行编制。</w:t>
      </w:r>
    </w:p>
    <w:permEnd w:id="16"/>
    <w:p>
      <w:pPr>
        <w:spacing w:line="5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以上详细内容详见第三章评标办法中的技术资信计分标准，并严格按照技术文件评标说明的要求提供有关证明材料，由投标人扫描件或电子件上传。投标人必须确保投标时所提供的所有资料真实有效，一旦发现有弄虚作假行为按《湖州市工程建设招投标活动中串通投标和弄虚作假行为认定及处理办法（试行）》处理。</w:t>
      </w:r>
    </w:p>
    <w:p>
      <w:pPr>
        <w:spacing w:line="5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电子技术标制作方式详见视频教程（视频链接网址如下）http://ggzy.huzhou.gov.cn/HZfront/InfoDetail/?InfoID=6189e64d-9a56-4f1e-9cbb-722a1dddc319&amp;CategoryNum=010008</w:t>
      </w:r>
    </w:p>
    <w:p>
      <w:pPr>
        <w:pStyle w:val="42"/>
        <w:numPr>
          <w:ilvl w:val="1"/>
          <w:numId w:val="0"/>
        </w:numPr>
        <w:spacing w:line="500" w:lineRule="exact"/>
        <w:outlineLvl w:val="9"/>
        <w:rPr>
          <w:rFonts w:ascii="仿宋" w:hAnsi="仿宋" w:eastAsia="仿宋" w:cs="仿宋"/>
          <w:b/>
          <w:sz w:val="21"/>
          <w:szCs w:val="21"/>
        </w:rPr>
      </w:pPr>
      <w:bookmarkStart w:id="252" w:name="_Toc26832"/>
      <w:bookmarkStart w:id="253" w:name="_Toc22836"/>
      <w:bookmarkStart w:id="254" w:name="_Toc429596621"/>
      <w:bookmarkStart w:id="255" w:name="_Toc491857266"/>
      <w:bookmarkStart w:id="256" w:name="_Toc429512976"/>
      <w:bookmarkStart w:id="257" w:name="_Toc429494986"/>
      <w:bookmarkStart w:id="258" w:name="_Toc429494393"/>
      <w:r>
        <w:rPr>
          <w:rFonts w:hint="eastAsia" w:ascii="仿宋" w:hAnsi="仿宋" w:eastAsia="仿宋" w:cs="仿宋"/>
          <w:b/>
          <w:sz w:val="21"/>
          <w:szCs w:val="21"/>
        </w:rPr>
        <w:t>3.2 投标报价</w:t>
      </w:r>
      <w:bookmarkEnd w:id="177"/>
      <w:bookmarkEnd w:id="178"/>
      <w:bookmarkEnd w:id="179"/>
      <w:bookmarkEnd w:id="180"/>
      <w:bookmarkEnd w:id="251"/>
      <w:bookmarkEnd w:id="252"/>
      <w:bookmarkEnd w:id="253"/>
      <w:bookmarkEnd w:id="254"/>
      <w:bookmarkEnd w:id="255"/>
      <w:bookmarkEnd w:id="256"/>
      <w:bookmarkEnd w:id="257"/>
      <w:bookmarkEnd w:id="258"/>
    </w:p>
    <w:p>
      <w:pPr>
        <w:pStyle w:val="43"/>
        <w:spacing w:line="500" w:lineRule="exact"/>
        <w:ind w:firstLine="425"/>
        <w:jc w:val="both"/>
        <w:rPr>
          <w:rFonts w:ascii="仿宋" w:hAnsi="仿宋" w:eastAsia="仿宋" w:cs="仿宋"/>
          <w:color w:val="auto"/>
          <w:sz w:val="21"/>
          <w:szCs w:val="21"/>
        </w:rPr>
      </w:pPr>
      <w:bookmarkStart w:id="259" w:name="_Toc152045549"/>
      <w:bookmarkStart w:id="260" w:name="_Toc152042325"/>
      <w:bookmarkStart w:id="261" w:name="_Toc229646731"/>
      <w:bookmarkStart w:id="262" w:name="_Toc144974517"/>
      <w:r>
        <w:rPr>
          <w:rFonts w:hint="eastAsia" w:ascii="仿宋" w:hAnsi="仿宋" w:eastAsia="仿宋" w:cs="仿宋"/>
          <w:color w:val="auto"/>
          <w:sz w:val="21"/>
          <w:szCs w:val="21"/>
        </w:rPr>
        <w:t>3.2.1 投标人应按本招标文件中“投标文件格式”的要求填写相应表格。</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3.2.2 投标人在投标截止时间前修改投标函中的投标总报价，应同时修改本招标文件中“投标文件格式”中的相应报价。此修改须符合本章第4.3款的有关要求。</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3.2.3最高投标限价详见投标人前附表。</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3.2.4投标报价的其他要求详见投标人须知前附表。</w:t>
      </w:r>
    </w:p>
    <w:p>
      <w:pPr>
        <w:pStyle w:val="42"/>
        <w:numPr>
          <w:ilvl w:val="1"/>
          <w:numId w:val="0"/>
        </w:numPr>
        <w:spacing w:line="500" w:lineRule="exact"/>
        <w:outlineLvl w:val="9"/>
        <w:rPr>
          <w:rFonts w:ascii="仿宋" w:hAnsi="仿宋" w:eastAsia="仿宋" w:cs="仿宋"/>
          <w:b/>
          <w:sz w:val="21"/>
          <w:szCs w:val="21"/>
        </w:rPr>
      </w:pPr>
      <w:bookmarkStart w:id="263" w:name="_Toc27147"/>
      <w:bookmarkStart w:id="264" w:name="_Toc429512977"/>
      <w:bookmarkStart w:id="265" w:name="_Toc491857267"/>
      <w:bookmarkStart w:id="266" w:name="_Toc429494394"/>
      <w:bookmarkStart w:id="267" w:name="_Toc14414"/>
      <w:bookmarkStart w:id="268" w:name="_Toc429596622"/>
      <w:bookmarkStart w:id="269" w:name="_Toc429494987"/>
      <w:bookmarkStart w:id="270" w:name="_Toc392345927"/>
      <w:r>
        <w:rPr>
          <w:rFonts w:hint="eastAsia" w:ascii="仿宋" w:hAnsi="仿宋" w:eastAsia="仿宋" w:cs="仿宋"/>
          <w:b/>
          <w:sz w:val="21"/>
          <w:szCs w:val="21"/>
        </w:rPr>
        <w:t>3.3 投标有效期</w:t>
      </w:r>
      <w:bookmarkEnd w:id="259"/>
      <w:bookmarkEnd w:id="260"/>
      <w:bookmarkEnd w:id="261"/>
      <w:bookmarkEnd w:id="262"/>
      <w:bookmarkEnd w:id="263"/>
      <w:bookmarkEnd w:id="264"/>
      <w:bookmarkEnd w:id="265"/>
      <w:bookmarkEnd w:id="266"/>
      <w:bookmarkEnd w:id="267"/>
      <w:bookmarkEnd w:id="268"/>
      <w:bookmarkEnd w:id="269"/>
      <w:bookmarkEnd w:id="270"/>
    </w:p>
    <w:p>
      <w:pPr>
        <w:pStyle w:val="43"/>
        <w:spacing w:line="500" w:lineRule="exact"/>
        <w:ind w:firstLine="425"/>
        <w:jc w:val="both"/>
        <w:rPr>
          <w:rFonts w:ascii="仿宋" w:hAnsi="仿宋" w:eastAsia="仿宋" w:cs="仿宋"/>
          <w:color w:val="auto"/>
          <w:sz w:val="21"/>
          <w:szCs w:val="21"/>
        </w:rPr>
      </w:pPr>
      <w:bookmarkStart w:id="271" w:name="_Toc152045550"/>
      <w:bookmarkStart w:id="272" w:name="_Toc229646732"/>
      <w:bookmarkStart w:id="273" w:name="_Toc144974518"/>
      <w:bookmarkStart w:id="274" w:name="_Toc152042326"/>
      <w:r>
        <w:rPr>
          <w:rFonts w:hint="eastAsia" w:ascii="仿宋" w:hAnsi="仿宋" w:eastAsia="仿宋" w:cs="仿宋"/>
          <w:color w:val="auto"/>
          <w:sz w:val="21"/>
          <w:szCs w:val="21"/>
        </w:rPr>
        <w:t>3.3.1 在投标人须知前附表规定的投标有效期内，投标人不得撤销其投标文件。</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bookmarkStart w:id="275" w:name="_Toc429512978"/>
      <w:bookmarkStart w:id="276" w:name="_Toc429494395"/>
      <w:bookmarkStart w:id="277" w:name="_Toc429494988"/>
      <w:bookmarkStart w:id="278" w:name="_Toc392345928"/>
      <w:bookmarkStart w:id="279" w:name="_Toc14303"/>
      <w:bookmarkStart w:id="280" w:name="_Toc491857268"/>
      <w:bookmarkStart w:id="281" w:name="_Toc429596623"/>
    </w:p>
    <w:p>
      <w:pPr>
        <w:pStyle w:val="43"/>
        <w:spacing w:line="500" w:lineRule="exact"/>
        <w:jc w:val="both"/>
        <w:rPr>
          <w:rFonts w:ascii="仿宋" w:hAnsi="仿宋" w:eastAsia="仿宋" w:cs="仿宋"/>
          <w:b/>
          <w:color w:val="auto"/>
          <w:sz w:val="21"/>
          <w:szCs w:val="21"/>
        </w:rPr>
      </w:pPr>
      <w:r>
        <w:rPr>
          <w:rFonts w:hint="eastAsia" w:ascii="仿宋" w:hAnsi="仿宋" w:eastAsia="仿宋" w:cs="仿宋"/>
          <w:b/>
          <w:color w:val="auto"/>
          <w:sz w:val="21"/>
          <w:szCs w:val="21"/>
        </w:rPr>
        <w:t>3.4 投标保证金</w:t>
      </w:r>
      <w:bookmarkEnd w:id="271"/>
      <w:bookmarkEnd w:id="272"/>
      <w:bookmarkEnd w:id="273"/>
      <w:bookmarkEnd w:id="274"/>
      <w:bookmarkEnd w:id="275"/>
      <w:bookmarkEnd w:id="276"/>
      <w:bookmarkEnd w:id="277"/>
      <w:bookmarkEnd w:id="278"/>
      <w:bookmarkEnd w:id="279"/>
      <w:bookmarkEnd w:id="280"/>
      <w:bookmarkEnd w:id="281"/>
      <w:bookmarkStart w:id="282" w:name="_Toc323711767"/>
      <w:bookmarkStart w:id="283" w:name="_Toc322615415"/>
      <w:bookmarkStart w:id="284" w:name="_Toc152042329"/>
      <w:bookmarkStart w:id="285" w:name="_Toc319407854"/>
      <w:bookmarkStart w:id="286" w:name="_Toc245036620"/>
      <w:bookmarkStart w:id="287" w:name="_Toc319408089"/>
      <w:bookmarkStart w:id="288" w:name="_Toc144974521"/>
      <w:bookmarkStart w:id="289" w:name="_Toc152045553"/>
      <w:bookmarkStart w:id="290" w:name="_Toc429596624"/>
      <w:bookmarkStart w:id="291" w:name="_Toc5823"/>
      <w:bookmarkStart w:id="292" w:name="_Toc491857269"/>
      <w:bookmarkStart w:id="293" w:name="_Toc429494396"/>
      <w:bookmarkStart w:id="294" w:name="_Toc429512979"/>
      <w:bookmarkStart w:id="295" w:name="_Toc429494989"/>
      <w:bookmarkStart w:id="296" w:name="_Toc392345930"/>
      <w:bookmarkStart w:id="297" w:name="_Toc144974527"/>
      <w:bookmarkStart w:id="298" w:name="_Toc229646740"/>
      <w:bookmarkStart w:id="299" w:name="_Toc152045559"/>
      <w:bookmarkStart w:id="300" w:name="_Toc152042335"/>
      <w:r>
        <w:rPr>
          <w:rFonts w:hint="eastAsia" w:ascii="仿宋" w:hAnsi="仿宋" w:eastAsia="仿宋" w:cs="仿宋"/>
          <w:b/>
          <w:color w:val="auto"/>
          <w:sz w:val="21"/>
          <w:szCs w:val="21"/>
        </w:rPr>
        <w:t>：无</w:t>
      </w:r>
    </w:p>
    <w:p>
      <w:pPr>
        <w:pStyle w:val="42"/>
        <w:numPr>
          <w:ilvl w:val="1"/>
          <w:numId w:val="0"/>
        </w:numPr>
        <w:spacing w:line="500" w:lineRule="exact"/>
        <w:outlineLvl w:val="9"/>
        <w:rPr>
          <w:rFonts w:ascii="仿宋" w:hAnsi="仿宋" w:eastAsia="仿宋" w:cs="仿宋"/>
          <w:b/>
          <w:sz w:val="21"/>
          <w:szCs w:val="21"/>
        </w:rPr>
      </w:pPr>
      <w:bookmarkStart w:id="301" w:name="_Toc3520"/>
      <w:r>
        <w:rPr>
          <w:rFonts w:hint="eastAsia" w:ascii="仿宋" w:hAnsi="仿宋" w:eastAsia="仿宋" w:cs="仿宋"/>
          <w:b/>
          <w:sz w:val="21"/>
          <w:szCs w:val="21"/>
        </w:rPr>
        <w:t>3.</w:t>
      </w:r>
      <w:bookmarkEnd w:id="282"/>
      <w:bookmarkEnd w:id="283"/>
      <w:bookmarkEnd w:id="284"/>
      <w:bookmarkEnd w:id="285"/>
      <w:bookmarkEnd w:id="286"/>
      <w:bookmarkEnd w:id="287"/>
      <w:bookmarkEnd w:id="288"/>
      <w:bookmarkEnd w:id="289"/>
      <w:bookmarkStart w:id="302" w:name="_Toc319408090"/>
      <w:bookmarkStart w:id="303" w:name="_Toc319407855"/>
      <w:bookmarkStart w:id="304" w:name="_Toc322615416"/>
      <w:bookmarkStart w:id="305" w:name="_Toc323711768"/>
      <w:bookmarkStart w:id="306" w:name="_Toc245036621"/>
      <w:r>
        <w:rPr>
          <w:rFonts w:hint="eastAsia" w:ascii="仿宋" w:hAnsi="仿宋" w:eastAsia="仿宋" w:cs="仿宋"/>
          <w:b/>
          <w:sz w:val="21"/>
          <w:szCs w:val="21"/>
        </w:rPr>
        <w:t>5备选投标方案</w:t>
      </w:r>
      <w:bookmarkEnd w:id="290"/>
      <w:bookmarkEnd w:id="291"/>
      <w:bookmarkEnd w:id="292"/>
      <w:bookmarkEnd w:id="293"/>
      <w:bookmarkEnd w:id="294"/>
      <w:bookmarkEnd w:id="295"/>
      <w:bookmarkEnd w:id="301"/>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投标人须知前附表另有规定外，投标人不得递交备选投标方案。允许投标人递交备选投标方案的，只有中标人所递交的备选方案方可予以考虑。评标委员会认为中标人的备选投标方案优于其按照招标文件要求编制的投标方案的，招标人可以接受该备选方案。</w:t>
      </w:r>
    </w:p>
    <w:p>
      <w:pPr>
        <w:pStyle w:val="42"/>
        <w:numPr>
          <w:ilvl w:val="1"/>
          <w:numId w:val="0"/>
        </w:numPr>
        <w:spacing w:line="500" w:lineRule="exact"/>
        <w:outlineLvl w:val="9"/>
        <w:rPr>
          <w:rFonts w:ascii="仿宋" w:hAnsi="仿宋" w:eastAsia="仿宋" w:cs="仿宋"/>
          <w:b/>
          <w:sz w:val="21"/>
          <w:szCs w:val="21"/>
        </w:rPr>
      </w:pPr>
      <w:bookmarkStart w:id="307" w:name="_Toc429494990"/>
      <w:bookmarkStart w:id="308" w:name="_Toc491857270"/>
      <w:bookmarkStart w:id="309" w:name="_Toc14258"/>
      <w:bookmarkStart w:id="310" w:name="_Toc429596625"/>
      <w:bookmarkStart w:id="311" w:name="_Toc429494397"/>
      <w:bookmarkStart w:id="312" w:name="_Toc429512980"/>
      <w:bookmarkStart w:id="313" w:name="_Toc1240"/>
      <w:r>
        <w:rPr>
          <w:rFonts w:hint="eastAsia" w:ascii="仿宋" w:hAnsi="仿宋" w:eastAsia="仿宋" w:cs="仿宋"/>
          <w:b/>
          <w:sz w:val="21"/>
          <w:szCs w:val="21"/>
        </w:rPr>
        <w:t>3.6投标文件的编制</w:t>
      </w:r>
      <w:bookmarkEnd w:id="296"/>
      <w:bookmarkEnd w:id="302"/>
      <w:bookmarkEnd w:id="303"/>
      <w:bookmarkEnd w:id="304"/>
      <w:bookmarkEnd w:id="305"/>
      <w:bookmarkEnd w:id="306"/>
      <w:bookmarkEnd w:id="307"/>
      <w:bookmarkEnd w:id="308"/>
      <w:bookmarkEnd w:id="309"/>
      <w:bookmarkEnd w:id="310"/>
      <w:bookmarkEnd w:id="311"/>
      <w:bookmarkEnd w:id="312"/>
      <w:bookmarkEnd w:id="313"/>
    </w:p>
    <w:p>
      <w:pPr>
        <w:pStyle w:val="43"/>
        <w:spacing w:line="500" w:lineRule="exact"/>
        <w:ind w:firstLine="425"/>
        <w:jc w:val="both"/>
        <w:rPr>
          <w:rFonts w:ascii="仿宋" w:hAnsi="仿宋" w:eastAsia="仿宋" w:cs="仿宋"/>
          <w:color w:val="auto"/>
          <w:sz w:val="21"/>
          <w:szCs w:val="21"/>
        </w:rPr>
      </w:pPr>
      <w:bookmarkStart w:id="314" w:name="_Toc429512981"/>
      <w:bookmarkStart w:id="315" w:name="_Toc323711769"/>
      <w:bookmarkStart w:id="316" w:name="_Toc152042331"/>
      <w:bookmarkStart w:id="317" w:name="_Toc392345931"/>
      <w:bookmarkStart w:id="318" w:name="_Toc144974523"/>
      <w:bookmarkStart w:id="319" w:name="_Toc152045555"/>
      <w:bookmarkStart w:id="320" w:name="_Toc245036622"/>
      <w:bookmarkStart w:id="321" w:name="_Toc28688"/>
      <w:r>
        <w:rPr>
          <w:rFonts w:hint="eastAsia" w:ascii="仿宋" w:hAnsi="仿宋" w:eastAsia="仿宋" w:cs="仿宋"/>
          <w:color w:val="auto"/>
          <w:sz w:val="21"/>
          <w:szCs w:val="21"/>
        </w:rPr>
        <w:t>3.6.1 CA加密电子投标文件应按第六章“投标文件格式”进行编写，如有必要，可以增加附页，作为投标文件的组成部分。</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3.6.2 CA加密电子投标文件应当对招标文件有关工期、投标有效期、质量要求、技术标准和要求、招标范围等实质性内容作出响应。</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3.6.3 CA加密电子投标文件应由投标人进行电子签章盖章确认。</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3.6.4投标人编制的CA加密电子投标文件，必须是使用新点投标文件制作软件最新版（系统自带更新系统）生成的后缀名为“.HZTF”的CA加密电子投标文件。未按上述要求加密和数字证书认证的投标文件，将被视为无效投标文件。</w:t>
      </w:r>
      <w:bookmarkStart w:id="322" w:name="_Toc17988"/>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3.6.5电子投标流程如下：</w:t>
      </w:r>
      <w:bookmarkEnd w:id="322"/>
      <w:bookmarkStart w:id="323" w:name="_Toc30207"/>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sz w:val="21"/>
          <w:szCs w:val="21"/>
        </w:rPr>
        <w:t>湖州市公共资源交易信息网→交易主体登录→下载发包文件、发包</w:t>
      </w:r>
      <w:r>
        <w:rPr>
          <w:rFonts w:hint="eastAsia" w:ascii="仿宋" w:hAnsi="仿宋" w:eastAsia="仿宋" w:cs="仿宋"/>
          <w:bCs/>
          <w:sz w:val="21"/>
          <w:szCs w:val="21"/>
        </w:rPr>
        <w:t>清单（如果有答疑澄清文件，需要下载答疑澄清文件进行制作）→使用商务标投标工具制作竞包报价（格式为.hztb）→使用电子投标文件制作工具制作投标文件→将制作好的竞包报价导入投标文件→系统完善投标信息→上传投标文件→点击“模拟解密”按钮→提示解密成功。</w:t>
      </w:r>
    </w:p>
    <w:p>
      <w:pPr>
        <w:pStyle w:val="41"/>
        <w:tabs>
          <w:tab w:val="left" w:pos="852"/>
        </w:tabs>
        <w:spacing w:before="0" w:line="500" w:lineRule="exact"/>
        <w:rPr>
          <w:rFonts w:ascii="仿宋" w:hAnsi="仿宋" w:eastAsia="仿宋" w:cs="仿宋"/>
          <w:b/>
          <w:sz w:val="21"/>
          <w:szCs w:val="21"/>
        </w:rPr>
      </w:pPr>
      <w:r>
        <w:rPr>
          <w:rFonts w:hint="eastAsia" w:ascii="仿宋" w:hAnsi="仿宋" w:eastAsia="仿宋" w:cs="仿宋"/>
          <w:b/>
          <w:sz w:val="21"/>
          <w:szCs w:val="21"/>
        </w:rPr>
        <w:t xml:space="preserve"> 4. </w:t>
      </w:r>
      <w:bookmarkEnd w:id="314"/>
      <w:bookmarkEnd w:id="315"/>
      <w:bookmarkEnd w:id="316"/>
      <w:bookmarkEnd w:id="317"/>
      <w:bookmarkEnd w:id="318"/>
      <w:bookmarkEnd w:id="319"/>
      <w:bookmarkEnd w:id="320"/>
      <w:bookmarkEnd w:id="321"/>
      <w:r>
        <w:rPr>
          <w:rFonts w:hint="eastAsia" w:ascii="仿宋" w:hAnsi="仿宋" w:eastAsia="仿宋" w:cs="仿宋"/>
          <w:b/>
          <w:sz w:val="21"/>
          <w:szCs w:val="21"/>
        </w:rPr>
        <w:t>投标</w:t>
      </w:r>
      <w:bookmarkEnd w:id="323"/>
    </w:p>
    <w:p>
      <w:pPr>
        <w:pStyle w:val="42"/>
        <w:numPr>
          <w:ilvl w:val="1"/>
          <w:numId w:val="0"/>
        </w:numPr>
        <w:spacing w:line="500" w:lineRule="exact"/>
        <w:outlineLvl w:val="9"/>
        <w:rPr>
          <w:rFonts w:ascii="仿宋" w:hAnsi="仿宋" w:eastAsia="仿宋" w:cs="仿宋"/>
          <w:b/>
          <w:sz w:val="21"/>
          <w:szCs w:val="21"/>
        </w:rPr>
      </w:pPr>
      <w:bookmarkStart w:id="324" w:name="_Toc323711770"/>
      <w:bookmarkStart w:id="325" w:name="_Toc322615418"/>
      <w:bookmarkStart w:id="326" w:name="_Toc319408092"/>
      <w:bookmarkStart w:id="327" w:name="_Toc245036623"/>
      <w:bookmarkStart w:id="328" w:name="_Toc152042332"/>
      <w:bookmarkStart w:id="329" w:name="_Toc19664"/>
      <w:bookmarkStart w:id="330" w:name="_Toc144974524"/>
      <w:bookmarkStart w:id="331" w:name="_Toc429494992"/>
      <w:bookmarkStart w:id="332" w:name="_Toc152045556"/>
      <w:bookmarkStart w:id="333" w:name="_Toc30389"/>
      <w:bookmarkStart w:id="334" w:name="_Toc319407857"/>
      <w:bookmarkStart w:id="335" w:name="_Toc491857272"/>
      <w:bookmarkStart w:id="336" w:name="_Toc429494399"/>
      <w:bookmarkStart w:id="337" w:name="_Toc429512982"/>
      <w:bookmarkStart w:id="338" w:name="_Toc429596627"/>
      <w:bookmarkStart w:id="339" w:name="_Toc392345932"/>
      <w:r>
        <w:rPr>
          <w:rFonts w:hint="eastAsia" w:ascii="仿宋" w:hAnsi="仿宋" w:eastAsia="仿宋" w:cs="仿宋"/>
          <w:b/>
          <w:sz w:val="21"/>
          <w:szCs w:val="21"/>
        </w:rPr>
        <w:t>4.1 投标文件的密封和标记</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500" w:lineRule="exact"/>
        <w:ind w:firstLine="440" w:firstLineChars="200"/>
        <w:rPr>
          <w:rFonts w:ascii="仿宋" w:hAnsi="仿宋" w:eastAsia="仿宋" w:cs="仿宋"/>
          <w:sz w:val="22"/>
          <w:szCs w:val="22"/>
        </w:rPr>
      </w:pPr>
      <w:bookmarkStart w:id="340" w:name="第二章第411项"/>
      <w:bookmarkStart w:id="341" w:name="_Toc152045557"/>
      <w:bookmarkStart w:id="342" w:name="_Toc144974525"/>
      <w:bookmarkStart w:id="343" w:name="_Toc429512983"/>
      <w:bookmarkStart w:id="344" w:name="_Toc323711771"/>
      <w:bookmarkStart w:id="345" w:name="_Toc319407858"/>
      <w:bookmarkStart w:id="346" w:name="_Toc322615419"/>
      <w:bookmarkStart w:id="347" w:name="_Toc429494400"/>
      <w:bookmarkStart w:id="348" w:name="_Toc429596628"/>
      <w:bookmarkStart w:id="349" w:name="_Toc245036624"/>
      <w:bookmarkStart w:id="350" w:name="_Toc24201"/>
      <w:bookmarkStart w:id="351" w:name="_Toc319408093"/>
      <w:bookmarkStart w:id="352" w:name="_Toc429494993"/>
      <w:bookmarkStart w:id="353" w:name="_Toc152042333"/>
      <w:bookmarkStart w:id="354" w:name="_Toc392345933"/>
      <w:bookmarkStart w:id="355" w:name="_Toc491857273"/>
      <w:r>
        <w:rPr>
          <w:rFonts w:hint="eastAsia" w:ascii="仿宋" w:hAnsi="仿宋" w:eastAsia="仿宋" w:cs="仿宋"/>
          <w:sz w:val="22"/>
          <w:szCs w:val="22"/>
        </w:rPr>
        <w:t>4.1.1</w:t>
      </w:r>
      <w:bookmarkEnd w:id="340"/>
      <w:r>
        <w:rPr>
          <w:rFonts w:hint="eastAsia" w:ascii="仿宋" w:hAnsi="仿宋" w:eastAsia="仿宋" w:cs="仿宋"/>
          <w:b/>
          <w:sz w:val="22"/>
          <w:szCs w:val="22"/>
        </w:rPr>
        <w:t>投标文件（CA加密后的电子投标文件）</w:t>
      </w:r>
      <w:r>
        <w:rPr>
          <w:rFonts w:hint="eastAsia" w:ascii="仿宋" w:hAnsi="仿宋" w:eastAsia="仿宋" w:cs="仿宋"/>
          <w:sz w:val="22"/>
          <w:szCs w:val="22"/>
        </w:rPr>
        <w:t>：网上投标上传的投标文件应使用数字证书认证并加密。现场提供的投标文件按投标人须知前附表4.1.1要求执行。</w:t>
      </w:r>
    </w:p>
    <w:p>
      <w:pPr>
        <w:pStyle w:val="42"/>
        <w:numPr>
          <w:ilvl w:val="1"/>
          <w:numId w:val="0"/>
        </w:numPr>
        <w:spacing w:line="500" w:lineRule="exact"/>
        <w:outlineLvl w:val="9"/>
        <w:rPr>
          <w:rFonts w:ascii="仿宋" w:hAnsi="仿宋" w:eastAsia="仿宋" w:cs="仿宋"/>
          <w:b/>
          <w:sz w:val="21"/>
          <w:szCs w:val="21"/>
        </w:rPr>
      </w:pPr>
      <w:bookmarkStart w:id="356" w:name="_Toc10127"/>
      <w:r>
        <w:rPr>
          <w:rFonts w:hint="eastAsia" w:ascii="仿宋" w:hAnsi="仿宋" w:eastAsia="仿宋" w:cs="仿宋"/>
          <w:b/>
          <w:sz w:val="21"/>
          <w:szCs w:val="21"/>
        </w:rPr>
        <w:t>4.2 投标文件的递交</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spacing w:line="500" w:lineRule="exact"/>
        <w:ind w:firstLine="440" w:firstLineChars="200"/>
        <w:rPr>
          <w:rFonts w:ascii="仿宋" w:hAnsi="仿宋" w:eastAsia="仿宋" w:cs="仿宋"/>
          <w:sz w:val="22"/>
          <w:szCs w:val="22"/>
        </w:rPr>
      </w:pPr>
      <w:bookmarkStart w:id="357" w:name="_Toc144974526"/>
      <w:bookmarkStart w:id="358" w:name="_Toc245036625"/>
      <w:bookmarkStart w:id="359" w:name="_Toc392345934"/>
      <w:bookmarkStart w:id="360" w:name="_Toc429494401"/>
      <w:bookmarkStart w:id="361" w:name="_Toc491857274"/>
      <w:bookmarkStart w:id="362" w:name="_Toc26590"/>
      <w:bookmarkStart w:id="363" w:name="_Toc429512984"/>
      <w:bookmarkStart w:id="364" w:name="_Toc323711772"/>
      <w:bookmarkStart w:id="365" w:name="_Toc152045558"/>
      <w:bookmarkStart w:id="366" w:name="_Toc319408094"/>
      <w:bookmarkStart w:id="367" w:name="_Toc322615420"/>
      <w:bookmarkStart w:id="368" w:name="_Toc319407859"/>
      <w:bookmarkStart w:id="369" w:name="_Toc429596629"/>
      <w:bookmarkStart w:id="370" w:name="_Toc152042334"/>
      <w:bookmarkStart w:id="371" w:name="_Toc429494994"/>
      <w:r>
        <w:rPr>
          <w:rFonts w:hint="eastAsia" w:ascii="仿宋" w:hAnsi="仿宋" w:eastAsia="仿宋" w:cs="仿宋"/>
          <w:sz w:val="22"/>
          <w:szCs w:val="22"/>
        </w:rPr>
        <w:t>4.2.1</w:t>
      </w:r>
      <w:r>
        <w:rPr>
          <w:rFonts w:hint="eastAsia" w:ascii="仿宋" w:hAnsi="仿宋" w:eastAsia="仿宋" w:cs="仿宋"/>
          <w:b/>
          <w:sz w:val="22"/>
          <w:szCs w:val="22"/>
        </w:rPr>
        <w:t>投标文件（CA加密后的电子投标文件）：</w:t>
      </w:r>
      <w:r>
        <w:rPr>
          <w:rFonts w:hint="eastAsia" w:ascii="仿宋" w:hAnsi="仿宋" w:eastAsia="仿宋" w:cs="仿宋"/>
          <w:sz w:val="22"/>
          <w:szCs w:val="22"/>
        </w:rPr>
        <w:t>投标人应在投标截止时间前登录湖州市公共资源交易系统上的投标文件递交模块上传CA加密后的电子投标文件；</w:t>
      </w:r>
    </w:p>
    <w:p>
      <w:pPr>
        <w:spacing w:line="500" w:lineRule="exact"/>
        <w:ind w:firstLine="440" w:firstLineChars="200"/>
        <w:rPr>
          <w:rFonts w:ascii="仿宋" w:hAnsi="仿宋" w:eastAsia="仿宋" w:cs="仿宋"/>
          <w:sz w:val="22"/>
          <w:szCs w:val="22"/>
        </w:rPr>
      </w:pPr>
      <w:r>
        <w:rPr>
          <w:rFonts w:hint="eastAsia" w:ascii="仿宋" w:hAnsi="仿宋" w:eastAsia="仿宋" w:cs="仿宋"/>
          <w:sz w:val="22"/>
          <w:szCs w:val="22"/>
        </w:rPr>
        <w:t>4.2.2到投标截止时间止，招标人收到的投标文件（成功解密）少于3个的，招标人将依法重新组织投标。</w:t>
      </w:r>
      <w:r>
        <w:rPr>
          <w:rFonts w:hint="eastAsia" w:ascii="仿宋" w:hAnsi="仿宋" w:eastAsia="仿宋" w:cs="仿宋"/>
          <w:szCs w:val="21"/>
        </w:rPr>
        <w:t xml:space="preserve">  </w:t>
      </w:r>
    </w:p>
    <w:p>
      <w:pPr>
        <w:pStyle w:val="42"/>
        <w:numPr>
          <w:ilvl w:val="1"/>
          <w:numId w:val="0"/>
        </w:numPr>
        <w:spacing w:line="500" w:lineRule="exact"/>
        <w:outlineLvl w:val="9"/>
        <w:rPr>
          <w:rFonts w:ascii="仿宋" w:hAnsi="仿宋" w:eastAsia="仿宋" w:cs="仿宋"/>
          <w:b/>
          <w:sz w:val="21"/>
          <w:szCs w:val="21"/>
        </w:rPr>
      </w:pPr>
      <w:bookmarkStart w:id="372" w:name="_Toc2884"/>
      <w:r>
        <w:rPr>
          <w:rFonts w:hint="eastAsia" w:ascii="仿宋" w:hAnsi="仿宋" w:eastAsia="仿宋" w:cs="仿宋"/>
          <w:b/>
          <w:sz w:val="21"/>
          <w:szCs w:val="21"/>
        </w:rPr>
        <w:t>4.3 投标文件的修改与撤回</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42"/>
        <w:numPr>
          <w:ilvl w:val="1"/>
          <w:numId w:val="0"/>
        </w:numPr>
        <w:spacing w:line="500" w:lineRule="exact"/>
        <w:ind w:firstLine="420" w:firstLineChars="200"/>
        <w:outlineLvl w:val="9"/>
        <w:rPr>
          <w:rFonts w:ascii="仿宋" w:hAnsi="仿宋" w:eastAsia="仿宋" w:cs="仿宋"/>
          <w:sz w:val="21"/>
          <w:szCs w:val="21"/>
        </w:rPr>
      </w:pPr>
      <w:bookmarkStart w:id="373" w:name="_Toc4047"/>
      <w:bookmarkStart w:id="374" w:name="_Toc392345935"/>
      <w:bookmarkStart w:id="375" w:name="_Toc429512985"/>
      <w:bookmarkStart w:id="376" w:name="_Toc11537"/>
      <w:bookmarkStart w:id="377" w:name="_Toc429494995"/>
      <w:bookmarkStart w:id="378" w:name="_Toc429494402"/>
      <w:bookmarkStart w:id="379" w:name="_Toc429596630"/>
      <w:bookmarkStart w:id="380" w:name="_Toc491857275"/>
      <w:r>
        <w:rPr>
          <w:rFonts w:hint="eastAsia" w:ascii="仿宋" w:hAnsi="仿宋" w:eastAsia="仿宋" w:cs="仿宋"/>
          <w:sz w:val="21"/>
          <w:szCs w:val="21"/>
        </w:rPr>
        <w:t>4.3.1 在投标人须知前附表2.2.2项规定的投标截止时间前，投标人可以修改或撤回已递交的投标文件。</w:t>
      </w:r>
      <w:bookmarkEnd w:id="373"/>
    </w:p>
    <w:p>
      <w:pPr>
        <w:pStyle w:val="42"/>
        <w:numPr>
          <w:ilvl w:val="1"/>
          <w:numId w:val="0"/>
        </w:numPr>
        <w:spacing w:line="500" w:lineRule="exact"/>
        <w:ind w:firstLine="420" w:firstLineChars="200"/>
        <w:outlineLvl w:val="9"/>
        <w:rPr>
          <w:rFonts w:ascii="仿宋" w:hAnsi="仿宋" w:eastAsia="仿宋" w:cs="仿宋"/>
          <w:sz w:val="21"/>
          <w:szCs w:val="21"/>
        </w:rPr>
      </w:pPr>
      <w:bookmarkStart w:id="381" w:name="_Toc31711"/>
      <w:r>
        <w:rPr>
          <w:rFonts w:hint="eastAsia" w:ascii="仿宋" w:hAnsi="仿宋" w:eastAsia="仿宋" w:cs="仿宋"/>
          <w:sz w:val="21"/>
          <w:szCs w:val="21"/>
        </w:rPr>
        <w:t>4.3.2 投标人撤回投标文件的，应向招标人提交书面撤回通知，招标人按本章第3.4条相关规定退还已收取的投标保证金。</w:t>
      </w:r>
      <w:bookmarkEnd w:id="381"/>
    </w:p>
    <w:bookmarkEnd w:id="374"/>
    <w:bookmarkEnd w:id="375"/>
    <w:bookmarkEnd w:id="376"/>
    <w:bookmarkEnd w:id="377"/>
    <w:bookmarkEnd w:id="378"/>
    <w:bookmarkEnd w:id="379"/>
    <w:bookmarkEnd w:id="380"/>
    <w:p>
      <w:pPr>
        <w:pStyle w:val="41"/>
        <w:tabs>
          <w:tab w:val="left" w:pos="852"/>
        </w:tabs>
        <w:spacing w:before="0" w:line="500" w:lineRule="exact"/>
        <w:rPr>
          <w:rFonts w:ascii="仿宋" w:hAnsi="仿宋" w:eastAsia="仿宋" w:cs="仿宋"/>
          <w:b/>
          <w:sz w:val="21"/>
          <w:szCs w:val="21"/>
        </w:rPr>
      </w:pPr>
      <w:bookmarkStart w:id="382" w:name="_Toc392345936"/>
      <w:bookmarkStart w:id="383" w:name="_Toc429512986"/>
      <w:bookmarkStart w:id="384" w:name="_Toc9170"/>
      <w:bookmarkStart w:id="385" w:name="_Toc28812"/>
      <w:r>
        <w:rPr>
          <w:rFonts w:hint="eastAsia" w:ascii="仿宋" w:hAnsi="仿宋" w:eastAsia="仿宋" w:cs="仿宋"/>
          <w:b/>
          <w:sz w:val="21"/>
          <w:szCs w:val="21"/>
        </w:rPr>
        <w:t>5. 开标</w:t>
      </w:r>
      <w:bookmarkEnd w:id="297"/>
      <w:bookmarkEnd w:id="298"/>
      <w:bookmarkEnd w:id="299"/>
      <w:bookmarkEnd w:id="300"/>
      <w:r>
        <w:rPr>
          <w:rFonts w:hint="eastAsia" w:ascii="仿宋" w:hAnsi="仿宋" w:eastAsia="仿宋" w:cs="仿宋"/>
          <w:b/>
          <w:sz w:val="21"/>
          <w:szCs w:val="21"/>
        </w:rPr>
        <w:t>程序</w:t>
      </w:r>
      <w:bookmarkEnd w:id="382"/>
      <w:bookmarkEnd w:id="383"/>
      <w:bookmarkEnd w:id="384"/>
      <w:r>
        <w:rPr>
          <w:rFonts w:hint="eastAsia" w:ascii="仿宋" w:hAnsi="仿宋" w:eastAsia="仿宋" w:cs="仿宋"/>
          <w:b/>
          <w:sz w:val="21"/>
          <w:szCs w:val="21"/>
        </w:rPr>
        <w:t>（采用远程不见面方式）</w:t>
      </w:r>
      <w:bookmarkEnd w:id="385"/>
    </w:p>
    <w:p>
      <w:pPr>
        <w:pStyle w:val="42"/>
        <w:numPr>
          <w:ilvl w:val="1"/>
          <w:numId w:val="0"/>
        </w:numPr>
        <w:spacing w:line="500" w:lineRule="exact"/>
        <w:ind w:firstLine="420" w:firstLineChars="200"/>
        <w:outlineLvl w:val="9"/>
        <w:rPr>
          <w:rFonts w:ascii="仿宋" w:hAnsi="仿宋" w:eastAsia="仿宋" w:cs="仿宋"/>
          <w:sz w:val="21"/>
          <w:szCs w:val="21"/>
        </w:rPr>
      </w:pPr>
      <w:bookmarkStart w:id="386" w:name="_Toc13851"/>
      <w:bookmarkStart w:id="387" w:name="_Toc296602450"/>
      <w:bookmarkStart w:id="388" w:name="_Toc152045562"/>
      <w:bookmarkStart w:id="389" w:name="_Toc152042338"/>
      <w:bookmarkStart w:id="390" w:name="_Toc144974530"/>
      <w:r>
        <w:rPr>
          <w:rFonts w:hint="eastAsia" w:ascii="仿宋" w:hAnsi="仿宋" w:eastAsia="仿宋" w:cs="仿宋"/>
          <w:sz w:val="21"/>
          <w:szCs w:val="21"/>
        </w:rPr>
        <w:t>5.1.1招标人在</w:t>
      </w:r>
      <w:bookmarkStart w:id="391" w:name="_Hlt453771229"/>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"第二章投标人须知前附表第222项" </w:instrText>
      </w:r>
      <w:r>
        <w:rPr>
          <w:rFonts w:hint="eastAsia" w:ascii="仿宋" w:hAnsi="仿宋" w:eastAsia="仿宋" w:cs="仿宋"/>
          <w:sz w:val="21"/>
          <w:szCs w:val="21"/>
        </w:rPr>
        <w:fldChar w:fldCharType="separate"/>
      </w:r>
      <w:r>
        <w:rPr>
          <w:rFonts w:hint="eastAsia" w:ascii="仿宋" w:hAnsi="仿宋" w:eastAsia="仿宋" w:cs="仿宋"/>
          <w:sz w:val="21"/>
          <w:szCs w:val="21"/>
        </w:rPr>
        <w:t>投标人须知前附表第2.2.2项</w:t>
      </w:r>
      <w:r>
        <w:rPr>
          <w:rFonts w:hint="eastAsia" w:ascii="仿宋" w:hAnsi="仿宋" w:eastAsia="仿宋" w:cs="仿宋"/>
          <w:sz w:val="21"/>
          <w:szCs w:val="21"/>
        </w:rPr>
        <w:fldChar w:fldCharType="end"/>
      </w:r>
      <w:bookmarkEnd w:id="391"/>
      <w:r>
        <w:rPr>
          <w:rFonts w:hint="eastAsia" w:ascii="仿宋" w:hAnsi="仿宋" w:eastAsia="仿宋" w:cs="仿宋"/>
          <w:sz w:val="21"/>
          <w:szCs w:val="21"/>
        </w:rPr>
        <w:t>规定的投标截止时间（开标时间）公开开标，</w:t>
      </w:r>
      <w:bookmarkStart w:id="392" w:name="_Toc152045561"/>
      <w:bookmarkStart w:id="393" w:name="_Toc144974529"/>
      <w:bookmarkStart w:id="394" w:name="_Toc246996205"/>
      <w:bookmarkStart w:id="395" w:name="_Toc247085719"/>
      <w:bookmarkStart w:id="396" w:name="_Toc179632579"/>
      <w:bookmarkStart w:id="397" w:name="_Toc152042337"/>
      <w:bookmarkStart w:id="398" w:name="_Toc246996948"/>
      <w:bookmarkStart w:id="399" w:name="_Toc449509684"/>
      <w:r>
        <w:rPr>
          <w:rFonts w:hint="eastAsia" w:ascii="仿宋" w:hAnsi="仿宋" w:eastAsia="仿宋" w:cs="仿宋"/>
          <w:sz w:val="21"/>
          <w:szCs w:val="21"/>
        </w:rPr>
        <w:t>所有投标人应在投标截止时间前登录网上开标大厅参加开标，具体要求见投标人须知前附表第5.1项规定。</w:t>
      </w:r>
      <w:bookmarkEnd w:id="386"/>
    </w:p>
    <w:p>
      <w:pPr>
        <w:pStyle w:val="42"/>
        <w:numPr>
          <w:ilvl w:val="1"/>
          <w:numId w:val="0"/>
        </w:numPr>
        <w:spacing w:line="500" w:lineRule="exact"/>
        <w:ind w:firstLine="420" w:firstLineChars="200"/>
        <w:outlineLvl w:val="9"/>
        <w:rPr>
          <w:rFonts w:ascii="仿宋" w:hAnsi="仿宋" w:eastAsia="仿宋" w:cs="仿宋"/>
          <w:sz w:val="21"/>
          <w:szCs w:val="21"/>
        </w:rPr>
      </w:pPr>
      <w:bookmarkStart w:id="400" w:name="_Toc20507"/>
      <w:r>
        <w:rPr>
          <w:rFonts w:hint="eastAsia" w:ascii="仿宋" w:hAnsi="仿宋" w:eastAsia="仿宋" w:cs="仿宋"/>
          <w:sz w:val="21"/>
          <w:szCs w:val="21"/>
        </w:rPr>
        <w:t>5.1.2投标人应在投标截止时间之前，登录湖州市公共资源交易信息网—交易主体登录—电子招投标交易平台—上传投标文件模块，上传“CA加密后的电子投标文件”</w:t>
      </w:r>
      <w:bookmarkEnd w:id="400"/>
    </w:p>
    <w:p>
      <w:pPr>
        <w:pStyle w:val="42"/>
        <w:numPr>
          <w:ilvl w:val="1"/>
          <w:numId w:val="0"/>
        </w:numPr>
        <w:spacing w:line="500" w:lineRule="exact"/>
        <w:ind w:firstLine="420" w:firstLineChars="200"/>
        <w:outlineLvl w:val="9"/>
        <w:rPr>
          <w:rFonts w:ascii="仿宋" w:hAnsi="仿宋" w:eastAsia="仿宋" w:cs="仿宋"/>
          <w:sz w:val="21"/>
          <w:szCs w:val="21"/>
        </w:rPr>
      </w:pPr>
      <w:bookmarkStart w:id="401" w:name="_Toc453"/>
      <w:r>
        <w:rPr>
          <w:rFonts w:hint="eastAsia" w:ascii="仿宋" w:hAnsi="仿宋" w:eastAsia="仿宋" w:cs="仿宋"/>
          <w:sz w:val="21"/>
          <w:szCs w:val="21"/>
        </w:rPr>
        <w:t>5.2 开标程序</w:t>
      </w:r>
      <w:bookmarkEnd w:id="392"/>
      <w:bookmarkEnd w:id="393"/>
      <w:bookmarkEnd w:id="394"/>
      <w:bookmarkEnd w:id="395"/>
      <w:bookmarkEnd w:id="396"/>
      <w:bookmarkEnd w:id="397"/>
      <w:bookmarkEnd w:id="398"/>
      <w:bookmarkEnd w:id="399"/>
      <w:bookmarkEnd w:id="401"/>
    </w:p>
    <w:p>
      <w:pPr>
        <w:pStyle w:val="42"/>
        <w:numPr>
          <w:ilvl w:val="1"/>
          <w:numId w:val="0"/>
        </w:numPr>
        <w:spacing w:line="500" w:lineRule="exact"/>
        <w:ind w:firstLine="420" w:firstLineChars="200"/>
        <w:outlineLvl w:val="9"/>
        <w:rPr>
          <w:rFonts w:ascii="仿宋" w:hAnsi="仿宋" w:eastAsia="仿宋" w:cs="仿宋"/>
          <w:sz w:val="21"/>
          <w:szCs w:val="21"/>
        </w:rPr>
      </w:pPr>
      <w:bookmarkStart w:id="402" w:name="_Toc28341"/>
      <w:r>
        <w:rPr>
          <w:rFonts w:hint="eastAsia" w:ascii="仿宋" w:hAnsi="仿宋" w:eastAsia="仿宋" w:cs="仿宋"/>
          <w:sz w:val="21"/>
          <w:szCs w:val="21"/>
        </w:rPr>
        <w:t>开标顺序：上传投标文件的先后顺序：</w:t>
      </w:r>
      <w:bookmarkEnd w:id="402"/>
    </w:p>
    <w:p>
      <w:pPr>
        <w:pStyle w:val="42"/>
        <w:numPr>
          <w:ilvl w:val="1"/>
          <w:numId w:val="0"/>
        </w:numPr>
        <w:spacing w:line="500" w:lineRule="exact"/>
        <w:ind w:firstLine="420" w:firstLineChars="200"/>
        <w:outlineLvl w:val="9"/>
        <w:rPr>
          <w:rFonts w:ascii="仿宋" w:hAnsi="仿宋" w:eastAsia="仿宋" w:cs="仿宋"/>
          <w:sz w:val="21"/>
          <w:szCs w:val="21"/>
        </w:rPr>
      </w:pPr>
      <w:bookmarkStart w:id="403" w:name="_Toc24395"/>
      <w:r>
        <w:rPr>
          <w:rFonts w:hint="eastAsia" w:ascii="仿宋" w:hAnsi="仿宋" w:eastAsia="仿宋" w:cs="仿宋"/>
          <w:sz w:val="21"/>
          <w:szCs w:val="21"/>
        </w:rPr>
        <w:t>1、投标截止前30分钟，由招标代理机构登录网上不见面开标大厅系统，做好网上不见面开标准备；</w:t>
      </w:r>
      <w:bookmarkEnd w:id="403"/>
    </w:p>
    <w:p>
      <w:pPr>
        <w:pStyle w:val="42"/>
        <w:numPr>
          <w:ilvl w:val="1"/>
          <w:numId w:val="0"/>
        </w:numPr>
        <w:spacing w:line="500" w:lineRule="exact"/>
        <w:ind w:firstLine="420" w:firstLineChars="200"/>
        <w:outlineLvl w:val="9"/>
        <w:rPr>
          <w:rFonts w:ascii="仿宋" w:hAnsi="仿宋" w:eastAsia="仿宋" w:cs="仿宋"/>
          <w:sz w:val="21"/>
          <w:szCs w:val="21"/>
        </w:rPr>
      </w:pPr>
      <w:bookmarkStart w:id="404" w:name="_Toc28612"/>
      <w:r>
        <w:rPr>
          <w:rFonts w:hint="eastAsia" w:ascii="仿宋" w:hAnsi="仿宋" w:eastAsia="仿宋" w:cs="仿宋"/>
          <w:sz w:val="21"/>
          <w:szCs w:val="21"/>
        </w:rPr>
        <w:t>2、各投标人应于投标截止时间前使用加密锁自行登录不见面开标大厅并完成在线签到，否则视为在线不到场，投标文件开启解密时将被拒绝解密；投标人的在线签到人员必须是投标人的法定代表人或授权委托人，如签到人员与投标人的法定代表人或授权委托人不一致的，其投标将按无效标处理。</w:t>
      </w:r>
      <w:bookmarkEnd w:id="404"/>
    </w:p>
    <w:p>
      <w:pPr>
        <w:pStyle w:val="42"/>
        <w:numPr>
          <w:ilvl w:val="1"/>
          <w:numId w:val="0"/>
        </w:numPr>
        <w:spacing w:line="500" w:lineRule="exact"/>
        <w:ind w:firstLine="420" w:firstLineChars="200"/>
        <w:outlineLvl w:val="9"/>
        <w:rPr>
          <w:rFonts w:ascii="仿宋" w:hAnsi="仿宋" w:eastAsia="仿宋" w:cs="仿宋"/>
          <w:sz w:val="21"/>
          <w:szCs w:val="21"/>
        </w:rPr>
      </w:pPr>
      <w:bookmarkStart w:id="405" w:name="_Toc15963"/>
      <w:r>
        <w:rPr>
          <w:rFonts w:hint="eastAsia" w:ascii="仿宋" w:hAnsi="仿宋" w:eastAsia="仿宋" w:cs="仿宋"/>
          <w:sz w:val="21"/>
          <w:szCs w:val="21"/>
        </w:rPr>
        <w:t>3、投标截止时间，由招标代理机构公布投标人情况、解密要求、在线公布现场监督、见证人员；</w:t>
      </w:r>
      <w:bookmarkEnd w:id="405"/>
    </w:p>
    <w:p>
      <w:pPr>
        <w:pStyle w:val="42"/>
        <w:numPr>
          <w:ilvl w:val="1"/>
          <w:numId w:val="0"/>
        </w:numPr>
        <w:spacing w:line="500" w:lineRule="exact"/>
        <w:ind w:firstLine="420" w:firstLineChars="200"/>
        <w:outlineLvl w:val="9"/>
        <w:rPr>
          <w:rFonts w:ascii="仿宋" w:hAnsi="仿宋" w:eastAsia="仿宋" w:cs="仿宋"/>
          <w:sz w:val="21"/>
          <w:szCs w:val="21"/>
        </w:rPr>
      </w:pPr>
      <w:bookmarkStart w:id="406" w:name="_Toc7809"/>
      <w:r>
        <w:rPr>
          <w:rFonts w:hint="eastAsia" w:ascii="仿宋" w:hAnsi="仿宋" w:eastAsia="仿宋" w:cs="仿宋"/>
          <w:sz w:val="21"/>
          <w:szCs w:val="21"/>
        </w:rPr>
        <w:t>4、投标人需在系统开启投标文件解密时间后30分钟内对投标文件进行网上在线解密，未在规定时间内完成的，其投标将被拒绝；</w:t>
      </w:r>
      <w:bookmarkEnd w:id="406"/>
    </w:p>
    <w:p>
      <w:pPr>
        <w:pStyle w:val="42"/>
        <w:numPr>
          <w:ilvl w:val="1"/>
          <w:numId w:val="0"/>
        </w:numPr>
        <w:spacing w:line="500" w:lineRule="exact"/>
        <w:ind w:firstLine="420" w:firstLineChars="200"/>
        <w:outlineLvl w:val="9"/>
        <w:rPr>
          <w:rFonts w:ascii="仿宋" w:hAnsi="仿宋" w:eastAsia="仿宋" w:cs="仿宋"/>
          <w:sz w:val="21"/>
          <w:szCs w:val="21"/>
        </w:rPr>
      </w:pPr>
      <w:bookmarkStart w:id="407" w:name="_Toc30339"/>
      <w:r>
        <w:rPr>
          <w:rFonts w:hint="eastAsia" w:ascii="仿宋" w:hAnsi="仿宋" w:eastAsia="仿宋" w:cs="仿宋"/>
          <w:sz w:val="21"/>
          <w:szCs w:val="21"/>
        </w:rPr>
        <w:t>5、招标人现场解密、投标文件导入等全程操作；</w:t>
      </w:r>
      <w:bookmarkEnd w:id="407"/>
    </w:p>
    <w:p>
      <w:pPr>
        <w:pStyle w:val="42"/>
        <w:numPr>
          <w:ilvl w:val="1"/>
          <w:numId w:val="0"/>
        </w:numPr>
        <w:spacing w:line="500" w:lineRule="exact"/>
        <w:ind w:firstLine="420" w:firstLineChars="200"/>
        <w:outlineLvl w:val="9"/>
        <w:rPr>
          <w:rFonts w:ascii="仿宋" w:hAnsi="仿宋" w:eastAsia="仿宋" w:cs="仿宋"/>
          <w:sz w:val="21"/>
          <w:szCs w:val="21"/>
        </w:rPr>
      </w:pPr>
      <w:bookmarkStart w:id="408" w:name="_Toc12432"/>
      <w:r>
        <w:rPr>
          <w:rFonts w:hint="eastAsia" w:ascii="仿宋" w:hAnsi="仿宋" w:eastAsia="仿宋" w:cs="仿宋"/>
          <w:sz w:val="21"/>
          <w:szCs w:val="21"/>
        </w:rPr>
        <w:t>6、对网上开标过程有异议的，投标人应当直接在线提疑，同时由招标人在线进行回复；</w:t>
      </w:r>
      <w:bookmarkEnd w:id="408"/>
    </w:p>
    <w:p>
      <w:pPr>
        <w:pStyle w:val="42"/>
        <w:numPr>
          <w:ilvl w:val="1"/>
          <w:numId w:val="0"/>
        </w:numPr>
        <w:spacing w:line="500" w:lineRule="exact"/>
        <w:ind w:firstLine="420" w:firstLineChars="200"/>
        <w:outlineLvl w:val="9"/>
        <w:rPr>
          <w:rFonts w:ascii="仿宋" w:hAnsi="仿宋" w:eastAsia="仿宋" w:cs="仿宋"/>
          <w:sz w:val="21"/>
          <w:szCs w:val="21"/>
        </w:rPr>
      </w:pPr>
      <w:bookmarkStart w:id="409" w:name="_Toc31198"/>
      <w:r>
        <w:rPr>
          <w:rFonts w:hint="eastAsia" w:ascii="仿宋" w:hAnsi="仿宋" w:eastAsia="仿宋" w:cs="仿宋"/>
          <w:sz w:val="21"/>
          <w:szCs w:val="21"/>
        </w:rPr>
        <w:t>7、宣布开标结束。</w:t>
      </w:r>
      <w:bookmarkEnd w:id="409"/>
    </w:p>
    <w:p>
      <w:pPr>
        <w:pStyle w:val="42"/>
        <w:numPr>
          <w:ilvl w:val="1"/>
          <w:numId w:val="0"/>
        </w:numPr>
        <w:spacing w:line="500" w:lineRule="exact"/>
        <w:outlineLvl w:val="9"/>
        <w:rPr>
          <w:rFonts w:ascii="仿宋" w:hAnsi="仿宋" w:eastAsia="仿宋" w:cs="仿宋"/>
          <w:b/>
          <w:sz w:val="21"/>
          <w:szCs w:val="21"/>
        </w:rPr>
      </w:pPr>
      <w:bookmarkStart w:id="410" w:name="_Toc26427"/>
      <w:bookmarkStart w:id="411" w:name="_Toc429512989"/>
      <w:bookmarkStart w:id="412" w:name="_Toc429494999"/>
      <w:bookmarkStart w:id="413" w:name="_Toc491857279"/>
      <w:bookmarkStart w:id="414" w:name="_Toc429494406"/>
      <w:bookmarkStart w:id="415" w:name="_Toc429596634"/>
      <w:bookmarkStart w:id="416" w:name="_Toc16005"/>
      <w:bookmarkStart w:id="417" w:name="_Toc392345939"/>
      <w:r>
        <w:rPr>
          <w:rFonts w:hint="eastAsia" w:ascii="仿宋" w:hAnsi="仿宋" w:eastAsia="仿宋" w:cs="仿宋"/>
          <w:b/>
          <w:sz w:val="21"/>
          <w:szCs w:val="21"/>
        </w:rPr>
        <w:t>5.3 开标异议</w:t>
      </w:r>
      <w:bookmarkEnd w:id="387"/>
      <w:bookmarkEnd w:id="410"/>
      <w:bookmarkEnd w:id="411"/>
      <w:bookmarkEnd w:id="412"/>
      <w:bookmarkEnd w:id="413"/>
      <w:bookmarkEnd w:id="414"/>
      <w:bookmarkEnd w:id="415"/>
      <w:bookmarkEnd w:id="416"/>
      <w:bookmarkEnd w:id="417"/>
    </w:p>
    <w:p>
      <w:pPr>
        <w:pStyle w:val="41"/>
        <w:tabs>
          <w:tab w:val="left" w:pos="852"/>
        </w:tabs>
        <w:spacing w:before="0" w:line="500" w:lineRule="exact"/>
        <w:ind w:firstLine="420" w:firstLineChars="200"/>
        <w:outlineLvl w:val="9"/>
        <w:rPr>
          <w:rFonts w:ascii="仿宋" w:hAnsi="仿宋" w:eastAsia="仿宋" w:cs="仿宋"/>
          <w:sz w:val="21"/>
          <w:szCs w:val="21"/>
        </w:rPr>
      </w:pPr>
      <w:bookmarkStart w:id="418" w:name="_Toc14860"/>
      <w:bookmarkStart w:id="419" w:name="_Toc429512990"/>
      <w:bookmarkStart w:id="420" w:name="_Toc392345940"/>
      <w:bookmarkStart w:id="421" w:name="_Toc13948"/>
      <w:bookmarkStart w:id="422" w:name="_Toc229646744"/>
      <w:r>
        <w:rPr>
          <w:rFonts w:hint="eastAsia" w:ascii="仿宋" w:hAnsi="仿宋" w:eastAsia="仿宋" w:cs="仿宋"/>
          <w:sz w:val="21"/>
          <w:szCs w:val="21"/>
        </w:rPr>
        <w:t>投标人对开标有异议的，应当通过网上开标大厅在线提出异议或质询，招标人将在线回复。</w:t>
      </w:r>
      <w:bookmarkEnd w:id="418"/>
    </w:p>
    <w:p>
      <w:pPr>
        <w:pStyle w:val="41"/>
        <w:tabs>
          <w:tab w:val="left" w:pos="852"/>
        </w:tabs>
        <w:spacing w:before="0" w:line="500" w:lineRule="exact"/>
        <w:rPr>
          <w:rFonts w:ascii="仿宋" w:hAnsi="仿宋" w:eastAsia="仿宋" w:cs="仿宋"/>
          <w:b/>
          <w:sz w:val="21"/>
          <w:szCs w:val="21"/>
        </w:rPr>
      </w:pPr>
      <w:bookmarkStart w:id="423" w:name="_Toc10607"/>
      <w:r>
        <w:rPr>
          <w:rFonts w:hint="eastAsia" w:ascii="仿宋" w:hAnsi="仿宋" w:eastAsia="仿宋" w:cs="仿宋"/>
          <w:b/>
          <w:sz w:val="21"/>
          <w:szCs w:val="21"/>
        </w:rPr>
        <w:t xml:space="preserve">6. </w:t>
      </w:r>
      <w:bookmarkEnd w:id="388"/>
      <w:bookmarkEnd w:id="389"/>
      <w:bookmarkEnd w:id="390"/>
      <w:bookmarkEnd w:id="419"/>
      <w:bookmarkEnd w:id="420"/>
      <w:bookmarkEnd w:id="421"/>
      <w:bookmarkEnd w:id="422"/>
      <w:r>
        <w:rPr>
          <w:rFonts w:hint="eastAsia" w:ascii="仿宋" w:hAnsi="仿宋" w:eastAsia="仿宋" w:cs="仿宋"/>
          <w:b/>
          <w:sz w:val="21"/>
          <w:szCs w:val="21"/>
        </w:rPr>
        <w:t>评标</w:t>
      </w:r>
      <w:bookmarkEnd w:id="423"/>
    </w:p>
    <w:p>
      <w:pPr>
        <w:pStyle w:val="42"/>
        <w:numPr>
          <w:ilvl w:val="1"/>
          <w:numId w:val="0"/>
        </w:numPr>
        <w:spacing w:line="500" w:lineRule="exact"/>
        <w:outlineLvl w:val="9"/>
        <w:rPr>
          <w:rFonts w:ascii="仿宋" w:hAnsi="仿宋" w:eastAsia="仿宋" w:cs="仿宋"/>
          <w:b/>
          <w:sz w:val="21"/>
          <w:szCs w:val="21"/>
        </w:rPr>
      </w:pPr>
      <w:bookmarkStart w:id="424" w:name="_Toc491857281"/>
      <w:bookmarkStart w:id="425" w:name="_Toc14858"/>
      <w:bookmarkStart w:id="426" w:name="_Toc229646745"/>
      <w:bookmarkStart w:id="427" w:name="_Toc429494408"/>
      <w:bookmarkStart w:id="428" w:name="_Toc30331"/>
      <w:bookmarkStart w:id="429" w:name="_Toc429512991"/>
      <w:bookmarkStart w:id="430" w:name="_Toc429596636"/>
      <w:bookmarkStart w:id="431" w:name="_Toc144974531"/>
      <w:bookmarkStart w:id="432" w:name="_Toc392345941"/>
      <w:bookmarkStart w:id="433" w:name="_Toc429495001"/>
      <w:bookmarkStart w:id="434" w:name="_Toc152042339"/>
      <w:bookmarkStart w:id="435" w:name="_Toc152045563"/>
      <w:r>
        <w:rPr>
          <w:rFonts w:hint="eastAsia" w:ascii="仿宋" w:hAnsi="仿宋" w:eastAsia="仿宋" w:cs="仿宋"/>
          <w:b/>
          <w:sz w:val="21"/>
          <w:szCs w:val="21"/>
        </w:rPr>
        <w:t>6.1 评标委员会</w:t>
      </w:r>
      <w:bookmarkEnd w:id="424"/>
      <w:bookmarkEnd w:id="425"/>
      <w:bookmarkEnd w:id="426"/>
      <w:bookmarkEnd w:id="427"/>
      <w:bookmarkEnd w:id="428"/>
      <w:bookmarkEnd w:id="429"/>
      <w:bookmarkEnd w:id="430"/>
      <w:bookmarkEnd w:id="431"/>
      <w:bookmarkEnd w:id="432"/>
      <w:bookmarkEnd w:id="433"/>
      <w:bookmarkEnd w:id="434"/>
      <w:bookmarkEnd w:id="435"/>
    </w:p>
    <w:p>
      <w:pPr>
        <w:pStyle w:val="43"/>
        <w:spacing w:line="500" w:lineRule="exact"/>
        <w:ind w:firstLine="425"/>
        <w:jc w:val="both"/>
        <w:rPr>
          <w:rFonts w:ascii="仿宋" w:hAnsi="仿宋" w:eastAsia="仿宋" w:cs="仿宋"/>
          <w:color w:val="auto"/>
          <w:sz w:val="21"/>
          <w:szCs w:val="21"/>
        </w:rPr>
      </w:pPr>
      <w:bookmarkStart w:id="436" w:name="_Toc229646746"/>
      <w:bookmarkStart w:id="437" w:name="_Toc144974532"/>
      <w:bookmarkStart w:id="438" w:name="_Toc152045564"/>
      <w:bookmarkStart w:id="439" w:name="_Toc152042340"/>
      <w:r>
        <w:rPr>
          <w:rFonts w:hint="eastAsia" w:ascii="仿宋" w:hAnsi="仿宋" w:eastAsia="仿宋" w:cs="仿宋"/>
          <w:color w:val="auto"/>
          <w:sz w:val="21"/>
          <w:szCs w:val="21"/>
        </w:rPr>
        <w:t>6.1.1 评标由招标人依法组建的评标委员会负责。评标委员会成员人数以及技术、经济等方面专家的确定方式见投标人须知前附表。</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6.1.2 评标委员会成员有下列情形之一的，应当回避：</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（1）招标人或投标人的主要负责人的近亲属；</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（2）项目主管部门或者行政监督部门的人员；</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（3）与投标人有经济利益关系，可能影响对投标公正评标的；</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（4）曾因在招标、评标以及其他与招标投标有关活动中从事违法行为而受过行政处罚或刑事处罚的。</w:t>
      </w:r>
    </w:p>
    <w:p>
      <w:pPr>
        <w:pStyle w:val="42"/>
        <w:numPr>
          <w:ilvl w:val="1"/>
          <w:numId w:val="0"/>
        </w:numPr>
        <w:tabs>
          <w:tab w:val="left" w:pos="2620"/>
        </w:tabs>
        <w:spacing w:line="500" w:lineRule="exact"/>
        <w:outlineLvl w:val="9"/>
        <w:rPr>
          <w:rFonts w:ascii="仿宋" w:hAnsi="仿宋" w:eastAsia="仿宋" w:cs="仿宋"/>
          <w:b/>
          <w:sz w:val="21"/>
          <w:szCs w:val="21"/>
        </w:rPr>
      </w:pPr>
      <w:bookmarkStart w:id="440" w:name="_Toc429596637"/>
      <w:bookmarkStart w:id="441" w:name="_Toc429495002"/>
      <w:bookmarkStart w:id="442" w:name="_Toc429494409"/>
      <w:bookmarkStart w:id="443" w:name="_Toc491857282"/>
      <w:bookmarkStart w:id="444" w:name="_Toc429512992"/>
      <w:bookmarkStart w:id="445" w:name="_Toc22956"/>
      <w:bookmarkStart w:id="446" w:name="_Toc392345942"/>
      <w:bookmarkStart w:id="447" w:name="_Toc7647"/>
      <w:r>
        <w:rPr>
          <w:rFonts w:hint="eastAsia" w:ascii="仿宋" w:hAnsi="仿宋" w:eastAsia="仿宋" w:cs="仿宋"/>
          <w:b/>
          <w:sz w:val="21"/>
          <w:szCs w:val="21"/>
        </w:rPr>
        <w:t>6.2 评标原则</w:t>
      </w:r>
      <w:bookmarkEnd w:id="436"/>
      <w:bookmarkEnd w:id="437"/>
      <w:bookmarkEnd w:id="438"/>
      <w:bookmarkEnd w:id="439"/>
      <w:bookmarkEnd w:id="440"/>
      <w:bookmarkEnd w:id="441"/>
      <w:bookmarkEnd w:id="442"/>
      <w:bookmarkEnd w:id="443"/>
      <w:bookmarkEnd w:id="444"/>
      <w:bookmarkEnd w:id="445"/>
      <w:bookmarkEnd w:id="446"/>
      <w:bookmarkEnd w:id="447"/>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评标活动遵循公平、公正、科学和择优的原则。</w:t>
      </w:r>
    </w:p>
    <w:p>
      <w:pPr>
        <w:pStyle w:val="42"/>
        <w:numPr>
          <w:ilvl w:val="1"/>
          <w:numId w:val="0"/>
        </w:numPr>
        <w:spacing w:line="500" w:lineRule="exact"/>
        <w:outlineLvl w:val="9"/>
        <w:rPr>
          <w:rFonts w:ascii="仿宋" w:hAnsi="仿宋" w:eastAsia="仿宋" w:cs="仿宋"/>
          <w:b/>
          <w:sz w:val="21"/>
          <w:szCs w:val="21"/>
          <w:u w:val="single"/>
        </w:rPr>
      </w:pPr>
      <w:bookmarkStart w:id="448" w:name="_Toc144974533"/>
      <w:bookmarkStart w:id="449" w:name="_Toc429495003"/>
      <w:bookmarkStart w:id="450" w:name="_Toc429512993"/>
      <w:bookmarkStart w:id="451" w:name="_Toc229646747"/>
      <w:bookmarkStart w:id="452" w:name="_Toc152042341"/>
      <w:bookmarkStart w:id="453" w:name="_Toc316"/>
      <w:bookmarkStart w:id="454" w:name="_Toc429596638"/>
      <w:bookmarkStart w:id="455" w:name="_Toc392345943"/>
      <w:bookmarkStart w:id="456" w:name="_Toc491857283"/>
      <w:bookmarkStart w:id="457" w:name="_Toc429494410"/>
      <w:bookmarkStart w:id="458" w:name="_Toc152045565"/>
      <w:bookmarkStart w:id="459" w:name="_Toc23458"/>
      <w:r>
        <w:rPr>
          <w:rFonts w:hint="eastAsia" w:ascii="仿宋" w:hAnsi="仿宋" w:eastAsia="仿宋" w:cs="仿宋"/>
          <w:b/>
          <w:sz w:val="21"/>
          <w:szCs w:val="21"/>
        </w:rPr>
        <w:t xml:space="preserve">6.3 </w:t>
      </w:r>
      <w:bookmarkEnd w:id="448"/>
      <w:bookmarkEnd w:id="449"/>
      <w:bookmarkEnd w:id="450"/>
      <w:bookmarkEnd w:id="451"/>
      <w:bookmarkEnd w:id="452"/>
      <w:bookmarkEnd w:id="453"/>
      <w:bookmarkEnd w:id="454"/>
      <w:bookmarkEnd w:id="455"/>
      <w:bookmarkEnd w:id="456"/>
      <w:bookmarkEnd w:id="457"/>
      <w:bookmarkEnd w:id="458"/>
      <w:r>
        <w:rPr>
          <w:rFonts w:hint="eastAsia" w:ascii="仿宋" w:hAnsi="仿宋" w:eastAsia="仿宋" w:cs="仿宋"/>
          <w:b/>
          <w:sz w:val="21"/>
          <w:szCs w:val="21"/>
        </w:rPr>
        <w:t>评标</w:t>
      </w:r>
      <w:bookmarkEnd w:id="459"/>
    </w:p>
    <w:p>
      <w:pPr>
        <w:pStyle w:val="43"/>
        <w:spacing w:line="500" w:lineRule="exact"/>
        <w:ind w:firstLine="425"/>
        <w:jc w:val="both"/>
        <w:rPr>
          <w:rFonts w:ascii="仿宋" w:hAnsi="仿宋" w:eastAsia="仿宋" w:cs="仿宋"/>
          <w:color w:val="auto"/>
          <w:sz w:val="21"/>
          <w:szCs w:val="21"/>
        </w:rPr>
      </w:pPr>
      <w:bookmarkStart w:id="460" w:name="_Toc152045566"/>
      <w:bookmarkStart w:id="461" w:name="_Toc144974534"/>
      <w:bookmarkStart w:id="462" w:name="_Toc152042342"/>
      <w:bookmarkStart w:id="463" w:name="_Toc229646748"/>
      <w:r>
        <w:rPr>
          <w:rFonts w:hint="eastAsia" w:ascii="仿宋" w:hAnsi="仿宋" w:eastAsia="仿宋" w:cs="仿宋"/>
          <w:color w:val="auto"/>
          <w:sz w:val="21"/>
          <w:szCs w:val="21"/>
        </w:rPr>
        <w:t>评标委员会按照招标文件规定的评标标准和方法，客观、公正地对投标文件提出评标意见。招标文件没有规定的评标标准和方法，不作为评标依据。</w:t>
      </w:r>
    </w:p>
    <w:p>
      <w:pPr>
        <w:pStyle w:val="41"/>
        <w:tabs>
          <w:tab w:val="left" w:pos="852"/>
        </w:tabs>
        <w:spacing w:before="0" w:line="500" w:lineRule="exact"/>
        <w:rPr>
          <w:rFonts w:ascii="仿宋" w:hAnsi="仿宋" w:eastAsia="仿宋" w:cs="仿宋"/>
          <w:b/>
          <w:sz w:val="21"/>
          <w:szCs w:val="21"/>
        </w:rPr>
      </w:pPr>
      <w:bookmarkStart w:id="464" w:name="_Toc10244"/>
      <w:bookmarkStart w:id="465" w:name="_Toc429512994"/>
      <w:bookmarkStart w:id="466" w:name="_Toc392345944"/>
      <w:bookmarkStart w:id="467" w:name="_Toc10002"/>
      <w:r>
        <w:rPr>
          <w:rFonts w:hint="eastAsia" w:ascii="仿宋" w:hAnsi="仿宋" w:eastAsia="仿宋" w:cs="仿宋"/>
          <w:b/>
          <w:sz w:val="21"/>
          <w:szCs w:val="21"/>
        </w:rPr>
        <w:t>7. 合同授予</w:t>
      </w:r>
      <w:bookmarkEnd w:id="460"/>
      <w:bookmarkEnd w:id="461"/>
      <w:bookmarkEnd w:id="462"/>
      <w:bookmarkEnd w:id="463"/>
      <w:bookmarkEnd w:id="464"/>
      <w:bookmarkEnd w:id="465"/>
      <w:bookmarkEnd w:id="466"/>
      <w:bookmarkEnd w:id="467"/>
    </w:p>
    <w:p>
      <w:pPr>
        <w:pStyle w:val="42"/>
        <w:numPr>
          <w:ilvl w:val="1"/>
          <w:numId w:val="0"/>
        </w:numPr>
        <w:spacing w:line="500" w:lineRule="exact"/>
        <w:outlineLvl w:val="9"/>
        <w:rPr>
          <w:rFonts w:ascii="仿宋" w:hAnsi="仿宋" w:eastAsia="仿宋" w:cs="仿宋"/>
          <w:b/>
          <w:sz w:val="21"/>
          <w:szCs w:val="21"/>
        </w:rPr>
      </w:pPr>
      <w:bookmarkStart w:id="468" w:name="_Toc429596640"/>
      <w:bookmarkStart w:id="469" w:name="_Toc144974536"/>
      <w:bookmarkStart w:id="470" w:name="_Toc229646750"/>
      <w:bookmarkStart w:id="471" w:name="_Toc429512995"/>
      <w:bookmarkStart w:id="472" w:name="_Toc429494412"/>
      <w:bookmarkStart w:id="473" w:name="_Toc392345946"/>
      <w:bookmarkStart w:id="474" w:name="_Toc429495005"/>
      <w:bookmarkStart w:id="475" w:name="_Toc152045568"/>
      <w:bookmarkStart w:id="476" w:name="_Toc11662"/>
      <w:bookmarkStart w:id="477" w:name="_Toc28716"/>
      <w:bookmarkStart w:id="478" w:name="_Toc491857285"/>
      <w:bookmarkStart w:id="479" w:name="_Toc152042344"/>
      <w:r>
        <w:rPr>
          <w:rFonts w:hint="eastAsia" w:ascii="仿宋" w:hAnsi="仿宋" w:eastAsia="仿宋" w:cs="仿宋"/>
          <w:b/>
          <w:sz w:val="21"/>
          <w:szCs w:val="21"/>
        </w:rPr>
        <w:t>7.1中标候选人公示</w:t>
      </w:r>
      <w:bookmarkEnd w:id="468"/>
      <w:bookmarkEnd w:id="469"/>
      <w:bookmarkEnd w:id="470"/>
      <w:bookmarkEnd w:id="471"/>
      <w:bookmarkEnd w:id="472"/>
      <w:bookmarkEnd w:id="473"/>
      <w:bookmarkEnd w:id="474"/>
      <w:bookmarkEnd w:id="475"/>
      <w:bookmarkEnd w:id="476"/>
      <w:bookmarkEnd w:id="477"/>
      <w:bookmarkEnd w:id="478"/>
      <w:bookmarkEnd w:id="479"/>
    </w:p>
    <w:p>
      <w:pPr>
        <w:pStyle w:val="43"/>
        <w:spacing w:line="500" w:lineRule="exact"/>
        <w:ind w:firstLine="425"/>
        <w:jc w:val="both"/>
        <w:rPr>
          <w:rFonts w:ascii="仿宋" w:hAnsi="仿宋" w:eastAsia="仿宋" w:cs="仿宋"/>
          <w:color w:val="auto"/>
          <w:sz w:val="21"/>
          <w:szCs w:val="21"/>
        </w:rPr>
      </w:pPr>
      <w:bookmarkStart w:id="480" w:name="_Toc144974537"/>
      <w:bookmarkStart w:id="481" w:name="_Toc229646751"/>
      <w:bookmarkStart w:id="482" w:name="_Toc152042345"/>
      <w:bookmarkStart w:id="483" w:name="_Toc152045569"/>
      <w:r>
        <w:rPr>
          <w:rFonts w:hint="eastAsia" w:ascii="仿宋" w:hAnsi="仿宋" w:eastAsia="仿宋" w:cs="仿宋"/>
          <w:color w:val="auto"/>
          <w:sz w:val="21"/>
          <w:szCs w:val="21"/>
        </w:rPr>
        <w:t>招标人自收到评标报告之日起3日内，在与发布招标公告一致的媒介上公示中标候选人，公示期为3日。</w:t>
      </w:r>
    </w:p>
    <w:bookmarkEnd w:id="480"/>
    <w:bookmarkEnd w:id="481"/>
    <w:bookmarkEnd w:id="482"/>
    <w:bookmarkEnd w:id="483"/>
    <w:p>
      <w:pPr>
        <w:pStyle w:val="42"/>
        <w:numPr>
          <w:ilvl w:val="1"/>
          <w:numId w:val="0"/>
        </w:numPr>
        <w:spacing w:line="500" w:lineRule="exact"/>
        <w:outlineLvl w:val="9"/>
        <w:rPr>
          <w:rFonts w:ascii="仿宋" w:hAnsi="仿宋" w:eastAsia="仿宋" w:cs="仿宋"/>
          <w:b/>
          <w:sz w:val="21"/>
          <w:szCs w:val="21"/>
        </w:rPr>
      </w:pPr>
      <w:bookmarkStart w:id="484" w:name="_Toc246996955"/>
      <w:bookmarkStart w:id="485" w:name="_Toc296602458"/>
      <w:bookmarkStart w:id="486" w:name="_Toc491857286"/>
      <w:bookmarkStart w:id="487" w:name="_Toc392345947"/>
      <w:bookmarkStart w:id="488" w:name="_Toc29815"/>
      <w:bookmarkStart w:id="489" w:name="_Toc247085726"/>
      <w:bookmarkStart w:id="490" w:name="_Toc429495006"/>
      <w:bookmarkStart w:id="491" w:name="_Toc246996212"/>
      <w:bookmarkStart w:id="492" w:name="_Toc429596641"/>
      <w:bookmarkStart w:id="493" w:name="_Toc429494413"/>
      <w:bookmarkStart w:id="494" w:name="_Toc429512996"/>
      <w:bookmarkStart w:id="495" w:name="_Toc179632586"/>
      <w:bookmarkStart w:id="496" w:name="_Toc10708"/>
      <w:r>
        <w:rPr>
          <w:rFonts w:hint="eastAsia" w:ascii="仿宋" w:hAnsi="仿宋" w:eastAsia="仿宋" w:cs="仿宋"/>
          <w:b/>
          <w:sz w:val="21"/>
          <w:szCs w:val="21"/>
        </w:rPr>
        <w:t>7.2</w:t>
      </w:r>
      <w:bookmarkEnd w:id="484"/>
      <w:bookmarkEnd w:id="485"/>
      <w:bookmarkEnd w:id="486"/>
      <w:bookmarkEnd w:id="487"/>
      <w:bookmarkEnd w:id="488"/>
      <w:bookmarkEnd w:id="489"/>
      <w:bookmarkEnd w:id="490"/>
      <w:bookmarkEnd w:id="491"/>
      <w:bookmarkEnd w:id="492"/>
      <w:bookmarkEnd w:id="493"/>
      <w:bookmarkEnd w:id="494"/>
      <w:bookmarkEnd w:id="495"/>
      <w:r>
        <w:rPr>
          <w:rFonts w:hint="eastAsia" w:ascii="仿宋" w:hAnsi="仿宋" w:eastAsia="仿宋" w:cs="仿宋"/>
          <w:b/>
          <w:sz w:val="21"/>
          <w:szCs w:val="21"/>
        </w:rPr>
        <w:t>中标通知</w:t>
      </w:r>
      <w:bookmarkEnd w:id="496"/>
    </w:p>
    <w:p>
      <w:pPr>
        <w:pStyle w:val="42"/>
        <w:numPr>
          <w:ilvl w:val="1"/>
          <w:numId w:val="0"/>
        </w:numPr>
        <w:spacing w:line="500" w:lineRule="exact"/>
        <w:ind w:firstLine="420" w:firstLineChars="200"/>
        <w:outlineLvl w:val="9"/>
        <w:rPr>
          <w:rFonts w:ascii="仿宋" w:hAnsi="仿宋" w:eastAsia="仿宋" w:cs="仿宋"/>
          <w:sz w:val="21"/>
          <w:szCs w:val="21"/>
        </w:rPr>
      </w:pPr>
      <w:bookmarkStart w:id="497" w:name="_Toc26499"/>
      <w:bookmarkStart w:id="498" w:name="_Toc429494414"/>
      <w:bookmarkStart w:id="499" w:name="_Toc246996956"/>
      <w:bookmarkStart w:id="500" w:name="_Toc491857287"/>
      <w:bookmarkStart w:id="501" w:name="_Toc23164"/>
      <w:bookmarkStart w:id="502" w:name="_Toc246996213"/>
      <w:bookmarkStart w:id="503" w:name="_Toc429596642"/>
      <w:bookmarkStart w:id="504" w:name="_Toc429512997"/>
      <w:bookmarkStart w:id="505" w:name="_Toc179632587"/>
      <w:bookmarkStart w:id="506" w:name="_Toc296602459"/>
      <w:bookmarkStart w:id="507" w:name="_Toc247085727"/>
      <w:bookmarkStart w:id="508" w:name="_Toc429495007"/>
      <w:bookmarkStart w:id="509" w:name="_Toc392345948"/>
      <w:r>
        <w:rPr>
          <w:rFonts w:hint="eastAsia" w:ascii="仿宋" w:hAnsi="仿宋" w:eastAsia="仿宋" w:cs="仿宋"/>
          <w:sz w:val="21"/>
          <w:szCs w:val="21"/>
        </w:rPr>
        <w:t>中标候选人公示期满后，招标人未收到投标人或其他利害关系人异议的，将在本章第3.3款规定的投标有效期内，招标人以书面形式向成交人发出成交通知书，同时将成交结果公告发布在湖州市公共资源交易信息网—其他交易-中标结果公示（网址：</w:t>
      </w:r>
      <w:r>
        <w:fldChar w:fldCharType="begin"/>
      </w:r>
      <w:r>
        <w:instrText xml:space="preserve"> HYPERLINK "http://49.4.53.110/HZfront/jcjs/）的方式通知未承包的投标人。" </w:instrText>
      </w:r>
      <w:r>
        <w:fldChar w:fldCharType="separate"/>
      </w:r>
      <w:r>
        <w:rPr>
          <w:rStyle w:val="35"/>
          <w:rFonts w:hint="eastAsia" w:ascii="仿宋" w:hAnsi="仿宋" w:eastAsia="仿宋" w:cs="仿宋"/>
          <w:sz w:val="21"/>
          <w:szCs w:val="21"/>
        </w:rPr>
        <w:t>http://49.4.53.110/HZfront/jcjs/）的方式通知未中标的投标人。</w:t>
      </w:r>
      <w:r>
        <w:rPr>
          <w:rStyle w:val="35"/>
          <w:rFonts w:hint="eastAsia" w:ascii="仿宋" w:hAnsi="仿宋" w:eastAsia="仿宋" w:cs="仿宋"/>
          <w:sz w:val="21"/>
          <w:szCs w:val="21"/>
        </w:rPr>
        <w:fldChar w:fldCharType="end"/>
      </w:r>
      <w:bookmarkEnd w:id="497"/>
    </w:p>
    <w:p>
      <w:pPr>
        <w:pStyle w:val="42"/>
        <w:numPr>
          <w:ilvl w:val="1"/>
          <w:numId w:val="0"/>
        </w:numPr>
        <w:spacing w:line="500" w:lineRule="exact"/>
        <w:outlineLvl w:val="9"/>
        <w:rPr>
          <w:rFonts w:ascii="仿宋" w:hAnsi="仿宋" w:eastAsia="仿宋" w:cs="仿宋"/>
          <w:b/>
          <w:sz w:val="21"/>
          <w:szCs w:val="21"/>
        </w:rPr>
      </w:pPr>
      <w:bookmarkStart w:id="510" w:name="_Toc19296"/>
      <w:r>
        <w:rPr>
          <w:rFonts w:hint="eastAsia" w:ascii="仿宋" w:hAnsi="仿宋" w:eastAsia="仿宋" w:cs="仿宋"/>
          <w:b/>
          <w:sz w:val="21"/>
          <w:szCs w:val="21"/>
        </w:rPr>
        <w:t>7.3 履约担保</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43"/>
        <w:spacing w:line="500" w:lineRule="exact"/>
        <w:ind w:firstLine="425"/>
        <w:jc w:val="both"/>
        <w:rPr>
          <w:rFonts w:ascii="仿宋" w:hAnsi="仿宋" w:eastAsia="仿宋" w:cs="仿宋"/>
          <w:color w:val="auto"/>
          <w:sz w:val="21"/>
          <w:szCs w:val="21"/>
        </w:rPr>
      </w:pPr>
      <w:bookmarkStart w:id="511" w:name="_Toc179632588"/>
      <w:bookmarkStart w:id="512" w:name="_Toc247085728"/>
      <w:bookmarkStart w:id="513" w:name="_Toc296602460"/>
      <w:bookmarkStart w:id="514" w:name="_Toc144974538"/>
      <w:bookmarkStart w:id="515" w:name="_Toc152042346"/>
      <w:bookmarkStart w:id="516" w:name="_Toc246996957"/>
      <w:bookmarkStart w:id="517" w:name="_Toc246996214"/>
      <w:bookmarkStart w:id="518" w:name="_Toc152045570"/>
      <w:r>
        <w:rPr>
          <w:rFonts w:hint="eastAsia" w:ascii="仿宋" w:hAnsi="仿宋" w:eastAsia="仿宋" w:cs="仿宋"/>
          <w:color w:val="auto"/>
          <w:sz w:val="21"/>
          <w:szCs w:val="21"/>
        </w:rPr>
        <w:t>7.3.1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价的5%。</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7.3.2 中标人不能按本章第7.3.1项要求提交履约担保的，视为放弃中标，其投标保证金不予退还，给招标人造成的损失超过投标保证金数额的，中标人还应当对超过部分予以赔偿。</w:t>
      </w:r>
    </w:p>
    <w:p>
      <w:pPr>
        <w:pStyle w:val="42"/>
        <w:numPr>
          <w:ilvl w:val="1"/>
          <w:numId w:val="0"/>
        </w:numPr>
        <w:spacing w:line="500" w:lineRule="exact"/>
        <w:outlineLvl w:val="9"/>
        <w:rPr>
          <w:rFonts w:ascii="仿宋" w:hAnsi="仿宋" w:eastAsia="仿宋" w:cs="仿宋"/>
          <w:b/>
          <w:sz w:val="21"/>
          <w:szCs w:val="21"/>
        </w:rPr>
      </w:pPr>
      <w:bookmarkStart w:id="519" w:name="_Toc429495008"/>
      <w:bookmarkStart w:id="520" w:name="_Toc491857288"/>
      <w:bookmarkStart w:id="521" w:name="_Toc429596643"/>
      <w:bookmarkStart w:id="522" w:name="_Toc23212"/>
      <w:bookmarkStart w:id="523" w:name="_Toc27581"/>
      <w:bookmarkStart w:id="524" w:name="_Toc429512998"/>
      <w:bookmarkStart w:id="525" w:name="_Toc429494415"/>
      <w:r>
        <w:rPr>
          <w:rFonts w:hint="eastAsia" w:ascii="仿宋" w:hAnsi="仿宋" w:eastAsia="仿宋" w:cs="仿宋"/>
          <w:b/>
          <w:sz w:val="21"/>
          <w:szCs w:val="21"/>
        </w:rPr>
        <w:t>7.4 定标方式</w:t>
      </w:r>
      <w:bookmarkEnd w:id="519"/>
      <w:bookmarkEnd w:id="520"/>
      <w:bookmarkEnd w:id="521"/>
      <w:bookmarkEnd w:id="522"/>
      <w:bookmarkEnd w:id="523"/>
      <w:bookmarkEnd w:id="524"/>
      <w:bookmarkEnd w:id="525"/>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7.4.1除投标人须知前附表规定评标委员会直接确定中标人外，招标人依据评标委员会推荐的中标候选人确定中标人，评标委员会推荐中标候选人的人数见投标人须知前附表。评标委员会按照得分由高到低的顺序推荐中标候选人。综合评分相等时，以投标报价低的优先；投标报价也相等的，由招标人或其授权的评标委员会自行确定。</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7.4.2 评标委员会完成评标后，应当向招标人提交书面评标报告。</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7.4.3招标人在定标前须对拟中标单位及拟派项目负责人的行贿犯罪记录进行查询。</w:t>
      </w:r>
    </w:p>
    <w:p>
      <w:pPr>
        <w:pStyle w:val="43"/>
        <w:spacing w:line="500" w:lineRule="exact"/>
        <w:ind w:firstLine="425"/>
        <w:jc w:val="both"/>
        <w:rPr>
          <w:rFonts w:ascii="仿宋" w:hAnsi="仿宋" w:eastAsia="仿宋" w:cs="仿宋"/>
          <w:b/>
          <w:color w:val="auto"/>
          <w:sz w:val="21"/>
          <w:szCs w:val="21"/>
        </w:rPr>
      </w:pPr>
      <w:r>
        <w:rPr>
          <w:rFonts w:hint="eastAsia" w:ascii="仿宋" w:hAnsi="仿宋" w:eastAsia="仿宋" w:cs="仿宋"/>
          <w:color w:val="auto"/>
          <w:sz w:val="21"/>
          <w:szCs w:val="21"/>
        </w:rPr>
        <w:t>查询网址：中国裁判文书网（</w:t>
      </w:r>
      <w:r>
        <w:fldChar w:fldCharType="begin"/>
      </w:r>
      <w:r>
        <w:instrText xml:space="preserve"> HYPERLINK "http://wenshu.court.gov.cn/" </w:instrText>
      </w:r>
      <w:r>
        <w:fldChar w:fldCharType="separate"/>
      </w:r>
      <w:r>
        <w:rPr>
          <w:rFonts w:hint="eastAsia" w:ascii="仿宋" w:hAnsi="仿宋" w:eastAsia="仿宋" w:cs="仿宋"/>
          <w:color w:val="auto"/>
          <w:sz w:val="21"/>
          <w:szCs w:val="21"/>
        </w:rPr>
        <w:t>http://wenshu.court.gov.cn/</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w:t>
      </w:r>
    </w:p>
    <w:p>
      <w:pPr>
        <w:pStyle w:val="42"/>
        <w:numPr>
          <w:ilvl w:val="1"/>
          <w:numId w:val="0"/>
        </w:numPr>
        <w:spacing w:line="500" w:lineRule="exact"/>
        <w:outlineLvl w:val="9"/>
        <w:rPr>
          <w:rFonts w:ascii="仿宋" w:hAnsi="仿宋" w:eastAsia="仿宋" w:cs="仿宋"/>
          <w:b/>
          <w:sz w:val="21"/>
          <w:szCs w:val="21"/>
        </w:rPr>
      </w:pPr>
      <w:bookmarkStart w:id="526" w:name="_Toc429596644"/>
      <w:bookmarkStart w:id="527" w:name="_Toc25233"/>
      <w:bookmarkStart w:id="528" w:name="_Toc429512999"/>
      <w:bookmarkStart w:id="529" w:name="_Toc392345949"/>
      <w:bookmarkStart w:id="530" w:name="_Toc32440"/>
      <w:bookmarkStart w:id="531" w:name="_Toc491857289"/>
      <w:bookmarkStart w:id="532" w:name="_Toc429495009"/>
      <w:bookmarkStart w:id="533" w:name="_Toc429494416"/>
      <w:r>
        <w:rPr>
          <w:rFonts w:hint="eastAsia" w:ascii="仿宋" w:hAnsi="仿宋" w:eastAsia="仿宋" w:cs="仿宋"/>
          <w:b/>
          <w:sz w:val="21"/>
          <w:szCs w:val="21"/>
        </w:rPr>
        <w:t>7.5 签订合同</w:t>
      </w:r>
      <w:bookmarkEnd w:id="511"/>
      <w:bookmarkEnd w:id="512"/>
      <w:bookmarkEnd w:id="513"/>
      <w:bookmarkEnd w:id="514"/>
      <w:bookmarkEnd w:id="515"/>
      <w:bookmarkEnd w:id="516"/>
      <w:bookmarkEnd w:id="517"/>
      <w:bookmarkEnd w:id="518"/>
      <w:bookmarkEnd w:id="526"/>
      <w:bookmarkEnd w:id="527"/>
      <w:bookmarkEnd w:id="528"/>
      <w:bookmarkEnd w:id="529"/>
      <w:bookmarkEnd w:id="530"/>
      <w:bookmarkEnd w:id="531"/>
      <w:bookmarkEnd w:id="532"/>
      <w:bookmarkEnd w:id="533"/>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7.5.2发出中标通知书后，招标人无正当理由拒签合同的，招标人向中标人退还投标保证金；给中标人造成损失的，还应当赔偿损失。</w:t>
      </w:r>
    </w:p>
    <w:p>
      <w:pPr>
        <w:pStyle w:val="41"/>
        <w:tabs>
          <w:tab w:val="left" w:pos="852"/>
        </w:tabs>
        <w:spacing w:before="0" w:line="500" w:lineRule="exact"/>
        <w:rPr>
          <w:rFonts w:ascii="仿宋" w:hAnsi="仿宋" w:eastAsia="仿宋" w:cs="仿宋"/>
          <w:b/>
          <w:sz w:val="21"/>
          <w:szCs w:val="21"/>
        </w:rPr>
      </w:pPr>
      <w:bookmarkStart w:id="534" w:name="_Toc152045571"/>
      <w:bookmarkStart w:id="535" w:name="_Toc429513000"/>
      <w:bookmarkStart w:id="536" w:name="_Toc5106"/>
      <w:bookmarkStart w:id="537" w:name="_Toc144974539"/>
      <w:bookmarkStart w:id="538" w:name="_Toc152042347"/>
      <w:bookmarkStart w:id="539" w:name="_Toc323711786"/>
      <w:bookmarkStart w:id="540" w:name="_Toc245036638"/>
      <w:bookmarkStart w:id="541" w:name="_Toc392345950"/>
      <w:bookmarkStart w:id="542" w:name="_Toc8645"/>
      <w:r>
        <w:rPr>
          <w:rFonts w:hint="eastAsia" w:ascii="仿宋" w:hAnsi="仿宋" w:eastAsia="仿宋" w:cs="仿宋"/>
          <w:b/>
          <w:sz w:val="21"/>
          <w:szCs w:val="21"/>
        </w:rPr>
        <w:t>8. 重新招标和不再</w:t>
      </w:r>
      <w:bookmarkEnd w:id="534"/>
      <w:bookmarkEnd w:id="535"/>
      <w:bookmarkEnd w:id="536"/>
      <w:bookmarkEnd w:id="537"/>
      <w:bookmarkEnd w:id="538"/>
      <w:bookmarkEnd w:id="539"/>
      <w:bookmarkEnd w:id="540"/>
      <w:bookmarkEnd w:id="541"/>
      <w:r>
        <w:rPr>
          <w:rFonts w:hint="eastAsia" w:ascii="仿宋" w:hAnsi="仿宋" w:eastAsia="仿宋" w:cs="仿宋"/>
          <w:b/>
          <w:sz w:val="21"/>
          <w:szCs w:val="21"/>
        </w:rPr>
        <w:t>招标</w:t>
      </w:r>
      <w:bookmarkEnd w:id="542"/>
    </w:p>
    <w:p>
      <w:pPr>
        <w:pStyle w:val="42"/>
        <w:numPr>
          <w:ilvl w:val="1"/>
          <w:numId w:val="0"/>
        </w:numPr>
        <w:spacing w:line="500" w:lineRule="exact"/>
        <w:outlineLvl w:val="9"/>
        <w:rPr>
          <w:rFonts w:ascii="仿宋" w:hAnsi="仿宋" w:eastAsia="仿宋" w:cs="仿宋"/>
          <w:b/>
          <w:sz w:val="21"/>
          <w:szCs w:val="21"/>
        </w:rPr>
      </w:pPr>
      <w:bookmarkStart w:id="543" w:name="_Toc429513001"/>
      <w:bookmarkStart w:id="544" w:name="_Toc392345951"/>
      <w:bookmarkStart w:id="545" w:name="_Toc152045572"/>
      <w:bookmarkStart w:id="546" w:name="_Toc319408108"/>
      <w:bookmarkStart w:id="547" w:name="_Toc429494418"/>
      <w:bookmarkStart w:id="548" w:name="_Toc245036639"/>
      <w:bookmarkStart w:id="549" w:name="_Toc429495011"/>
      <w:bookmarkStart w:id="550" w:name="_Toc152042348"/>
      <w:bookmarkStart w:id="551" w:name="_Toc15698"/>
      <w:bookmarkStart w:id="552" w:name="_Toc322615435"/>
      <w:bookmarkStart w:id="553" w:name="_Toc491857291"/>
      <w:bookmarkStart w:id="554" w:name="_Toc144974540"/>
      <w:bookmarkStart w:id="555" w:name="_Toc319407873"/>
      <w:bookmarkStart w:id="556" w:name="_Toc323711787"/>
      <w:bookmarkStart w:id="557" w:name="_Toc429596646"/>
      <w:bookmarkStart w:id="558" w:name="_Toc15377"/>
      <w:r>
        <w:rPr>
          <w:rFonts w:hint="eastAsia" w:ascii="仿宋" w:hAnsi="仿宋" w:eastAsia="仿宋" w:cs="仿宋"/>
          <w:b/>
          <w:sz w:val="21"/>
          <w:szCs w:val="21"/>
        </w:rPr>
        <w:t>8.1 重新</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Fonts w:hint="eastAsia" w:ascii="仿宋" w:hAnsi="仿宋" w:eastAsia="仿宋" w:cs="仿宋"/>
          <w:b/>
          <w:sz w:val="21"/>
          <w:szCs w:val="21"/>
        </w:rPr>
        <w:t>招标</w:t>
      </w:r>
      <w:bookmarkEnd w:id="558"/>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有下列情形之一的，招标人将重新招标：</w:t>
      </w:r>
    </w:p>
    <w:p>
      <w:pPr>
        <w:pStyle w:val="43"/>
        <w:spacing w:line="500" w:lineRule="exact"/>
        <w:ind w:firstLine="425"/>
        <w:jc w:val="both"/>
        <w:rPr>
          <w:rFonts w:ascii="仿宋" w:hAnsi="仿宋" w:eastAsia="仿宋" w:cs="仿宋"/>
          <w:color w:val="auto"/>
          <w:sz w:val="21"/>
          <w:szCs w:val="21"/>
        </w:rPr>
      </w:pPr>
      <w:bookmarkStart w:id="559" w:name="_Toc144974541"/>
      <w:bookmarkStart w:id="560" w:name="_Toc392345952"/>
      <w:bookmarkStart w:id="561" w:name="_Toc152045573"/>
      <w:bookmarkStart w:id="562" w:name="_Toc322615436"/>
      <w:bookmarkStart w:id="563" w:name="_Toc323711788"/>
      <w:bookmarkStart w:id="564" w:name="_Toc152042349"/>
      <w:bookmarkStart w:id="565" w:name="_Toc319407874"/>
      <w:bookmarkStart w:id="566" w:name="_Toc319408109"/>
      <w:bookmarkStart w:id="567" w:name="_Toc245036640"/>
      <w:r>
        <w:rPr>
          <w:rFonts w:hint="eastAsia" w:ascii="仿宋" w:hAnsi="仿宋" w:eastAsia="仿宋" w:cs="仿宋"/>
          <w:color w:val="auto"/>
          <w:sz w:val="21"/>
          <w:szCs w:val="21"/>
        </w:rPr>
        <w:t>(1)投标截止时间止，投标人少于2个或经评标委员会评标后否决所有投标的；</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(2)评标委员会否决不合格投标后因有效标不足2个使得投标明显缺乏竞争，评标委员会否决全部投标的；</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(3)同意延长投标有效期的投标人少于3个的；</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(4)中标候选人未与招标人签订合同的。</w:t>
      </w:r>
    </w:p>
    <w:p>
      <w:pPr>
        <w:pStyle w:val="42"/>
        <w:numPr>
          <w:ilvl w:val="1"/>
          <w:numId w:val="0"/>
        </w:numPr>
        <w:spacing w:line="500" w:lineRule="exact"/>
        <w:outlineLvl w:val="9"/>
        <w:rPr>
          <w:rFonts w:ascii="仿宋" w:hAnsi="仿宋" w:eastAsia="仿宋" w:cs="仿宋"/>
          <w:b/>
          <w:sz w:val="21"/>
          <w:szCs w:val="21"/>
        </w:rPr>
      </w:pPr>
      <w:bookmarkStart w:id="568" w:name="_Toc429596647"/>
      <w:bookmarkStart w:id="569" w:name="_Toc32405"/>
      <w:bookmarkStart w:id="570" w:name="_Toc429513002"/>
      <w:bookmarkStart w:id="571" w:name="_Toc491857292"/>
      <w:bookmarkStart w:id="572" w:name="_Toc429494419"/>
      <w:bookmarkStart w:id="573" w:name="_Toc429495012"/>
      <w:bookmarkStart w:id="574" w:name="_Toc23686"/>
      <w:r>
        <w:rPr>
          <w:rFonts w:hint="eastAsia" w:ascii="仿宋" w:hAnsi="仿宋" w:eastAsia="仿宋" w:cs="仿宋"/>
          <w:b/>
          <w:sz w:val="21"/>
          <w:szCs w:val="21"/>
        </w:rPr>
        <w:t>8.2 不再</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Fonts w:hint="eastAsia" w:ascii="仿宋" w:hAnsi="仿宋" w:eastAsia="仿宋" w:cs="仿宋"/>
          <w:b/>
          <w:sz w:val="21"/>
          <w:szCs w:val="21"/>
        </w:rPr>
        <w:t>招标</w:t>
      </w:r>
      <w:bookmarkEnd w:id="574"/>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重新招标后投标人仍少于2个的，经原审批或核准部门批准后不再进行招标。</w:t>
      </w:r>
    </w:p>
    <w:p>
      <w:pPr>
        <w:pStyle w:val="41"/>
        <w:tabs>
          <w:tab w:val="left" w:pos="852"/>
        </w:tabs>
        <w:spacing w:before="0" w:line="500" w:lineRule="exact"/>
        <w:rPr>
          <w:rFonts w:ascii="仿宋" w:hAnsi="仿宋" w:eastAsia="仿宋" w:cs="仿宋"/>
          <w:b/>
          <w:sz w:val="21"/>
          <w:szCs w:val="21"/>
        </w:rPr>
      </w:pPr>
      <w:bookmarkStart w:id="575" w:name="_Toc14"/>
      <w:bookmarkStart w:id="576" w:name="_Toc144974542"/>
      <w:bookmarkStart w:id="577" w:name="_Toc392345953"/>
      <w:bookmarkStart w:id="578" w:name="_Toc152042350"/>
      <w:bookmarkStart w:id="579" w:name="_Toc152045574"/>
      <w:bookmarkStart w:id="580" w:name="_Toc429513003"/>
      <w:bookmarkStart w:id="581" w:name="_Toc323711789"/>
      <w:bookmarkStart w:id="582" w:name="_Toc245036641"/>
      <w:bookmarkStart w:id="583" w:name="_Toc24790"/>
      <w:r>
        <w:rPr>
          <w:rFonts w:hint="eastAsia" w:ascii="仿宋" w:hAnsi="仿宋" w:eastAsia="仿宋" w:cs="仿宋"/>
          <w:b/>
          <w:sz w:val="21"/>
          <w:szCs w:val="21"/>
        </w:rPr>
        <w:t>9. 纪律和监督</w:t>
      </w:r>
      <w:bookmarkEnd w:id="575"/>
      <w:bookmarkEnd w:id="576"/>
      <w:bookmarkEnd w:id="577"/>
      <w:bookmarkEnd w:id="578"/>
      <w:bookmarkEnd w:id="579"/>
      <w:bookmarkEnd w:id="580"/>
      <w:bookmarkEnd w:id="581"/>
      <w:bookmarkEnd w:id="582"/>
      <w:bookmarkEnd w:id="583"/>
    </w:p>
    <w:p>
      <w:pPr>
        <w:pStyle w:val="42"/>
        <w:numPr>
          <w:ilvl w:val="1"/>
          <w:numId w:val="0"/>
        </w:numPr>
        <w:spacing w:line="500" w:lineRule="exact"/>
        <w:outlineLvl w:val="9"/>
        <w:rPr>
          <w:rFonts w:ascii="仿宋" w:hAnsi="仿宋" w:eastAsia="仿宋" w:cs="仿宋"/>
          <w:b/>
          <w:sz w:val="21"/>
          <w:szCs w:val="21"/>
        </w:rPr>
      </w:pPr>
      <w:bookmarkStart w:id="584" w:name="_Toc152045575"/>
      <w:bookmarkStart w:id="585" w:name="_Toc245036642"/>
      <w:bookmarkStart w:id="586" w:name="_Toc429596649"/>
      <w:bookmarkStart w:id="587" w:name="_Toc322615438"/>
      <w:bookmarkStart w:id="588" w:name="_Toc319407876"/>
      <w:bookmarkStart w:id="589" w:name="_Toc144974543"/>
      <w:bookmarkStart w:id="590" w:name="_Toc429495014"/>
      <w:bookmarkStart w:id="591" w:name="_Toc491857294"/>
      <w:bookmarkStart w:id="592" w:name="_Toc152042351"/>
      <w:bookmarkStart w:id="593" w:name="_Toc392345954"/>
      <w:bookmarkStart w:id="594" w:name="_Toc429494421"/>
      <w:bookmarkStart w:id="595" w:name="_Toc19948"/>
      <w:bookmarkStart w:id="596" w:name="_Toc28005"/>
      <w:bookmarkStart w:id="597" w:name="_Toc319408111"/>
      <w:bookmarkStart w:id="598" w:name="_Toc323711790"/>
      <w:bookmarkStart w:id="599" w:name="_Toc429513004"/>
      <w:r>
        <w:rPr>
          <w:rFonts w:hint="eastAsia" w:ascii="仿宋" w:hAnsi="仿宋" w:eastAsia="仿宋" w:cs="仿宋"/>
          <w:b/>
          <w:sz w:val="21"/>
          <w:szCs w:val="21"/>
        </w:rPr>
        <w:t>9.1 对招标人的纪律要求</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招标人不得泄漏招标投标活动中应当保密的情况和资料，不得与投标人串通损害国家利益、社会公共利益或者他人合法权益。</w:t>
      </w:r>
    </w:p>
    <w:p>
      <w:pPr>
        <w:pStyle w:val="42"/>
        <w:numPr>
          <w:ilvl w:val="1"/>
          <w:numId w:val="0"/>
        </w:numPr>
        <w:spacing w:line="500" w:lineRule="exact"/>
        <w:outlineLvl w:val="9"/>
        <w:rPr>
          <w:rFonts w:ascii="仿宋" w:hAnsi="仿宋" w:eastAsia="仿宋" w:cs="仿宋"/>
          <w:b/>
          <w:sz w:val="21"/>
          <w:szCs w:val="21"/>
        </w:rPr>
      </w:pPr>
      <w:bookmarkStart w:id="600" w:name="_Toc491857295"/>
      <w:bookmarkStart w:id="601" w:name="_Toc152045576"/>
      <w:bookmarkStart w:id="602" w:name="_Toc319408112"/>
      <w:bookmarkStart w:id="603" w:name="_Toc319407877"/>
      <w:bookmarkStart w:id="604" w:name="_Toc152042352"/>
      <w:bookmarkStart w:id="605" w:name="_Toc392345955"/>
      <w:bookmarkStart w:id="606" w:name="_Toc429495015"/>
      <w:bookmarkStart w:id="607" w:name="_Toc429596650"/>
      <w:bookmarkStart w:id="608" w:name="_Toc245036643"/>
      <w:bookmarkStart w:id="609" w:name="_Toc323711791"/>
      <w:bookmarkStart w:id="610" w:name="_Toc144974544"/>
      <w:bookmarkStart w:id="611" w:name="_Toc32119"/>
      <w:bookmarkStart w:id="612" w:name="_Toc429513005"/>
      <w:bookmarkStart w:id="613" w:name="_Toc322615439"/>
      <w:bookmarkStart w:id="614" w:name="_Toc429494422"/>
      <w:bookmarkStart w:id="615" w:name="_Toc9563"/>
      <w:r>
        <w:rPr>
          <w:rFonts w:hint="eastAsia" w:ascii="仿宋" w:hAnsi="仿宋" w:eastAsia="仿宋" w:cs="仿宋"/>
          <w:b/>
          <w:sz w:val="21"/>
          <w:szCs w:val="21"/>
        </w:rPr>
        <w:t>9.2 对投标人的纪律要求</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2"/>
        <w:numPr>
          <w:ilvl w:val="1"/>
          <w:numId w:val="0"/>
        </w:numPr>
        <w:spacing w:line="500" w:lineRule="exact"/>
        <w:outlineLvl w:val="9"/>
        <w:rPr>
          <w:rFonts w:ascii="仿宋" w:hAnsi="仿宋" w:eastAsia="仿宋" w:cs="仿宋"/>
          <w:b/>
          <w:sz w:val="21"/>
          <w:szCs w:val="21"/>
        </w:rPr>
      </w:pPr>
      <w:bookmarkStart w:id="616" w:name="_Toc319408113"/>
      <w:bookmarkStart w:id="617" w:name="_Toc152045577"/>
      <w:bookmarkStart w:id="618" w:name="_Toc429513006"/>
      <w:bookmarkStart w:id="619" w:name="_Toc392345956"/>
      <w:bookmarkStart w:id="620" w:name="_Toc319407878"/>
      <w:bookmarkStart w:id="621" w:name="_Toc245036644"/>
      <w:bookmarkStart w:id="622" w:name="_Toc23718"/>
      <w:bookmarkStart w:id="623" w:name="_Toc31986"/>
      <w:bookmarkStart w:id="624" w:name="_Toc429596651"/>
      <w:bookmarkStart w:id="625" w:name="_Toc429494423"/>
      <w:bookmarkStart w:id="626" w:name="_Toc152042353"/>
      <w:bookmarkStart w:id="627" w:name="_Toc323711792"/>
      <w:bookmarkStart w:id="628" w:name="_Toc491857296"/>
      <w:bookmarkStart w:id="629" w:name="_Toc322615440"/>
      <w:bookmarkStart w:id="630" w:name="_Toc144974545"/>
      <w:bookmarkStart w:id="631" w:name="_Toc429495016"/>
      <w:r>
        <w:rPr>
          <w:rFonts w:hint="eastAsia" w:ascii="仿宋" w:hAnsi="仿宋" w:eastAsia="仿宋" w:cs="仿宋"/>
          <w:b/>
          <w:sz w:val="21"/>
          <w:szCs w:val="21"/>
        </w:rPr>
        <w:t>9.3 对评标委员会成员的纪律要求</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委员会成员不得收受他人的财物或者其他好处，不得向他人透漏对投标文件的评标和比较、中标候选人的推荐情况以及评标有关的其他情况。在评标活动中，评标委员会成员不得擅离职守，影响评标程序正常进行，不得使用第三章“评标办法”没有规定的评标因素和标准进行评标。</w:t>
      </w:r>
    </w:p>
    <w:p>
      <w:pPr>
        <w:pStyle w:val="42"/>
        <w:numPr>
          <w:ilvl w:val="1"/>
          <w:numId w:val="0"/>
        </w:numPr>
        <w:spacing w:line="500" w:lineRule="exact"/>
        <w:outlineLvl w:val="9"/>
        <w:rPr>
          <w:rFonts w:ascii="仿宋" w:hAnsi="仿宋" w:eastAsia="仿宋" w:cs="仿宋"/>
          <w:b/>
          <w:sz w:val="21"/>
          <w:szCs w:val="21"/>
        </w:rPr>
      </w:pPr>
      <w:bookmarkStart w:id="632" w:name="_Toc429494424"/>
      <w:bookmarkStart w:id="633" w:name="_Toc322615441"/>
      <w:bookmarkStart w:id="634" w:name="_Toc323711793"/>
      <w:bookmarkStart w:id="635" w:name="_Toc392345957"/>
      <w:bookmarkStart w:id="636" w:name="_Toc15345"/>
      <w:bookmarkStart w:id="637" w:name="_Toc15517"/>
      <w:bookmarkStart w:id="638" w:name="_Toc319407879"/>
      <w:bookmarkStart w:id="639" w:name="_Toc491857297"/>
      <w:bookmarkStart w:id="640" w:name="_Toc429513007"/>
      <w:bookmarkStart w:id="641" w:name="_Toc152045578"/>
      <w:bookmarkStart w:id="642" w:name="_Toc152042354"/>
      <w:bookmarkStart w:id="643" w:name="_Toc245036645"/>
      <w:bookmarkStart w:id="644" w:name="_Toc429495017"/>
      <w:bookmarkStart w:id="645" w:name="_Toc319408114"/>
      <w:bookmarkStart w:id="646" w:name="_Toc429596652"/>
      <w:bookmarkStart w:id="647" w:name="_Toc144974546"/>
      <w:r>
        <w:rPr>
          <w:rFonts w:hint="eastAsia" w:ascii="仿宋" w:hAnsi="仿宋" w:eastAsia="仿宋" w:cs="仿宋"/>
          <w:b/>
          <w:sz w:val="21"/>
          <w:szCs w:val="21"/>
        </w:rPr>
        <w:t>9.4 对与评标活动有关的工作人员的纪律要求</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43"/>
        <w:spacing w:line="500" w:lineRule="exact"/>
        <w:ind w:firstLine="425"/>
        <w:jc w:val="both"/>
        <w:rPr>
          <w:rFonts w:ascii="仿宋" w:hAnsi="仿宋" w:eastAsia="仿宋" w:cs="仿宋"/>
          <w:color w:val="auto"/>
          <w:sz w:val="21"/>
          <w:szCs w:val="21"/>
        </w:rPr>
      </w:pPr>
      <w:bookmarkStart w:id="648" w:name="_Toc152042355"/>
      <w:r>
        <w:rPr>
          <w:rFonts w:hint="eastAsia" w:ascii="仿宋" w:hAnsi="仿宋" w:eastAsia="仿宋" w:cs="仿宋"/>
          <w:color w:val="auto"/>
          <w:sz w:val="21"/>
          <w:szCs w:val="21"/>
        </w:rPr>
        <w:t>与评标活动有关的工作人员不得收受他人的财物或者其他好处，不得向他人透漏对投标文件的评标和比较、中标候选人的推荐情况以及评标有关的其他情况。在评标活动中，与评标活动有关的工作人员不得擅离职守，影响评标程序正常进行。</w:t>
      </w:r>
      <w:bookmarkEnd w:id="648"/>
    </w:p>
    <w:p>
      <w:pPr>
        <w:pStyle w:val="42"/>
        <w:numPr>
          <w:ilvl w:val="1"/>
          <w:numId w:val="0"/>
        </w:numPr>
        <w:spacing w:line="500" w:lineRule="exact"/>
        <w:outlineLvl w:val="9"/>
        <w:rPr>
          <w:rFonts w:ascii="仿宋" w:hAnsi="仿宋" w:eastAsia="仿宋" w:cs="仿宋"/>
          <w:b/>
          <w:sz w:val="21"/>
          <w:szCs w:val="21"/>
        </w:rPr>
      </w:pPr>
      <w:bookmarkStart w:id="649" w:name="_Toc152042356"/>
      <w:bookmarkStart w:id="650" w:name="_Toc319407880"/>
      <w:bookmarkStart w:id="651" w:name="_Toc245036646"/>
      <w:bookmarkStart w:id="652" w:name="_Toc392345958"/>
      <w:bookmarkStart w:id="653" w:name="_Toc322615442"/>
      <w:bookmarkStart w:id="654" w:name="_Toc152045579"/>
      <w:bookmarkStart w:id="655" w:name="_Toc319408115"/>
      <w:bookmarkStart w:id="656" w:name="_Toc323711794"/>
      <w:bookmarkStart w:id="657" w:name="_Toc429494425"/>
      <w:bookmarkStart w:id="658" w:name="_Toc7097"/>
      <w:bookmarkStart w:id="659" w:name="_Toc5308"/>
      <w:bookmarkStart w:id="660" w:name="_Toc491857298"/>
      <w:bookmarkStart w:id="661" w:name="_Toc429495018"/>
      <w:bookmarkStart w:id="662" w:name="_Toc429513008"/>
      <w:bookmarkStart w:id="663" w:name="_Toc429596653"/>
      <w:r>
        <w:rPr>
          <w:rFonts w:hint="eastAsia" w:ascii="仿宋" w:hAnsi="仿宋" w:eastAsia="仿宋" w:cs="仿宋"/>
          <w:b/>
          <w:sz w:val="21"/>
          <w:szCs w:val="21"/>
        </w:rPr>
        <w:t>9.5</w:t>
      </w:r>
      <w:bookmarkEnd w:id="647"/>
      <w:bookmarkEnd w:id="649"/>
      <w:bookmarkEnd w:id="650"/>
      <w:bookmarkEnd w:id="651"/>
      <w:bookmarkEnd w:id="652"/>
      <w:bookmarkEnd w:id="653"/>
      <w:bookmarkEnd w:id="654"/>
      <w:bookmarkEnd w:id="655"/>
      <w:bookmarkEnd w:id="656"/>
      <w:bookmarkStart w:id="664" w:name="_Toc296602466"/>
      <w:bookmarkStart w:id="665" w:name="_Toc246996966"/>
      <w:bookmarkStart w:id="666" w:name="_Toc246996223"/>
      <w:bookmarkStart w:id="667" w:name="_Toc179632597"/>
      <w:bookmarkStart w:id="668" w:name="_Toc247085737"/>
      <w:bookmarkStart w:id="669" w:name="_Toc357955317"/>
      <w:bookmarkStart w:id="670" w:name="_Toc152045580"/>
      <w:bookmarkStart w:id="671" w:name="_Toc245036647"/>
      <w:bookmarkStart w:id="672" w:name="_Toc152042357"/>
      <w:bookmarkStart w:id="673" w:name="_Toc144974547"/>
      <w:bookmarkStart w:id="674" w:name="_Toc323711795"/>
      <w:bookmarkStart w:id="675" w:name="_Toc392345959"/>
      <w:r>
        <w:rPr>
          <w:rFonts w:hint="eastAsia" w:ascii="仿宋" w:hAnsi="仿宋" w:eastAsia="仿宋" w:cs="仿宋"/>
          <w:b/>
          <w:sz w:val="21"/>
          <w:szCs w:val="21"/>
        </w:rPr>
        <w:t>投诉</w:t>
      </w:r>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42"/>
        <w:numPr>
          <w:ilvl w:val="1"/>
          <w:numId w:val="0"/>
        </w:numPr>
        <w:tabs>
          <w:tab w:val="clear" w:pos="718"/>
        </w:tabs>
        <w:spacing w:line="500" w:lineRule="exact"/>
        <w:ind w:firstLine="420" w:firstLineChars="200"/>
        <w:outlineLvl w:val="9"/>
        <w:rPr>
          <w:rFonts w:ascii="仿宋" w:hAnsi="仿宋" w:eastAsia="仿宋" w:cs="仿宋"/>
          <w:color w:val="000000"/>
          <w:sz w:val="21"/>
          <w:szCs w:val="21"/>
        </w:rPr>
      </w:pPr>
      <w:bookmarkStart w:id="676" w:name="_Toc21445"/>
      <w:bookmarkStart w:id="677" w:name="_Toc429513009"/>
      <w:bookmarkStart w:id="678" w:name="_Toc23227"/>
      <w:r>
        <w:rPr>
          <w:rFonts w:hint="eastAsia" w:ascii="仿宋" w:hAnsi="仿宋" w:eastAsia="仿宋" w:cs="仿宋"/>
          <w:color w:val="000000"/>
          <w:sz w:val="21"/>
          <w:szCs w:val="21"/>
        </w:rPr>
        <w:t>投标人和其他利害关系人认为本次招标活动违反法律、法规和规章规定的，有权按规定程序向招标人的纪检或分管招投标监督部门投诉。</w:t>
      </w:r>
      <w:bookmarkEnd w:id="676"/>
    </w:p>
    <w:p>
      <w:pPr>
        <w:pStyle w:val="42"/>
        <w:numPr>
          <w:ilvl w:val="1"/>
          <w:numId w:val="0"/>
        </w:numPr>
        <w:spacing w:line="500" w:lineRule="exact"/>
        <w:outlineLvl w:val="9"/>
        <w:rPr>
          <w:rFonts w:ascii="仿宋" w:hAnsi="仿宋" w:eastAsia="仿宋" w:cs="仿宋"/>
          <w:b/>
          <w:sz w:val="21"/>
          <w:szCs w:val="21"/>
        </w:rPr>
      </w:pPr>
      <w:bookmarkStart w:id="679" w:name="_Toc29212"/>
      <w:r>
        <w:rPr>
          <w:rFonts w:hint="eastAsia" w:ascii="仿宋" w:hAnsi="仿宋" w:eastAsia="仿宋" w:cs="仿宋"/>
          <w:b/>
          <w:sz w:val="21"/>
          <w:szCs w:val="21"/>
        </w:rPr>
        <w:t xml:space="preserve">10. </w:t>
      </w:r>
      <w:bookmarkEnd w:id="670"/>
      <w:bookmarkEnd w:id="671"/>
      <w:bookmarkEnd w:id="672"/>
      <w:bookmarkEnd w:id="673"/>
      <w:bookmarkEnd w:id="674"/>
      <w:bookmarkEnd w:id="675"/>
      <w:r>
        <w:rPr>
          <w:rFonts w:hint="eastAsia" w:ascii="仿宋" w:hAnsi="仿宋" w:eastAsia="仿宋" w:cs="仿宋"/>
          <w:b/>
          <w:sz w:val="21"/>
          <w:szCs w:val="21"/>
        </w:rPr>
        <w:t>需要补充的其他内容</w:t>
      </w:r>
      <w:bookmarkEnd w:id="677"/>
      <w:bookmarkEnd w:id="678"/>
      <w:bookmarkEnd w:id="679"/>
    </w:p>
    <w:p>
      <w:pPr>
        <w:pStyle w:val="43"/>
        <w:spacing w:line="500" w:lineRule="exact"/>
        <w:ind w:firstLine="420" w:firstLineChars="200"/>
        <w:jc w:val="both"/>
        <w:rPr>
          <w:rFonts w:ascii="仿宋" w:hAnsi="仿宋" w:eastAsia="仿宋" w:cs="仿宋"/>
          <w:color w:val="auto"/>
          <w:sz w:val="21"/>
          <w:szCs w:val="21"/>
        </w:rPr>
      </w:pPr>
      <w:bookmarkStart w:id="680" w:name="_Toc422401861"/>
      <w:bookmarkStart w:id="681" w:name="_Toc425154149"/>
      <w:bookmarkStart w:id="682" w:name="_Toc419364022"/>
      <w:r>
        <w:rPr>
          <w:rFonts w:hint="eastAsia" w:ascii="仿宋" w:hAnsi="仿宋" w:eastAsia="仿宋" w:cs="仿宋"/>
          <w:color w:val="auto"/>
          <w:sz w:val="21"/>
          <w:szCs w:val="21"/>
        </w:rPr>
        <w:t>10.1需要补充的其他内容详见投标人须知前附表。</w:t>
      </w:r>
      <w:bookmarkEnd w:id="680"/>
      <w:bookmarkEnd w:id="681"/>
      <w:bookmarkEnd w:id="682"/>
    </w:p>
    <w:p>
      <w:pPr>
        <w:pStyle w:val="43"/>
        <w:spacing w:line="500" w:lineRule="exact"/>
        <w:ind w:firstLine="420" w:firstLineChars="200"/>
        <w:jc w:val="both"/>
        <w:rPr>
          <w:rFonts w:ascii="仿宋" w:hAnsi="仿宋" w:eastAsia="仿宋" w:cs="仿宋"/>
          <w:color w:val="FF0000"/>
          <w:sz w:val="21"/>
          <w:szCs w:val="21"/>
        </w:rPr>
      </w:pPr>
      <w:r>
        <w:rPr>
          <w:rFonts w:hint="eastAsia" w:ascii="仿宋" w:hAnsi="仿宋" w:eastAsia="仿宋" w:cs="仿宋"/>
          <w:color w:val="FF0000"/>
          <w:sz w:val="21"/>
          <w:szCs w:val="21"/>
        </w:rPr>
        <w:t>10.2本项目代理费10000元由中标单位在领取中标通知书之前一次性付清</w:t>
      </w:r>
    </w:p>
    <w:p>
      <w:pPr>
        <w:pStyle w:val="43"/>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10.3其他事项请参照答疑。</w:t>
      </w:r>
    </w:p>
    <w:p>
      <w:pPr>
        <w:pStyle w:val="4"/>
        <w:snapToGrid w:val="0"/>
        <w:spacing w:before="100" w:after="100" w:line="500" w:lineRule="exact"/>
        <w:jc w:val="center"/>
        <w:rPr>
          <w:rFonts w:ascii="仿宋" w:hAnsi="仿宋" w:eastAsia="仿宋" w:cs="仿宋"/>
          <w:sz w:val="32"/>
          <w:szCs w:val="32"/>
        </w:rPr>
      </w:pPr>
      <w:r>
        <w:rPr>
          <w:rFonts w:hint="eastAsia" w:ascii="仿宋" w:hAnsi="仿宋" w:eastAsia="仿宋" w:cs="仿宋"/>
          <w:sz w:val="21"/>
          <w:szCs w:val="21"/>
        </w:rPr>
        <w:br w:type="page"/>
      </w:r>
      <w:bookmarkStart w:id="683" w:name="_Toc7603"/>
      <w:bookmarkStart w:id="684" w:name="_Toc9380"/>
      <w:bookmarkStart w:id="685" w:name="_Toc426809739"/>
      <w:r>
        <w:rPr>
          <w:rFonts w:hint="eastAsia" w:ascii="仿宋" w:hAnsi="仿宋" w:eastAsia="仿宋" w:cs="仿宋"/>
          <w:sz w:val="32"/>
          <w:szCs w:val="32"/>
        </w:rPr>
        <w:t>第三章 评标办法</w:t>
      </w:r>
      <w:bookmarkEnd w:id="683"/>
      <w:bookmarkEnd w:id="684"/>
      <w:bookmarkEnd w:id="685"/>
    </w:p>
    <w:p>
      <w:pPr>
        <w:pStyle w:val="43"/>
        <w:spacing w:line="500" w:lineRule="exact"/>
        <w:ind w:firstLine="371" w:firstLineChars="177"/>
        <w:jc w:val="both"/>
        <w:rPr>
          <w:rFonts w:ascii="仿宋" w:hAnsi="仿宋" w:eastAsia="仿宋" w:cs="仿宋"/>
          <w:color w:val="auto"/>
          <w:sz w:val="21"/>
          <w:szCs w:val="21"/>
        </w:rPr>
      </w:pPr>
      <w:r>
        <w:rPr>
          <w:rFonts w:hint="eastAsia" w:ascii="仿宋" w:hAnsi="仿宋" w:eastAsia="仿宋" w:cs="仿宋"/>
          <w:color w:val="auto"/>
          <w:sz w:val="21"/>
          <w:szCs w:val="21"/>
        </w:rPr>
        <w:t>为规范招标的评标工作，根据</w:t>
      </w:r>
      <w:r>
        <w:rPr>
          <w:rFonts w:hint="eastAsia" w:ascii="仿宋" w:hAnsi="仿宋" w:eastAsia="仿宋" w:cs="仿宋"/>
          <w:sz w:val="21"/>
          <w:szCs w:val="21"/>
        </w:rPr>
        <w:t>《中华人民共和国招标投标法》</w:t>
      </w:r>
      <w:r>
        <w:rPr>
          <w:rFonts w:hint="eastAsia" w:ascii="仿宋" w:hAnsi="仿宋" w:eastAsia="仿宋" w:cs="仿宋"/>
          <w:color w:val="auto"/>
          <w:sz w:val="21"/>
          <w:szCs w:val="21"/>
        </w:rPr>
        <w:t>等有关的法律、法规和规章制度规定，制定本评标办法。</w:t>
      </w:r>
    </w:p>
    <w:p>
      <w:pPr>
        <w:pStyle w:val="43"/>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1、评标原则 </w:t>
      </w:r>
    </w:p>
    <w:p>
      <w:pPr>
        <w:pStyle w:val="43"/>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评标应遵循公平、公正、科学、择优的原则。 </w:t>
      </w:r>
    </w:p>
    <w:p>
      <w:pPr>
        <w:pStyle w:val="43"/>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2、评标委员会的组建 </w:t>
      </w:r>
    </w:p>
    <w:p>
      <w:pPr>
        <w:pStyle w:val="43"/>
        <w:spacing w:line="500" w:lineRule="exact"/>
        <w:ind w:firstLine="371" w:firstLineChars="177"/>
        <w:jc w:val="both"/>
        <w:rPr>
          <w:rFonts w:ascii="仿宋" w:hAnsi="仿宋" w:eastAsia="仿宋" w:cs="仿宋"/>
          <w:color w:val="auto"/>
          <w:sz w:val="21"/>
          <w:szCs w:val="21"/>
        </w:rPr>
      </w:pPr>
      <w:r>
        <w:rPr>
          <w:rFonts w:hint="eastAsia" w:ascii="仿宋" w:hAnsi="仿宋" w:eastAsia="仿宋" w:cs="仿宋"/>
          <w:color w:val="auto"/>
          <w:sz w:val="21"/>
          <w:szCs w:val="21"/>
        </w:rPr>
        <w:t xml:space="preserve">评标委员会由招标人的代表和有关技术、经济等方面的专家组成，成员人数为五人及以上单数，其中技术、经济等方面的专家不得少于成员总数的三分之二。招标人代表不得担任委员会负责人。除招标人代表外其余成员在综合性评标专家库中随机抽取。 </w:t>
      </w:r>
    </w:p>
    <w:p>
      <w:pPr>
        <w:pStyle w:val="43"/>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3、评标的一般程序 </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（1）熟悉招标文件和评标办法；</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（2）投标文件的技术符合性审查；</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（3）投标文件的资信评标；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（4）投标文件的服务方案评标；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（5）投标文件的商务标符合性审查；</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（6）投标文件的商务标评标；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（7）必要时对投标文件中的问题进行询标；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（8）投标文件的排序；</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（9）完成评标报告，推荐中标候选人。</w:t>
      </w:r>
    </w:p>
    <w:p>
      <w:pPr>
        <w:pStyle w:val="43"/>
        <w:spacing w:line="500" w:lineRule="exact"/>
        <w:ind w:firstLine="425"/>
        <w:jc w:val="both"/>
        <w:rPr>
          <w:rFonts w:ascii="仿宋" w:hAnsi="仿宋" w:eastAsia="仿宋" w:cs="仿宋"/>
          <w:b/>
          <w:color w:val="auto"/>
          <w:sz w:val="21"/>
          <w:szCs w:val="21"/>
        </w:rPr>
      </w:pPr>
      <w:r>
        <w:rPr>
          <w:rFonts w:hint="eastAsia" w:ascii="仿宋" w:hAnsi="仿宋" w:eastAsia="仿宋" w:cs="仿宋"/>
          <w:b/>
          <w:color w:val="auto"/>
          <w:sz w:val="21"/>
          <w:szCs w:val="21"/>
        </w:rPr>
        <w:t>4、投标文件的资格审查</w:t>
      </w:r>
    </w:p>
    <w:p>
      <w:pPr>
        <w:pStyle w:val="16"/>
        <w:adjustRightInd w:val="0"/>
        <w:spacing w:line="500" w:lineRule="exact"/>
        <w:ind w:firstLine="422" w:firstLineChars="200"/>
        <w:rPr>
          <w:rFonts w:ascii="仿宋" w:hAnsi="仿宋" w:eastAsia="仿宋" w:cs="仿宋"/>
          <w:b/>
          <w:bCs/>
        </w:rPr>
      </w:pPr>
      <w:r>
        <w:rPr>
          <w:rFonts w:hint="eastAsia" w:ascii="仿宋" w:hAnsi="仿宋" w:eastAsia="仿宋" w:cs="仿宋"/>
          <w:b/>
          <w:bCs/>
        </w:rPr>
        <w:t>4.1资格文件的符合性审查</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评标委员会应依照招标文件的要求和规定，首先对投标人的资格文件进行符合性审查。投标人不得通过补充、修改或撤消投标文件中的内容使其成为实质性响应的投标。投标人在投标截止以后不得提交任何资料作为评标依据。如投标文件不符合有关规定的，或实质上不响应招标文件要求的，并存在以下情况之一的，经评标委员会审核确认，作为技术标符合性审查未通过而予以废除，不再进行后续的评标。</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（1）投标人的投标资格不满足国家有关规定或招标文件载明的投标资格条件的；</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（2）投标人未按招标文件要求加盖单位印章或投标人的法定代表人（或其委托代理人）未按招标文件要求签字或盖章的；</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（3）不响应招标文件规定的实质性要求；</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（4）投标人不以自己的名义或未按招标文件要求提供投标保证金或提供的投标保证金有缺陷而不能接受的；</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 xml:space="preserve">（5）投标人未按招标文件要求提供资格审查资料齐全的； </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（6）投标文件未按规定的格式填写，内容不全或关键字迹模糊、无法辨认的；</w:t>
      </w:r>
    </w:p>
    <w:p>
      <w:pPr>
        <w:pStyle w:val="43"/>
        <w:spacing w:line="500" w:lineRule="exact"/>
        <w:ind w:firstLine="540"/>
        <w:jc w:val="both"/>
        <w:rPr>
          <w:rFonts w:ascii="仿宋" w:hAnsi="仿宋" w:eastAsia="仿宋" w:cs="仿宋"/>
          <w:b/>
          <w:bCs/>
          <w:color w:val="auto"/>
          <w:sz w:val="21"/>
          <w:szCs w:val="21"/>
        </w:rPr>
      </w:pPr>
      <w:r>
        <w:rPr>
          <w:rFonts w:hint="eastAsia" w:ascii="仿宋" w:hAnsi="仿宋" w:eastAsia="仿宋" w:cs="仿宋"/>
          <w:color w:val="auto"/>
          <w:sz w:val="21"/>
          <w:szCs w:val="21"/>
        </w:rPr>
        <w:t>（7）不同投标人使用同一台电脑制作投标文件；</w:t>
      </w:r>
    </w:p>
    <w:p>
      <w:pPr>
        <w:pStyle w:val="43"/>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（8）法律、法规、规章规定的其它无效投标的。</w:t>
      </w:r>
    </w:p>
    <w:p>
      <w:pPr>
        <w:pStyle w:val="16"/>
        <w:adjustRightInd w:val="0"/>
        <w:snapToGrid w:val="0"/>
        <w:spacing w:line="500" w:lineRule="exact"/>
        <w:jc w:val="left"/>
        <w:rPr>
          <w:rFonts w:ascii="仿宋" w:hAnsi="仿宋" w:eastAsia="仿宋" w:cs="仿宋"/>
          <w:b/>
          <w:bCs/>
          <w:sz w:val="24"/>
          <w:szCs w:val="24"/>
        </w:rPr>
      </w:pPr>
      <w:r>
        <w:rPr>
          <w:rFonts w:hint="eastAsia" w:ascii="仿宋" w:hAnsi="仿宋" w:eastAsia="仿宋" w:cs="仿宋"/>
          <w:b/>
          <w:bCs/>
          <w:sz w:val="24"/>
          <w:szCs w:val="24"/>
        </w:rPr>
        <w:t>资格文件符合性审查不合格的投标文件为无效标，不再进行后续的评标。</w:t>
      </w:r>
    </w:p>
    <w:p>
      <w:pPr>
        <w:pStyle w:val="16"/>
        <w:spacing w:line="500" w:lineRule="exact"/>
        <w:ind w:firstLine="482" w:firstLineChars="200"/>
        <w:rPr>
          <w:rFonts w:ascii="仿宋" w:hAnsi="仿宋" w:eastAsia="仿宋" w:cs="仿宋"/>
          <w:b/>
          <w:bCs/>
          <w:color w:val="000000"/>
          <w:sz w:val="24"/>
          <w:szCs w:val="28"/>
        </w:rPr>
      </w:pPr>
      <w:r>
        <w:rPr>
          <w:rFonts w:hint="eastAsia" w:ascii="仿宋" w:hAnsi="仿宋" w:eastAsia="仿宋" w:cs="仿宋"/>
          <w:b/>
          <w:bCs/>
          <w:color w:val="000000"/>
          <w:sz w:val="24"/>
          <w:szCs w:val="22"/>
        </w:rPr>
        <w:t>4.2</w:t>
      </w:r>
      <w:r>
        <w:rPr>
          <w:rFonts w:hint="eastAsia" w:ascii="仿宋" w:hAnsi="仿宋" w:eastAsia="仿宋" w:cs="仿宋"/>
          <w:b/>
          <w:bCs/>
          <w:color w:val="000000"/>
          <w:sz w:val="24"/>
          <w:szCs w:val="28"/>
        </w:rPr>
        <w:t>技术部分评定（80分）</w:t>
      </w:r>
    </w:p>
    <w:p>
      <w:pPr>
        <w:pStyle w:val="16"/>
        <w:spacing w:line="500" w:lineRule="exact"/>
        <w:rPr>
          <w:rFonts w:ascii="仿宋" w:hAnsi="仿宋" w:eastAsia="仿宋" w:cs="仿宋"/>
          <w:b/>
          <w:bCs/>
          <w:color w:val="000000"/>
          <w:szCs w:val="22"/>
        </w:rPr>
      </w:pPr>
      <w:r>
        <w:rPr>
          <w:rFonts w:hint="eastAsia" w:ascii="仿宋" w:hAnsi="仿宋" w:eastAsia="仿宋" w:cs="仿宋"/>
          <w:b/>
          <w:bCs/>
          <w:color w:val="000000"/>
          <w:szCs w:val="22"/>
        </w:rPr>
        <w:t>由评委根据投标人的投标文件予以评标，评标项目缺项时，该项得零分。投标人的技术最终得分为所有评委打分的平均值，保留两位小数，小数点后第三位“四舍五入”。</w:t>
      </w:r>
    </w:p>
    <w:tbl>
      <w:tblPr>
        <w:tblStyle w:val="25"/>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92"/>
        <w:gridCol w:w="673"/>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3" w:type="dxa"/>
            <w:gridSpan w:val="2"/>
            <w:vAlign w:val="center"/>
          </w:tcPr>
          <w:p>
            <w:pPr>
              <w:spacing w:line="312" w:lineRule="auto"/>
              <w:jc w:val="center"/>
              <w:textAlignment w:val="auto"/>
              <w:rPr>
                <w:rFonts w:ascii="仿宋" w:hAnsi="仿宋" w:eastAsia="仿宋" w:cs="仿宋"/>
                <w:b/>
                <w:sz w:val="21"/>
                <w:szCs w:val="21"/>
                <w:lang w:val="zh-CN"/>
              </w:rPr>
            </w:pPr>
            <w:r>
              <w:rPr>
                <w:rFonts w:hint="eastAsia" w:ascii="仿宋" w:hAnsi="仿宋" w:eastAsia="仿宋" w:cs="仿宋"/>
                <w:b/>
                <w:sz w:val="21"/>
                <w:szCs w:val="21"/>
                <w:lang w:val="zh-CN"/>
              </w:rPr>
              <w:t>评分因素</w:t>
            </w:r>
          </w:p>
        </w:tc>
        <w:tc>
          <w:tcPr>
            <w:tcW w:w="673" w:type="dxa"/>
            <w:vAlign w:val="center"/>
          </w:tcPr>
          <w:p>
            <w:pPr>
              <w:spacing w:line="312" w:lineRule="auto"/>
              <w:jc w:val="center"/>
              <w:textAlignment w:val="auto"/>
              <w:rPr>
                <w:rFonts w:ascii="仿宋" w:hAnsi="仿宋" w:eastAsia="仿宋" w:cs="仿宋"/>
                <w:b/>
                <w:sz w:val="21"/>
                <w:szCs w:val="21"/>
                <w:lang w:val="zh-CN"/>
              </w:rPr>
            </w:pPr>
            <w:r>
              <w:rPr>
                <w:rFonts w:hint="eastAsia" w:ascii="仿宋" w:hAnsi="仿宋" w:eastAsia="仿宋" w:cs="仿宋"/>
                <w:b/>
                <w:sz w:val="21"/>
                <w:szCs w:val="21"/>
                <w:lang w:val="zh-CN"/>
              </w:rPr>
              <w:t>分数</w:t>
            </w:r>
          </w:p>
        </w:tc>
        <w:tc>
          <w:tcPr>
            <w:tcW w:w="7593" w:type="dxa"/>
            <w:vAlign w:val="center"/>
          </w:tcPr>
          <w:p>
            <w:pPr>
              <w:spacing w:line="312" w:lineRule="auto"/>
              <w:jc w:val="center"/>
              <w:textAlignment w:val="auto"/>
              <w:rPr>
                <w:rFonts w:ascii="仿宋" w:hAnsi="仿宋" w:eastAsia="仿宋" w:cs="仿宋"/>
                <w:b/>
                <w:sz w:val="21"/>
                <w:szCs w:val="21"/>
                <w:lang w:val="zh-CN"/>
              </w:rPr>
            </w:pPr>
            <w:r>
              <w:rPr>
                <w:rFonts w:hint="eastAsia" w:ascii="仿宋" w:hAnsi="仿宋" w:eastAsia="仿宋" w:cs="仿宋"/>
                <w:b/>
                <w:sz w:val="21"/>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1" w:type="dxa"/>
            <w:vMerge w:val="restart"/>
            <w:vAlign w:val="center"/>
          </w:tcPr>
          <w:p>
            <w:pPr>
              <w:spacing w:line="312" w:lineRule="auto"/>
              <w:jc w:val="center"/>
              <w:textAlignment w:val="auto"/>
              <w:rPr>
                <w:rFonts w:ascii="仿宋" w:hAnsi="仿宋" w:eastAsia="仿宋" w:cs="仿宋"/>
                <w:snapToGrid w:val="0"/>
                <w:color w:val="000000"/>
                <w:kern w:val="32"/>
                <w:sz w:val="21"/>
                <w:szCs w:val="21"/>
                <w:lang w:val="zh-CN"/>
              </w:rPr>
            </w:pPr>
            <w:r>
              <w:rPr>
                <w:rFonts w:hint="eastAsia" w:ascii="仿宋" w:hAnsi="仿宋" w:eastAsia="仿宋" w:cs="仿宋"/>
                <w:snapToGrid w:val="0"/>
                <w:color w:val="000000"/>
                <w:kern w:val="32"/>
                <w:sz w:val="21"/>
                <w:szCs w:val="21"/>
                <w:lang w:val="zh-CN"/>
              </w:rPr>
              <w:t>信用</w:t>
            </w:r>
          </w:p>
          <w:p>
            <w:pPr>
              <w:spacing w:line="312" w:lineRule="auto"/>
              <w:jc w:val="center"/>
              <w:textAlignment w:val="auto"/>
              <w:rPr>
                <w:rFonts w:ascii="仿宋" w:hAnsi="仿宋" w:eastAsia="仿宋" w:cs="仿宋"/>
                <w:snapToGrid w:val="0"/>
                <w:color w:val="000000"/>
                <w:kern w:val="32"/>
                <w:sz w:val="21"/>
                <w:szCs w:val="21"/>
              </w:rPr>
            </w:pPr>
            <w:r>
              <w:rPr>
                <w:rFonts w:hint="eastAsia" w:ascii="仿宋" w:hAnsi="仿宋" w:eastAsia="仿宋" w:cs="仿宋"/>
                <w:snapToGrid w:val="0"/>
                <w:color w:val="000000"/>
                <w:kern w:val="32"/>
                <w:sz w:val="21"/>
                <w:szCs w:val="21"/>
                <w:lang w:val="zh-CN"/>
              </w:rPr>
              <w:t>等级</w:t>
            </w:r>
          </w:p>
        </w:tc>
        <w:tc>
          <w:tcPr>
            <w:tcW w:w="992" w:type="dxa"/>
            <w:vAlign w:val="center"/>
          </w:tcPr>
          <w:p>
            <w:pPr>
              <w:spacing w:line="312" w:lineRule="auto"/>
              <w:jc w:val="center"/>
              <w:rPr>
                <w:rFonts w:ascii="仿宋" w:hAnsi="仿宋" w:eastAsia="仿宋" w:cs="仿宋"/>
                <w:snapToGrid w:val="0"/>
                <w:color w:val="000000"/>
                <w:kern w:val="32"/>
                <w:sz w:val="21"/>
                <w:szCs w:val="21"/>
                <w:lang w:val="zh-CN"/>
              </w:rPr>
            </w:pPr>
            <w:r>
              <w:rPr>
                <w:rFonts w:hint="eastAsia" w:ascii="仿宋" w:hAnsi="仿宋" w:eastAsia="仿宋" w:cs="仿宋"/>
                <w:snapToGrid w:val="0"/>
                <w:color w:val="000000"/>
                <w:kern w:val="32"/>
                <w:sz w:val="21"/>
                <w:szCs w:val="21"/>
              </w:rPr>
              <w:t>物业行业信用</w:t>
            </w:r>
          </w:p>
        </w:tc>
        <w:tc>
          <w:tcPr>
            <w:tcW w:w="673" w:type="dxa"/>
            <w:vAlign w:val="center"/>
          </w:tcPr>
          <w:p>
            <w:pPr>
              <w:spacing w:line="312" w:lineRule="auto"/>
              <w:jc w:val="center"/>
              <w:textAlignment w:val="auto"/>
              <w:rPr>
                <w:rFonts w:ascii="仿宋" w:hAnsi="仿宋" w:eastAsia="仿宋" w:cs="仿宋"/>
                <w:snapToGrid w:val="0"/>
                <w:color w:val="000000"/>
                <w:kern w:val="32"/>
                <w:sz w:val="21"/>
                <w:szCs w:val="21"/>
              </w:rPr>
            </w:pPr>
            <w:r>
              <w:rPr>
                <w:rFonts w:hint="eastAsia" w:ascii="仿宋" w:hAnsi="仿宋" w:eastAsia="仿宋" w:cs="仿宋"/>
                <w:snapToGrid w:val="0"/>
                <w:color w:val="000000"/>
                <w:kern w:val="32"/>
                <w:sz w:val="21"/>
                <w:szCs w:val="21"/>
              </w:rPr>
              <w:t>6分</w:t>
            </w:r>
          </w:p>
        </w:tc>
        <w:tc>
          <w:tcPr>
            <w:tcW w:w="7593" w:type="dxa"/>
            <w:vAlign w:val="center"/>
          </w:tcPr>
          <w:p>
            <w:pPr>
              <w:pStyle w:val="43"/>
              <w:spacing w:line="312" w:lineRule="auto"/>
              <w:jc w:val="both"/>
              <w:rPr>
                <w:rFonts w:ascii="仿宋" w:hAnsi="仿宋" w:eastAsia="仿宋" w:cs="仿宋"/>
                <w:snapToGrid w:val="0"/>
                <w:kern w:val="32"/>
                <w:sz w:val="21"/>
                <w:szCs w:val="21"/>
              </w:rPr>
            </w:pPr>
            <w:r>
              <w:rPr>
                <w:rFonts w:hint="eastAsia" w:ascii="仿宋" w:hAnsi="仿宋" w:eastAsia="仿宋" w:cs="仿宋"/>
                <w:snapToGrid w:val="0"/>
                <w:kern w:val="32"/>
                <w:sz w:val="21"/>
                <w:szCs w:val="21"/>
              </w:rPr>
              <w:t>按照《浙江省物业服务企业信用信息管理办法》评定的信用等级（或其他省级物业主管部门评定的相应等级）评分，2022年度：获得AAA（最高级）的得6分，获AA的得4分，A的得2分，B及以下得1分（提供证明文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1" w:type="dxa"/>
            <w:vMerge w:val="continue"/>
            <w:vAlign w:val="center"/>
          </w:tcPr>
          <w:p>
            <w:pPr>
              <w:adjustRightInd/>
              <w:spacing w:line="312" w:lineRule="auto"/>
              <w:jc w:val="center"/>
              <w:textAlignment w:val="auto"/>
              <w:rPr>
                <w:rFonts w:ascii="仿宋" w:hAnsi="仿宋" w:eastAsia="仿宋" w:cs="仿宋"/>
                <w:bCs/>
                <w:sz w:val="21"/>
                <w:szCs w:val="21"/>
                <w:lang w:val="zh-CN"/>
              </w:rPr>
            </w:pPr>
          </w:p>
        </w:tc>
        <w:tc>
          <w:tcPr>
            <w:tcW w:w="992"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劳动保障信用</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napToGrid w:val="0"/>
                <w:color w:val="000000"/>
                <w:kern w:val="32"/>
                <w:sz w:val="21"/>
                <w:szCs w:val="21"/>
              </w:rPr>
              <w:t>分</w:t>
            </w:r>
          </w:p>
        </w:tc>
        <w:tc>
          <w:tcPr>
            <w:tcW w:w="7593" w:type="dxa"/>
          </w:tcPr>
          <w:p>
            <w:pPr>
              <w:pStyle w:val="43"/>
              <w:spacing w:line="312" w:lineRule="auto"/>
              <w:jc w:val="both"/>
              <w:rPr>
                <w:rFonts w:ascii="仿宋" w:hAnsi="仿宋" w:eastAsia="仿宋" w:cs="仿宋"/>
                <w:snapToGrid w:val="0"/>
                <w:kern w:val="32"/>
                <w:sz w:val="21"/>
                <w:szCs w:val="21"/>
              </w:rPr>
            </w:pPr>
            <w:r>
              <w:rPr>
                <w:rFonts w:hint="eastAsia" w:ascii="仿宋" w:hAnsi="仿宋" w:eastAsia="仿宋" w:cs="仿宋"/>
                <w:snapToGrid w:val="0"/>
                <w:kern w:val="32"/>
                <w:sz w:val="21"/>
                <w:szCs w:val="21"/>
              </w:rPr>
              <w:t>由人力资源社会保障部门评定的企业劳动保障守法诚信等级，2022年度：获得A 级得4分，B级得3分，C级得2分（提供相应证明材料加盖公章等）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633" w:type="dxa"/>
            <w:gridSpan w:val="2"/>
            <w:vAlign w:val="center"/>
          </w:tcPr>
          <w:p>
            <w:pPr>
              <w:adjustRightInd/>
              <w:spacing w:line="312" w:lineRule="auto"/>
              <w:jc w:val="center"/>
              <w:textAlignment w:val="auto"/>
              <w:rPr>
                <w:rFonts w:ascii="仿宋" w:hAnsi="仿宋" w:eastAsia="仿宋" w:cs="仿宋"/>
                <w:bCs/>
                <w:sz w:val="21"/>
                <w:szCs w:val="21"/>
              </w:rPr>
            </w:pPr>
            <w:r>
              <w:rPr>
                <w:rFonts w:hint="eastAsia" w:ascii="仿宋" w:hAnsi="仿宋" w:eastAsia="仿宋" w:cs="仿宋"/>
                <w:bCs/>
                <w:snapToGrid w:val="0"/>
                <w:kern w:val="32"/>
                <w:sz w:val="21"/>
                <w:szCs w:val="21"/>
              </w:rPr>
              <w:t>项目经理资信</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napToGrid w:val="0"/>
                <w:color w:val="000000"/>
                <w:kern w:val="32"/>
                <w:sz w:val="21"/>
                <w:szCs w:val="21"/>
              </w:rPr>
              <w:t>分</w:t>
            </w:r>
          </w:p>
        </w:tc>
        <w:tc>
          <w:tcPr>
            <w:tcW w:w="7593" w:type="dxa"/>
            <w:vAlign w:val="center"/>
          </w:tcPr>
          <w:p>
            <w:pPr>
              <w:adjustRightInd/>
              <w:spacing w:line="312" w:lineRule="auto"/>
              <w:textAlignment w:val="auto"/>
              <w:rPr>
                <w:rFonts w:ascii="仿宋" w:hAnsi="仿宋" w:eastAsia="仿宋" w:cs="仿宋"/>
                <w:sz w:val="21"/>
                <w:szCs w:val="21"/>
              </w:rPr>
            </w:pPr>
            <w:r>
              <w:rPr>
                <w:rFonts w:hint="eastAsia" w:ascii="仿宋" w:hAnsi="仿宋" w:eastAsia="仿宋" w:cs="仿宋"/>
                <w:sz w:val="21"/>
                <w:szCs w:val="21"/>
              </w:rPr>
              <w:t>具有管理安置房30万方项目经验得2分，30万方以下得1分；具有物业管理师证得1分（提供相应证明材料加盖公章）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633" w:type="dxa"/>
            <w:gridSpan w:val="2"/>
            <w:vAlign w:val="center"/>
          </w:tcPr>
          <w:p>
            <w:pPr>
              <w:adjustRightInd/>
              <w:spacing w:line="312" w:lineRule="auto"/>
              <w:jc w:val="center"/>
              <w:textAlignment w:val="auto"/>
              <w:rPr>
                <w:rFonts w:ascii="仿宋" w:hAnsi="仿宋" w:eastAsia="仿宋" w:cs="仿宋"/>
                <w:bCs/>
                <w:sz w:val="21"/>
                <w:szCs w:val="21"/>
              </w:rPr>
            </w:pPr>
            <w:r>
              <w:rPr>
                <w:rFonts w:hint="eastAsia" w:ascii="仿宋" w:hAnsi="仿宋" w:eastAsia="仿宋" w:cs="仿宋"/>
                <w:bCs/>
                <w:snapToGrid w:val="0"/>
                <w:kern w:val="32"/>
                <w:sz w:val="21"/>
                <w:szCs w:val="21"/>
              </w:rPr>
              <w:t>红色物业</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4分</w:t>
            </w:r>
          </w:p>
        </w:tc>
        <w:tc>
          <w:tcPr>
            <w:tcW w:w="7593" w:type="dxa"/>
            <w:vAlign w:val="center"/>
          </w:tcPr>
          <w:p>
            <w:pPr>
              <w:pStyle w:val="55"/>
              <w:spacing w:before="120" w:beforeLines="50" w:after="120" w:afterLines="50" w:line="312" w:lineRule="auto"/>
              <w:rPr>
                <w:rFonts w:ascii="仿宋" w:hAnsi="仿宋" w:eastAsia="仿宋" w:cs="仿宋"/>
                <w:kern w:val="0"/>
                <w:szCs w:val="21"/>
              </w:rPr>
            </w:pPr>
            <w:r>
              <w:rPr>
                <w:rFonts w:hint="eastAsia" w:ascii="仿宋" w:hAnsi="仿宋" w:eastAsia="仿宋" w:cs="仿宋"/>
                <w:kern w:val="0"/>
                <w:szCs w:val="21"/>
              </w:rPr>
              <w:t>2019年至今投标人服务项目被评为市级红色物业示范小区（点）荣誉的，每个项目得0.5分；被评为省级红色物业示范小区（点）荣誉的，每个项目得1分，总分最高得4分。（同项目同年度按最高荣誉得分，提供证明文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633" w:type="dxa"/>
            <w:gridSpan w:val="2"/>
            <w:vAlign w:val="center"/>
          </w:tcPr>
          <w:p>
            <w:pPr>
              <w:adjustRightInd/>
              <w:spacing w:line="312" w:lineRule="auto"/>
              <w:jc w:val="center"/>
              <w:textAlignment w:val="auto"/>
              <w:rPr>
                <w:rFonts w:ascii="仿宋" w:hAnsi="仿宋" w:eastAsia="仿宋" w:cs="仿宋"/>
                <w:bCs/>
                <w:sz w:val="21"/>
                <w:szCs w:val="21"/>
                <w:lang w:val="zh-CN"/>
              </w:rPr>
            </w:pPr>
            <w:r>
              <w:rPr>
                <w:rFonts w:hint="eastAsia" w:ascii="仿宋" w:hAnsi="仿宋" w:eastAsia="仿宋" w:cs="仿宋"/>
                <w:bCs/>
                <w:snapToGrid w:val="0"/>
                <w:kern w:val="32"/>
                <w:sz w:val="21"/>
                <w:szCs w:val="21"/>
              </w:rPr>
              <w:t>体系认证</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napToGrid w:val="0"/>
                <w:color w:val="000000"/>
                <w:kern w:val="32"/>
                <w:sz w:val="21"/>
                <w:szCs w:val="21"/>
              </w:rPr>
              <w:t>分</w:t>
            </w:r>
          </w:p>
        </w:tc>
        <w:tc>
          <w:tcPr>
            <w:tcW w:w="7593" w:type="dxa"/>
            <w:vAlign w:val="center"/>
          </w:tcPr>
          <w:p>
            <w:pPr>
              <w:pStyle w:val="43"/>
              <w:adjustRightInd/>
              <w:spacing w:line="312" w:lineRule="auto"/>
              <w:jc w:val="both"/>
              <w:rPr>
                <w:rFonts w:ascii="仿宋" w:hAnsi="仿宋" w:eastAsia="仿宋" w:cs="仿宋"/>
                <w:color w:val="auto"/>
                <w:sz w:val="21"/>
                <w:szCs w:val="21"/>
              </w:rPr>
            </w:pPr>
            <w:r>
              <w:rPr>
                <w:rFonts w:hint="eastAsia" w:ascii="仿宋" w:hAnsi="仿宋" w:eastAsia="仿宋" w:cs="仿宋"/>
                <w:bCs/>
                <w:sz w:val="21"/>
                <w:szCs w:val="21"/>
              </w:rPr>
              <w:t>投标人获得质量管理等认证证书（质量体系0.5分、环境管理体系0.5分、职业健康体系0.5分，信息技术服务体系0.5分，社会责任管理体系0.5分，诚信管理体系0.5分），最多得3分。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633" w:type="dxa"/>
            <w:gridSpan w:val="2"/>
            <w:vAlign w:val="center"/>
          </w:tcPr>
          <w:p>
            <w:pPr>
              <w:adjustRightInd/>
              <w:spacing w:line="312" w:lineRule="auto"/>
              <w:jc w:val="center"/>
              <w:textAlignment w:val="auto"/>
              <w:rPr>
                <w:rFonts w:ascii="仿宋" w:hAnsi="仿宋" w:eastAsia="仿宋" w:cs="仿宋"/>
                <w:bCs/>
                <w:sz w:val="21"/>
                <w:szCs w:val="21"/>
              </w:rPr>
            </w:pPr>
            <w:r>
              <w:rPr>
                <w:rFonts w:hint="eastAsia" w:ascii="仿宋" w:hAnsi="仿宋" w:eastAsia="仿宋" w:cs="仿宋"/>
                <w:bCs/>
                <w:sz w:val="21"/>
                <w:szCs w:val="21"/>
              </w:rPr>
              <w:t>部门考核</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10分</w:t>
            </w:r>
          </w:p>
        </w:tc>
        <w:tc>
          <w:tcPr>
            <w:tcW w:w="7593" w:type="dxa"/>
            <w:vAlign w:val="center"/>
          </w:tcPr>
          <w:p>
            <w:pPr>
              <w:pStyle w:val="43"/>
              <w:adjustRightInd/>
              <w:spacing w:line="312" w:lineRule="auto"/>
              <w:jc w:val="both"/>
              <w:rPr>
                <w:rFonts w:ascii="仿宋" w:hAnsi="仿宋" w:eastAsia="仿宋" w:cs="仿宋"/>
                <w:color w:val="auto"/>
                <w:kern w:val="2"/>
                <w:sz w:val="21"/>
                <w:szCs w:val="21"/>
              </w:rPr>
            </w:pPr>
            <w:r>
              <w:rPr>
                <w:rFonts w:hint="eastAsia" w:ascii="仿宋" w:hAnsi="仿宋" w:eastAsia="仿宋" w:cs="仿宋"/>
                <w:color w:val="auto"/>
                <w:kern w:val="2"/>
                <w:sz w:val="21"/>
                <w:szCs w:val="21"/>
              </w:rPr>
              <w:t>1</w:t>
            </w:r>
            <w:r>
              <w:rPr>
                <w:rFonts w:hint="eastAsia" w:ascii="仿宋" w:hAnsi="仿宋" w:eastAsia="仿宋" w:cs="仿宋"/>
                <w:snapToGrid w:val="0"/>
                <w:color w:val="auto"/>
                <w:kern w:val="32"/>
                <w:sz w:val="21"/>
                <w:szCs w:val="21"/>
              </w:rPr>
              <w:t>.</w:t>
            </w:r>
            <w:r>
              <w:rPr>
                <w:rFonts w:hint="eastAsia" w:ascii="仿宋" w:hAnsi="仿宋" w:eastAsia="仿宋" w:cs="仿宋"/>
                <w:color w:val="auto"/>
                <w:kern w:val="2"/>
                <w:sz w:val="21"/>
                <w:szCs w:val="21"/>
              </w:rPr>
              <w:t>2022年至今投标人所管理的项目在市精细化管理考核中前十名的，1个项目每次得0.5分，最高得5分；2</w:t>
            </w:r>
            <w:r>
              <w:rPr>
                <w:rFonts w:hint="eastAsia" w:ascii="仿宋" w:hAnsi="仿宋" w:eastAsia="仿宋" w:cs="仿宋"/>
                <w:snapToGrid w:val="0"/>
                <w:color w:val="auto"/>
                <w:kern w:val="32"/>
                <w:sz w:val="21"/>
                <w:szCs w:val="21"/>
              </w:rPr>
              <w:t>.</w:t>
            </w:r>
            <w:r>
              <w:rPr>
                <w:rFonts w:hint="eastAsia" w:ascii="仿宋" w:hAnsi="仿宋" w:eastAsia="仿宋" w:cs="仿宋"/>
                <w:color w:val="auto"/>
                <w:kern w:val="2"/>
                <w:sz w:val="21"/>
                <w:szCs w:val="21"/>
              </w:rPr>
              <w:t>2022年至今投标人所管理的项目在市合同履约考核（或红黑榜考核）中前十名的，1个项目每次得1分，最高得5分（必须提供市级媒体或主管部门公告的相关证明材料，现场核查）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2" w:hRule="atLeast"/>
          <w:jc w:val="center"/>
        </w:trPr>
        <w:tc>
          <w:tcPr>
            <w:tcW w:w="1633" w:type="dxa"/>
            <w:gridSpan w:val="2"/>
            <w:vAlign w:val="center"/>
          </w:tcPr>
          <w:p>
            <w:pPr>
              <w:adjustRightInd/>
              <w:spacing w:line="312" w:lineRule="auto"/>
              <w:jc w:val="center"/>
              <w:textAlignment w:val="auto"/>
              <w:rPr>
                <w:rFonts w:ascii="仿宋" w:hAnsi="仿宋" w:eastAsia="仿宋" w:cs="仿宋"/>
                <w:bCs/>
                <w:snapToGrid w:val="0"/>
                <w:kern w:val="32"/>
                <w:sz w:val="21"/>
                <w:szCs w:val="21"/>
              </w:rPr>
            </w:pPr>
            <w:r>
              <w:rPr>
                <w:rFonts w:hint="eastAsia" w:ascii="仿宋" w:hAnsi="仿宋" w:eastAsia="仿宋" w:cs="仿宋"/>
                <w:bCs/>
                <w:snapToGrid w:val="0"/>
                <w:kern w:val="32"/>
                <w:sz w:val="21"/>
                <w:szCs w:val="21"/>
              </w:rPr>
              <w:t>项目管理</w:t>
            </w:r>
          </w:p>
        </w:tc>
        <w:tc>
          <w:tcPr>
            <w:tcW w:w="673" w:type="dxa"/>
            <w:vAlign w:val="center"/>
          </w:tcPr>
          <w:p>
            <w:pPr>
              <w:adjustRightInd/>
              <w:spacing w:line="312" w:lineRule="auto"/>
              <w:jc w:val="center"/>
              <w:textAlignment w:val="auto"/>
              <w:rPr>
                <w:rFonts w:ascii="仿宋" w:hAnsi="仿宋" w:eastAsia="仿宋" w:cs="仿宋"/>
                <w:sz w:val="21"/>
                <w:szCs w:val="21"/>
              </w:rPr>
            </w:pPr>
            <w:r>
              <w:rPr>
                <w:rFonts w:hint="eastAsia" w:ascii="仿宋" w:hAnsi="仿宋" w:eastAsia="仿宋" w:cs="仿宋"/>
                <w:sz w:val="21"/>
                <w:szCs w:val="21"/>
              </w:rPr>
              <w:t>50</w:t>
            </w:r>
            <w:r>
              <w:rPr>
                <w:rFonts w:hint="eastAsia" w:ascii="仿宋" w:hAnsi="仿宋" w:eastAsia="仿宋" w:cs="仿宋"/>
                <w:snapToGrid w:val="0"/>
                <w:color w:val="000000"/>
                <w:kern w:val="32"/>
                <w:sz w:val="21"/>
                <w:szCs w:val="21"/>
              </w:rPr>
              <w:t>分</w:t>
            </w:r>
          </w:p>
        </w:tc>
        <w:tc>
          <w:tcPr>
            <w:tcW w:w="7593" w:type="dxa"/>
            <w:vAlign w:val="center"/>
          </w:tcPr>
          <w:p>
            <w:pPr>
              <w:pStyle w:val="43"/>
              <w:adjustRightInd/>
              <w:spacing w:line="312" w:lineRule="auto"/>
              <w:rPr>
                <w:rFonts w:ascii="仿宋" w:hAnsi="仿宋" w:eastAsia="仿宋" w:cs="仿宋"/>
                <w:b/>
                <w:bCs/>
                <w:color w:val="auto"/>
                <w:kern w:val="2"/>
                <w:sz w:val="21"/>
                <w:szCs w:val="21"/>
              </w:rPr>
            </w:pPr>
            <w:r>
              <w:rPr>
                <w:rFonts w:hint="eastAsia" w:ascii="仿宋" w:hAnsi="仿宋" w:eastAsia="仿宋" w:cs="仿宋"/>
                <w:b/>
                <w:bCs/>
                <w:color w:val="auto"/>
                <w:kern w:val="2"/>
                <w:sz w:val="21"/>
                <w:szCs w:val="21"/>
              </w:rPr>
              <w:t>一、项目管理机构运作方法及管理制度（3分）</w:t>
            </w:r>
          </w:p>
          <w:p>
            <w:pPr>
              <w:pStyle w:val="43"/>
              <w:adjustRightInd/>
              <w:spacing w:line="312" w:lineRule="auto"/>
              <w:rPr>
                <w:rFonts w:ascii="仿宋" w:hAnsi="仿宋" w:eastAsia="仿宋" w:cs="仿宋"/>
                <w:color w:val="auto"/>
                <w:kern w:val="2"/>
                <w:sz w:val="21"/>
                <w:szCs w:val="21"/>
              </w:rPr>
            </w:pPr>
            <w:r>
              <w:rPr>
                <w:rFonts w:hint="eastAsia" w:ascii="仿宋" w:hAnsi="仿宋" w:eastAsia="仿宋" w:cs="仿宋"/>
                <w:b/>
                <w:bCs/>
                <w:kern w:val="2"/>
                <w:sz w:val="21"/>
                <w:szCs w:val="21"/>
              </w:rPr>
              <w:t>二、物业管理服务方案（27分）：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 xml:space="preserve">1.物业管理区域内房屋及配套设施日常管理与维修养护方案（0-2分）；  </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2.业主室内装饰、装修管理的服务方案（0-1分）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3.管理区域内共用设备、设备用房管理与维修养护方案（0-2分）；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4.管理区域内秩序维护、车辆管理方案（0-2分）；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5.管理区域内环境卫生管理及八乱整治方案（0-6分）；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6.管理区域内绿化管理维护方案（0-1分）；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7.管理区域安全维护方案（0-2分）；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8.针对本项目的重点难点问题计划方案（月度、季度、年度）及措施（0-3分）；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9.其他零星维修方案（0-2分）；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10.服从社区（片区、村社）完成各项任务的方案（0-2分）；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11.服从精细化管理考核任务及合同履约考核的方案（0-2分）；</w:t>
            </w:r>
          </w:p>
          <w:p>
            <w:pPr>
              <w:pStyle w:val="43"/>
              <w:spacing w:line="312" w:lineRule="auto"/>
              <w:jc w:val="both"/>
              <w:rPr>
                <w:rFonts w:ascii="仿宋" w:hAnsi="仿宋" w:eastAsia="仿宋" w:cs="仿宋"/>
                <w:color w:val="auto"/>
                <w:kern w:val="2"/>
                <w:sz w:val="21"/>
                <w:szCs w:val="21"/>
              </w:rPr>
            </w:pPr>
            <w:r>
              <w:rPr>
                <w:rFonts w:hint="eastAsia" w:ascii="仿宋" w:hAnsi="仿宋" w:eastAsia="仿宋" w:cs="仿宋"/>
                <w:snapToGrid w:val="0"/>
                <w:color w:val="auto"/>
                <w:kern w:val="32"/>
                <w:sz w:val="21"/>
                <w:szCs w:val="21"/>
              </w:rPr>
              <w:t>12.配合生活垃圾精准化分类、三清工作等方案（0-2分）</w:t>
            </w:r>
          </w:p>
          <w:p>
            <w:pPr>
              <w:pStyle w:val="43"/>
              <w:adjustRightInd/>
              <w:spacing w:line="312" w:lineRule="auto"/>
              <w:jc w:val="both"/>
              <w:rPr>
                <w:rFonts w:ascii="仿宋" w:hAnsi="仿宋" w:eastAsia="仿宋" w:cs="仿宋"/>
                <w:b/>
                <w:bCs/>
                <w:snapToGrid w:val="0"/>
                <w:color w:val="auto"/>
                <w:kern w:val="32"/>
                <w:sz w:val="21"/>
                <w:szCs w:val="21"/>
              </w:rPr>
            </w:pPr>
            <w:r>
              <w:rPr>
                <w:rFonts w:hint="eastAsia" w:ascii="仿宋" w:hAnsi="仿宋" w:eastAsia="仿宋" w:cs="仿宋"/>
                <w:b/>
                <w:bCs/>
                <w:snapToGrid w:val="0"/>
                <w:color w:val="auto"/>
                <w:kern w:val="32"/>
                <w:sz w:val="21"/>
                <w:szCs w:val="21"/>
              </w:rPr>
              <w:t>三、物业维修和管理的应急措施（10分）: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1.业主自用部分断水、断电、断天然气应急预案措施（1分）；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2.公共部位突然断水、断电、断天然气的应急预案措施（1分）；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3.业主自用部分排水设施阻塞的应急预案措施（1分）；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4.雨、污水管及排水管、抽水泵故障等方面的应急预案措施（1分）；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5.电梯故障的应急预案措施（1分）；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6.消防火灾方面应急预案措施（1分）；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7.防台防汛雪灾极寒天气等应急预案措施（1分）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8.房屋外墙或建筑物等发生危险应急预案措施（1分）</w:t>
            </w:r>
          </w:p>
          <w:p>
            <w:pPr>
              <w:pStyle w:val="43"/>
              <w:adjustRightInd/>
              <w:spacing w:line="312" w:lineRule="auto"/>
              <w:jc w:val="both"/>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9.传染病等公共突发事件、物损、消防管网破损漏水等其他应急预案措施（2分）</w:t>
            </w:r>
            <w:r>
              <w:rPr>
                <w:rFonts w:hint="eastAsia" w:ascii="仿宋" w:hAnsi="仿宋" w:eastAsia="仿宋" w:cs="仿宋"/>
                <w:b/>
                <w:snapToGrid w:val="0"/>
                <w:color w:val="auto"/>
                <w:kern w:val="32"/>
                <w:sz w:val="21"/>
                <w:szCs w:val="21"/>
              </w:rPr>
              <w:t>四、</w:t>
            </w:r>
            <w:r>
              <w:rPr>
                <w:rFonts w:hint="eastAsia" w:ascii="仿宋" w:hAnsi="仿宋" w:eastAsia="仿宋" w:cs="仿宋"/>
                <w:b/>
                <w:bCs/>
                <w:kern w:val="2"/>
                <w:sz w:val="21"/>
                <w:szCs w:val="21"/>
              </w:rPr>
              <w:t>项目承诺（10分）:</w:t>
            </w:r>
          </w:p>
          <w:p>
            <w:pPr>
              <w:pStyle w:val="43"/>
              <w:adjustRightInd/>
              <w:spacing w:line="312" w:lineRule="auto"/>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1.本安置房项目特殊性要求进行具体的前后物业管理项目台账及现场管理移交承诺和措施（包括进驻管理阶段和退出管理阶段两块）0-2分</w:t>
            </w:r>
          </w:p>
          <w:p>
            <w:pPr>
              <w:pStyle w:val="43"/>
              <w:adjustRightInd/>
              <w:spacing w:line="312" w:lineRule="auto"/>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2.针对本项目存在高空作业（需更换室外雨污水管、绿化修剪等）和地下作业（污水管网抽粪、疏通、清掏等）情况承诺投入车辆及设施设备（如清扫车系列、吊装设施或登高设备系列、抽吸粪车设备系列等，该车辆或设备必须与物业管理相关用于本项目，提供车辆及设备购置发票复印件等相关证件），同一功能类型产品单个或多个车辆或设备得1分，（如清扫车系列不管承诺多少辆，只能得1分），不同功能类型3类及以上车辆或设备</w:t>
            </w:r>
            <w:r>
              <w:rPr>
                <w:rFonts w:hint="eastAsia" w:ascii="仿宋" w:hAnsi="仿宋" w:eastAsia="仿宋" w:cs="仿宋"/>
                <w:b/>
                <w:snapToGrid w:val="0"/>
                <w:color w:val="auto"/>
                <w:kern w:val="32"/>
                <w:sz w:val="21"/>
                <w:szCs w:val="21"/>
              </w:rPr>
              <w:t>最高得3分</w:t>
            </w:r>
            <w:r>
              <w:rPr>
                <w:rFonts w:hint="eastAsia" w:ascii="仿宋" w:hAnsi="仿宋" w:eastAsia="仿宋" w:cs="仿宋"/>
                <w:snapToGrid w:val="0"/>
                <w:color w:val="auto"/>
                <w:kern w:val="32"/>
                <w:sz w:val="21"/>
                <w:szCs w:val="21"/>
              </w:rPr>
              <w:t>。提供租赁合同、协议复印件（加盖公章），且租赁有效期在服务期内的，得0.5分，最高得1.5分。</w:t>
            </w:r>
          </w:p>
          <w:p>
            <w:pPr>
              <w:pStyle w:val="43"/>
              <w:adjustRightInd/>
              <w:spacing w:line="312" w:lineRule="auto"/>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3.开展文化活动和节日气氛布置，加强业主群众沟通，增强业主群众关系的承诺与措施0-1分</w:t>
            </w:r>
          </w:p>
          <w:p>
            <w:pPr>
              <w:pStyle w:val="43"/>
              <w:adjustRightInd/>
              <w:spacing w:line="312" w:lineRule="auto"/>
              <w:rPr>
                <w:rFonts w:ascii="仿宋" w:hAnsi="仿宋" w:eastAsia="仿宋" w:cs="仿宋"/>
                <w:snapToGrid w:val="0"/>
                <w:color w:val="auto"/>
                <w:kern w:val="32"/>
                <w:sz w:val="21"/>
                <w:szCs w:val="21"/>
              </w:rPr>
            </w:pPr>
            <w:r>
              <w:rPr>
                <w:rFonts w:hint="eastAsia" w:ascii="仿宋" w:hAnsi="仿宋" w:eastAsia="仿宋" w:cs="仿宋"/>
                <w:snapToGrid w:val="0"/>
                <w:color w:val="auto"/>
                <w:kern w:val="32"/>
                <w:sz w:val="21"/>
                <w:szCs w:val="21"/>
              </w:rPr>
              <w:t>4.小区黄土裸露区域种植草本植物和四季布置花卉承诺0-2分</w:t>
            </w:r>
          </w:p>
          <w:p>
            <w:pPr>
              <w:pStyle w:val="43"/>
              <w:spacing w:line="312" w:lineRule="auto"/>
              <w:jc w:val="both"/>
              <w:rPr>
                <w:rFonts w:ascii="仿宋" w:hAnsi="仿宋" w:eastAsia="仿宋" w:cs="仿宋"/>
                <w:color w:val="auto"/>
                <w:kern w:val="2"/>
                <w:sz w:val="21"/>
                <w:szCs w:val="21"/>
              </w:rPr>
            </w:pPr>
            <w:r>
              <w:rPr>
                <w:rFonts w:hint="eastAsia" w:ascii="仿宋" w:hAnsi="仿宋" w:eastAsia="仿宋" w:cs="仿宋"/>
                <w:snapToGrid w:val="0"/>
                <w:color w:val="auto"/>
                <w:kern w:val="32"/>
                <w:sz w:val="21"/>
                <w:szCs w:val="21"/>
              </w:rPr>
              <w:t>5.创建工作（美丽小区、智慧小区、节水型小区、绿化小区）等配合承诺0-2分</w:t>
            </w:r>
          </w:p>
        </w:tc>
      </w:tr>
    </w:tbl>
    <w:p>
      <w:pPr>
        <w:pStyle w:val="16"/>
        <w:adjustRightInd w:val="0"/>
        <w:spacing w:line="500" w:lineRule="exac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4.3商务部分评定</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商务标总分20分，按以下标准评定。</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（一）有效标的确定：投标人的有效报价高于招标控制价的，则该报价为无效投标报价，其余为有效投标报价。</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（二）最佳报价的确定：所有有效合理投标报价的平均值为最佳报价。</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（三）投标报价评定：各有效投标与最佳报价进行比较，按以下公式求出百分比K值（保留小数点后一位，第二位四舍五入）：</w:t>
      </w:r>
    </w:p>
    <w:p>
      <w:pPr>
        <w:spacing w:line="360" w:lineRule="auto"/>
        <w:rPr>
          <w:rFonts w:ascii="仿宋" w:hAnsi="仿宋" w:eastAsia="仿宋" w:cs="仿宋"/>
          <w:sz w:val="24"/>
          <w:szCs w:val="24"/>
        </w:rPr>
      </w:pPr>
      <w:r>
        <w:rPr>
          <w:rFonts w:hint="eastAsia" w:ascii="仿宋" w:hAnsi="仿宋" w:eastAsia="仿宋" w:cs="仿宋"/>
          <w:sz w:val="24"/>
          <w:szCs w:val="24"/>
        </w:rPr>
        <w:t>K=（有效投标—最佳报价）÷最佳报价*100%</w:t>
      </w:r>
    </w:p>
    <w:p>
      <w:pPr>
        <w:spacing w:line="360" w:lineRule="auto"/>
        <w:rPr>
          <w:rFonts w:ascii="仿宋" w:hAnsi="仿宋" w:eastAsia="仿宋" w:cs="仿宋"/>
          <w:sz w:val="24"/>
          <w:szCs w:val="24"/>
        </w:rPr>
      </w:pPr>
      <w:r>
        <w:rPr>
          <w:rFonts w:hint="eastAsia" w:ascii="仿宋" w:hAnsi="仿宋" w:eastAsia="仿宋" w:cs="仿宋"/>
          <w:sz w:val="24"/>
          <w:szCs w:val="24"/>
        </w:rPr>
        <w:t>当K值等于零时，得满分20分；</w:t>
      </w:r>
    </w:p>
    <w:p>
      <w:pPr>
        <w:spacing w:line="360" w:lineRule="auto"/>
        <w:rPr>
          <w:rFonts w:ascii="仿宋" w:hAnsi="仿宋" w:eastAsia="仿宋" w:cs="仿宋"/>
          <w:sz w:val="24"/>
          <w:szCs w:val="24"/>
        </w:rPr>
      </w:pPr>
      <w:r>
        <w:rPr>
          <w:rFonts w:hint="eastAsia" w:ascii="仿宋" w:hAnsi="仿宋" w:eastAsia="仿宋" w:cs="仿宋"/>
          <w:sz w:val="24"/>
          <w:szCs w:val="24"/>
        </w:rPr>
        <w:t>当K值大于零时，K值每增1%，在总分上扣0.2分；</w:t>
      </w:r>
    </w:p>
    <w:p>
      <w:pPr>
        <w:spacing w:line="360" w:lineRule="auto"/>
        <w:rPr>
          <w:rFonts w:ascii="仿宋" w:hAnsi="仿宋" w:eastAsia="仿宋" w:cs="仿宋"/>
          <w:sz w:val="24"/>
          <w:szCs w:val="24"/>
        </w:rPr>
      </w:pPr>
      <w:r>
        <w:rPr>
          <w:rFonts w:hint="eastAsia" w:ascii="仿宋" w:hAnsi="仿宋" w:eastAsia="仿宋" w:cs="仿宋"/>
          <w:sz w:val="24"/>
          <w:szCs w:val="24"/>
        </w:rPr>
        <w:t>当K值小于零时，K值每减1%，在总分上扣0.1分。</w:t>
      </w:r>
    </w:p>
    <w:p>
      <w:pPr>
        <w:spacing w:line="360" w:lineRule="auto"/>
        <w:rPr>
          <w:rFonts w:ascii="仿宋" w:hAnsi="仿宋" w:eastAsia="仿宋" w:cs="仿宋"/>
          <w:sz w:val="24"/>
          <w:szCs w:val="24"/>
        </w:rPr>
      </w:pPr>
      <w:r>
        <w:rPr>
          <w:rFonts w:hint="eastAsia" w:ascii="仿宋" w:hAnsi="仿宋" w:eastAsia="仿宋" w:cs="仿宋"/>
          <w:sz w:val="24"/>
          <w:szCs w:val="24"/>
        </w:rPr>
        <w:t>商务分最低得分为0分。</w:t>
      </w:r>
    </w:p>
    <w:p>
      <w:pPr>
        <w:ind w:firstLine="482"/>
        <w:jc w:val="left"/>
        <w:rPr>
          <w:rFonts w:ascii="仿宋" w:hAnsi="仿宋" w:eastAsia="仿宋" w:cs="仿宋"/>
          <w:sz w:val="24"/>
          <w:szCs w:val="24"/>
        </w:rPr>
      </w:pPr>
      <w:r>
        <w:rPr>
          <w:rFonts w:hint="eastAsia" w:ascii="仿宋" w:hAnsi="仿宋" w:eastAsia="仿宋" w:cs="仿宋"/>
          <w:b/>
          <w:sz w:val="24"/>
          <w:szCs w:val="24"/>
        </w:rPr>
        <w:t>最终得分=商务得分+技术得分。</w:t>
      </w:r>
    </w:p>
    <w:p>
      <w:pPr>
        <w:spacing w:line="400" w:lineRule="exact"/>
        <w:rPr>
          <w:rFonts w:ascii="仿宋" w:hAnsi="仿宋" w:eastAsia="仿宋" w:cs="仿宋"/>
          <w:color w:val="000000"/>
          <w:sz w:val="24"/>
          <w:szCs w:val="24"/>
        </w:rPr>
      </w:pPr>
      <w:r>
        <w:rPr>
          <w:rFonts w:hint="eastAsia" w:ascii="仿宋" w:hAnsi="仿宋" w:eastAsia="仿宋" w:cs="仿宋"/>
          <w:color w:val="000000"/>
          <w:sz w:val="24"/>
          <w:szCs w:val="24"/>
        </w:rPr>
        <w:t>4.4投标文件的澄清、补正和否决</w:t>
      </w:r>
    </w:p>
    <w:p>
      <w:pPr>
        <w:pStyle w:val="43"/>
        <w:spacing w:line="500" w:lineRule="exact"/>
        <w:ind w:firstLine="480" w:firstLineChars="200"/>
        <w:jc w:val="both"/>
        <w:rPr>
          <w:rFonts w:ascii="仿宋" w:hAnsi="仿宋" w:eastAsia="仿宋" w:cs="仿宋"/>
          <w:color w:val="auto"/>
        </w:rPr>
      </w:pPr>
      <w:r>
        <w:rPr>
          <w:rFonts w:hint="eastAsia" w:ascii="仿宋" w:hAnsi="仿宋" w:eastAsia="仿宋" w:cs="仿宋"/>
          <w:color w:val="auto"/>
        </w:rPr>
        <w:t>4.4.1在评标过程中，评标委员会可以</w:t>
      </w:r>
      <w:r>
        <w:rPr>
          <w:rFonts w:hint="eastAsia" w:ascii="仿宋" w:hAnsi="仿宋" w:eastAsia="仿宋" w:cs="仿宋"/>
        </w:rPr>
        <w:t>书面形式</w:t>
      </w:r>
      <w:r>
        <w:rPr>
          <w:rFonts w:hint="eastAsia" w:ascii="仿宋" w:hAnsi="仿宋" w:eastAsia="仿宋" w:cs="仿宋"/>
          <w:color w:val="auto"/>
        </w:rPr>
        <w:t>要求投标人对所提交投标文件中不明确的内容进行书面澄清或说明，或者对细微偏差（细微偏差是指投标文件在实质上响应招标文件要求，但在个别地方存在漏项或者提供了不完整的技术信息和数据等情况，并且补正这些遗漏或者不完整不会对其他投标人造成不公平的结果且细微偏差不影响投标文件的有效性。）进行补正。评标委员会不接受投标人主动提出的澄清、说明或补正。</w:t>
      </w:r>
    </w:p>
    <w:p>
      <w:pPr>
        <w:pStyle w:val="43"/>
        <w:spacing w:line="500" w:lineRule="exact"/>
        <w:ind w:firstLine="480" w:firstLineChars="200"/>
        <w:jc w:val="both"/>
        <w:rPr>
          <w:rFonts w:ascii="仿宋" w:hAnsi="仿宋" w:eastAsia="仿宋" w:cs="仿宋"/>
          <w:color w:val="auto"/>
        </w:rPr>
      </w:pPr>
      <w:r>
        <w:rPr>
          <w:rFonts w:hint="eastAsia" w:ascii="仿宋" w:hAnsi="仿宋" w:eastAsia="仿宋" w:cs="仿宋"/>
          <w:color w:val="auto"/>
        </w:rPr>
        <w:t>4.4.2 澄清、说明和补正不得改变投标文件的实质性内容。投标人的书面澄清、说明和补正属于投标文件的组成部分。</w:t>
      </w:r>
    </w:p>
    <w:p>
      <w:pPr>
        <w:pStyle w:val="43"/>
        <w:spacing w:line="500" w:lineRule="exact"/>
        <w:ind w:firstLine="480" w:firstLineChars="200"/>
        <w:jc w:val="both"/>
        <w:rPr>
          <w:rFonts w:ascii="仿宋" w:hAnsi="仿宋" w:eastAsia="仿宋" w:cs="仿宋"/>
          <w:color w:val="auto"/>
        </w:rPr>
      </w:pPr>
      <w:r>
        <w:rPr>
          <w:rFonts w:hint="eastAsia" w:ascii="仿宋" w:hAnsi="仿宋" w:eastAsia="仿宋" w:cs="仿宋"/>
          <w:color w:val="auto"/>
        </w:rPr>
        <w:t>4.4.3 评标委员会对投标人提交的澄清、说明或补正有疑问的，可以要求投标人进一步澄清、说明或补正，直至满足评标委员会的要求。</w:t>
      </w:r>
    </w:p>
    <w:p>
      <w:pPr>
        <w:pStyle w:val="43"/>
        <w:spacing w:line="500" w:lineRule="exact"/>
        <w:ind w:firstLine="480" w:firstLineChars="200"/>
        <w:jc w:val="both"/>
        <w:rPr>
          <w:rFonts w:ascii="仿宋" w:hAnsi="仿宋" w:eastAsia="仿宋" w:cs="仿宋"/>
          <w:color w:val="auto"/>
        </w:rPr>
      </w:pPr>
      <w:r>
        <w:rPr>
          <w:rFonts w:hint="eastAsia" w:ascii="仿宋" w:hAnsi="仿宋" w:eastAsia="仿宋" w:cs="仿宋"/>
          <w:color w:val="auto"/>
        </w:rPr>
        <w:t>4.4.4因有效投标不足2家使得投标明显缺乏竞争的，评标委员会有权拒绝全部投标。所有投标被拒绝的，招标人应当依法重新组织招标。</w:t>
      </w:r>
    </w:p>
    <w:p>
      <w:pPr>
        <w:pStyle w:val="16"/>
        <w:adjustRightInd w:val="0"/>
        <w:spacing w:line="50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5、决标</w:t>
      </w:r>
    </w:p>
    <w:p>
      <w:pPr>
        <w:snapToGrid w:val="0"/>
        <w:spacing w:line="500" w:lineRule="exact"/>
        <w:ind w:firstLine="470" w:firstLineChars="196"/>
        <w:rPr>
          <w:rFonts w:ascii="仿宋" w:hAnsi="仿宋" w:eastAsia="仿宋" w:cs="仿宋"/>
          <w:snapToGrid w:val="0"/>
          <w:sz w:val="24"/>
          <w:szCs w:val="24"/>
        </w:rPr>
      </w:pPr>
      <w:r>
        <w:rPr>
          <w:rFonts w:hint="eastAsia" w:ascii="仿宋" w:hAnsi="仿宋" w:eastAsia="仿宋" w:cs="仿宋"/>
          <w:snapToGrid w:val="0"/>
          <w:sz w:val="24"/>
          <w:szCs w:val="24"/>
        </w:rPr>
        <w:t>5.1 各投标人最终得分按：最终得分=技术部分得分+商务得分。</w:t>
      </w:r>
    </w:p>
    <w:p>
      <w:pPr>
        <w:snapToGrid w:val="0"/>
        <w:spacing w:line="500" w:lineRule="exact"/>
        <w:ind w:firstLine="470" w:firstLineChars="196"/>
        <w:rPr>
          <w:rFonts w:ascii="仿宋" w:hAnsi="仿宋" w:eastAsia="仿宋" w:cs="仿宋"/>
          <w:snapToGrid w:val="0"/>
          <w:sz w:val="24"/>
          <w:szCs w:val="24"/>
        </w:rPr>
      </w:pPr>
      <w:r>
        <w:rPr>
          <w:rFonts w:hint="eastAsia" w:ascii="仿宋" w:hAnsi="仿宋" w:eastAsia="仿宋" w:cs="仿宋"/>
          <w:snapToGrid w:val="0"/>
          <w:sz w:val="24"/>
          <w:szCs w:val="24"/>
        </w:rPr>
        <w:t>5.2 评标委员会完成评标后，应当向招标人提出书面评标报告，并报监督机构备案。评标委员会推荐的中标候选人应当限定在1至3人，并按最终得分高低标明排列顺序。</w:t>
      </w:r>
    </w:p>
    <w:p>
      <w:pPr>
        <w:snapToGrid w:val="0"/>
        <w:spacing w:line="500" w:lineRule="exact"/>
        <w:ind w:firstLine="470" w:firstLineChars="196"/>
        <w:rPr>
          <w:rFonts w:ascii="仿宋" w:hAnsi="仿宋" w:eastAsia="仿宋" w:cs="仿宋"/>
          <w:b/>
          <w:bCs/>
          <w:snapToGrid w:val="0"/>
          <w:sz w:val="24"/>
          <w:szCs w:val="24"/>
        </w:rPr>
      </w:pPr>
      <w:r>
        <w:rPr>
          <w:rFonts w:hint="eastAsia" w:ascii="仿宋" w:hAnsi="仿宋" w:eastAsia="仿宋" w:cs="仿宋"/>
          <w:snapToGrid w:val="0"/>
          <w:sz w:val="24"/>
          <w:szCs w:val="24"/>
        </w:rPr>
        <w:t>5.3 招标人应当根据评标结果确定排名第一（得分最高）的中标候选人为中标人。若有两个或以上并列最高分的，则先按报价得分高的为中标人，若报价得分相同的，则按技术商务资信及其他文件得分高的为中标人（技术商务资信及其他文件得分相同的，由建设单位现场抽签确定中标人）。排名第一的中标候选人放弃中标、因不可抗力不能履行合同、不按照招标文件要求提交履约保证金，或者被查实存在影响成交结果的违法行为等情形，不符合中标条件的招标人可以按照评标委员会提出的排名第二的中标候选人为中标人，排名第二的中标候选人因同样原因的，可以确定排名第三的中标候选人为中标人，不再进行重新评标。招标人也可以重新确定中标人。招标人可以授权评标委员会直接确定中标人</w:t>
      </w:r>
    </w:p>
    <w:p>
      <w:pPr>
        <w:pStyle w:val="43"/>
        <w:spacing w:line="500" w:lineRule="exact"/>
        <w:ind w:firstLine="480" w:firstLineChars="200"/>
        <w:jc w:val="both"/>
        <w:rPr>
          <w:rFonts w:ascii="仿宋" w:hAnsi="仿宋" w:eastAsia="仿宋" w:cs="仿宋"/>
          <w:color w:val="auto"/>
        </w:rPr>
      </w:pPr>
      <w:r>
        <w:rPr>
          <w:rFonts w:hint="eastAsia" w:ascii="仿宋" w:hAnsi="仿宋" w:eastAsia="仿宋" w:cs="仿宋"/>
          <w:snapToGrid w:val="0"/>
          <w:color w:val="auto"/>
        </w:rPr>
        <w:t>5.4 中标人确定后，应在湖州市公共资源交易中心、湖州市吴兴区公共资源交易中心网站上向社会公示3个日历天。</w:t>
      </w:r>
    </w:p>
    <w:p>
      <w:pPr>
        <w:pStyle w:val="43"/>
        <w:spacing w:line="500" w:lineRule="exact"/>
        <w:ind w:firstLine="482" w:firstLineChars="200"/>
        <w:jc w:val="both"/>
        <w:rPr>
          <w:rFonts w:ascii="仿宋" w:hAnsi="仿宋" w:eastAsia="仿宋" w:cs="仿宋"/>
          <w:b/>
          <w:color w:val="auto"/>
        </w:rPr>
      </w:pPr>
      <w:r>
        <w:rPr>
          <w:rFonts w:hint="eastAsia" w:ascii="仿宋" w:hAnsi="仿宋" w:eastAsia="仿宋" w:cs="仿宋"/>
          <w:b/>
          <w:color w:val="auto"/>
        </w:rPr>
        <w:t>本评标办法未尽事宜由评标委员会集体讨论决定。</w:t>
      </w: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6、串通投标行为 </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6.1根据《中华人民共和国招标投标法实施条例》第39条有下列情形之一的，属于投标人相互串通投标：</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（一）投标人之间协商投标报价等投标文件的实质性内容；</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（二）投标人之间约定中标人；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（三）投标人之间约定部分投标人放弃投标或者中标；</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（四）属于同一集团、协会、商会等组织成员的投标人按照该组织要求协同投标；</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（五）投标人之间为谋取中标或者排斥特定投标人而采取的其他联合行动。</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6.2　根据《中华人民共和国招标投标法实施条例》第40条有下列情形之一的，视为投标人相互串通投标：</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（一）不同投标人的投标文件由同一单位或者个人编制；</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（二）不同投标人委托同一单位或者个人办理投标事宜；</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（三）不同投标人的投标文件载明的项目管理成员为同一人；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（四）不同投标人的投标文件异常一致或者投标报价呈规律性差异；</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（五）不同投标人的投标文件相互混装；</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（六）不同投标人的投标保证金从同一单位或者个人的账户转出；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（七）不同投标人的采用同一台电脑进行编制投标文件（如采用同一MAC地址、硬盘号、主板号、CPU号、或同一造价工具加密器等等）。</w:t>
      </w:r>
    </w:p>
    <w:p>
      <w:pPr>
        <w:spacing w:line="400" w:lineRule="exact"/>
        <w:ind w:firstLine="480" w:firstLineChars="200"/>
        <w:rPr>
          <w:rFonts w:ascii="仿宋" w:hAnsi="仿宋" w:eastAsia="仿宋" w:cs="仿宋"/>
          <w:snapToGrid w:val="0"/>
          <w:sz w:val="24"/>
          <w:szCs w:val="24"/>
        </w:rPr>
      </w:pPr>
      <w:bookmarkStart w:id="686" w:name="_Hlk10828104"/>
      <w:r>
        <w:rPr>
          <w:rFonts w:hint="eastAsia" w:ascii="仿宋" w:hAnsi="仿宋" w:eastAsia="仿宋" w:cs="仿宋"/>
          <w:snapToGrid w:val="0"/>
          <w:sz w:val="24"/>
          <w:szCs w:val="24"/>
        </w:rPr>
        <w:t>6.3根据《中华人民共和国招标投标法实施条例》第41条禁止招标人与投标人串通投标。有下列情形之一的，属于招标人与投标人串通投标：</w:t>
      </w:r>
      <w:bookmarkEnd w:id="686"/>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（一）招标人在开标前开启投标文件并将有关信息泄露给其他投标人;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（二）招标人直接或者间接向投标人泄露标底、评标委员会成员等信息；</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（三）招标人明示或者暗示投标人压低或者抬高投标报价；</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（四）招标人授意投标人撤换、修改投标文件；</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（五）招标人明示或者暗示投标人为特定投标人中标提供方便；</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（六）招标人与投标人为谋求特定投标人中标而采取的其他串通行为。</w:t>
      </w:r>
    </w:p>
    <w:p>
      <w:pPr>
        <w:spacing w:line="4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7、弄虚作假的行为</w:t>
      </w:r>
    </w:p>
    <w:p>
      <w:pPr>
        <w:spacing w:line="400" w:lineRule="exact"/>
        <w:ind w:firstLine="480" w:firstLineChars="200"/>
        <w:rPr>
          <w:rFonts w:ascii="仿宋" w:hAnsi="仿宋" w:eastAsia="仿宋" w:cs="仿宋"/>
          <w:snapToGrid w:val="0"/>
          <w:sz w:val="24"/>
          <w:szCs w:val="24"/>
        </w:rPr>
      </w:pPr>
      <w:bookmarkStart w:id="687" w:name="_Hlk10830455"/>
      <w:r>
        <w:rPr>
          <w:rFonts w:hint="eastAsia" w:ascii="仿宋" w:hAnsi="仿宋" w:eastAsia="仿宋" w:cs="仿宋"/>
          <w:snapToGrid w:val="0"/>
          <w:sz w:val="24"/>
          <w:szCs w:val="24"/>
        </w:rPr>
        <w:t>7.1根据《中华人民共和国招标投标法实施条例》第42条使用通过受让或者租借等方式获取的资格、资质证书投标的，属于招</w:t>
      </w:r>
      <w:bookmarkEnd w:id="687"/>
      <w:r>
        <w:rPr>
          <w:rFonts w:hint="eastAsia" w:ascii="仿宋" w:hAnsi="仿宋" w:eastAsia="仿宋" w:cs="仿宋"/>
          <w:snapToGrid w:val="0"/>
          <w:sz w:val="24"/>
          <w:szCs w:val="24"/>
        </w:rPr>
        <w:t>标投标法第三十三条规定的以他人名义投标。</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投标人有下列情形之一的，属于招标投标法第三十三条规定的以其他方式弄虚作假的行为：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（一）使用伪造、变造的许可证件；</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（二）提供虚假的财务状况或者业绩；</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（三）提供虚假的项目负责人或者主要技术人员简历、劳动关系证明；</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（四）提供虚假的信用状况；</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（五）其他弄虚作假的行为。</w:t>
      </w:r>
    </w:p>
    <w:p>
      <w:pPr>
        <w:spacing w:line="400" w:lineRule="exact"/>
        <w:ind w:firstLine="480" w:firstLineChars="200"/>
        <w:rPr>
          <w:rFonts w:ascii="仿宋" w:hAnsi="仿宋" w:eastAsia="仿宋" w:cs="仿宋"/>
          <w:snapToGrid w:val="0"/>
          <w:sz w:val="24"/>
          <w:szCs w:val="24"/>
        </w:rPr>
      </w:pPr>
      <w:bookmarkStart w:id="688" w:name="_Hlk10830620"/>
      <w:r>
        <w:rPr>
          <w:rFonts w:hint="eastAsia" w:ascii="仿宋" w:hAnsi="仿宋" w:eastAsia="仿宋" w:cs="仿宋"/>
          <w:snapToGrid w:val="0"/>
          <w:sz w:val="24"/>
          <w:szCs w:val="24"/>
        </w:rPr>
        <w:t>7.2根据《湖州市工程建设招投标活动中串通投标和弄虚作假行为认定及处理办法（试行）》第11条投标人有下列情形之一的，属于投标人弄虚作假骗取中标的行为：</w:t>
      </w:r>
    </w:p>
    <w:bookmarkEnd w:id="688"/>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（一）以他人名义投标的。具体情形包括：</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1.通过受让或者租借等方式从其他单位获取资格或者资质证书参加投标的；</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2.由其他单位或者其他单位负责人在自己编制的投标文件上加盖印章或者签字的；</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3.项目经理或者主要技术人员不是本单位人员的；</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4.投标保证金不是从投标人的账户缴纳的；</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5.法律、法规、规章规定的以他人名义投标的其他行为。</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（二）以其他方式弄虚作假的。具体情形包括：</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1.使用伪造、变造的许可证件；</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2.提供虚假的财务状况或者业绩；</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3.提供虚假的项目负责人或者主要技术人员简历、劳动关系证明；</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4.提供虚假的信用状况；</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5.投标文件中有与事实不符的承诺材料；</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6.隐瞒招标文件要求提供的信息，或者提供虚假、引人误解的其他信息；</w:t>
      </w:r>
    </w:p>
    <w:p>
      <w:pPr>
        <w:spacing w:line="400" w:lineRule="exact"/>
        <w:ind w:firstLine="480" w:firstLineChars="200"/>
        <w:rPr>
          <w:rFonts w:ascii="仿宋" w:hAnsi="仿宋" w:eastAsia="仿宋" w:cs="仿宋"/>
          <w:snapToGrid w:val="0"/>
          <w:sz w:val="20"/>
        </w:rPr>
      </w:pPr>
      <w:r>
        <w:rPr>
          <w:rFonts w:hint="eastAsia" w:ascii="仿宋" w:hAnsi="仿宋" w:eastAsia="仿宋" w:cs="仿宋"/>
          <w:snapToGrid w:val="0"/>
          <w:sz w:val="24"/>
          <w:szCs w:val="24"/>
        </w:rPr>
        <w:t>7.法律、法规、规章规定的弄虚作假的其他行为。</w:t>
      </w:r>
    </w:p>
    <w:p>
      <w:pPr>
        <w:keepNext/>
        <w:keepLines/>
        <w:spacing w:before="340" w:after="330" w:line="600" w:lineRule="exact"/>
        <w:jc w:val="center"/>
        <w:outlineLvl w:val="0"/>
        <w:rPr>
          <w:rFonts w:ascii="仿宋" w:hAnsi="仿宋" w:eastAsia="仿宋" w:cs="仿宋"/>
          <w:b/>
          <w:bCs/>
          <w:kern w:val="44"/>
          <w:sz w:val="24"/>
          <w:szCs w:val="24"/>
        </w:rPr>
      </w:pPr>
      <w:r>
        <w:rPr>
          <w:rFonts w:hint="eastAsia" w:ascii="仿宋" w:hAnsi="仿宋" w:eastAsia="仿宋" w:cs="仿宋"/>
          <w:sz w:val="32"/>
          <w:szCs w:val="32"/>
        </w:rPr>
        <w:br w:type="page"/>
      </w:r>
      <w:bookmarkStart w:id="689" w:name="_Toc6994"/>
      <w:bookmarkStart w:id="690" w:name="_Toc3184"/>
      <w:bookmarkStart w:id="691" w:name="_Toc31820"/>
      <w:r>
        <w:rPr>
          <w:rFonts w:hint="eastAsia" w:ascii="仿宋" w:hAnsi="仿宋" w:eastAsia="仿宋" w:cs="仿宋"/>
          <w:b/>
          <w:bCs/>
          <w:kern w:val="44"/>
          <w:sz w:val="32"/>
          <w:szCs w:val="32"/>
        </w:rPr>
        <w:t>第四章 合同</w:t>
      </w:r>
      <w:bookmarkEnd w:id="689"/>
      <w:bookmarkEnd w:id="690"/>
      <w:r>
        <w:rPr>
          <w:rFonts w:hint="eastAsia" w:ascii="仿宋" w:hAnsi="仿宋" w:eastAsia="仿宋" w:cs="仿宋"/>
          <w:b/>
          <w:bCs/>
          <w:kern w:val="44"/>
          <w:sz w:val="32"/>
          <w:szCs w:val="32"/>
        </w:rPr>
        <w:t>（仅供参考）</w:t>
      </w:r>
      <w:bookmarkEnd w:id="691"/>
    </w:p>
    <w:p>
      <w:pPr>
        <w:snapToGrid w:val="0"/>
        <w:spacing w:line="540" w:lineRule="exact"/>
        <w:jc w:val="center"/>
        <w:rPr>
          <w:rFonts w:ascii="仿宋" w:hAnsi="仿宋" w:eastAsia="仿宋" w:cs="仿宋"/>
          <w:b/>
          <w:sz w:val="24"/>
          <w:szCs w:val="24"/>
        </w:rPr>
      </w:pPr>
      <w:r>
        <w:rPr>
          <w:rFonts w:hint="eastAsia" w:ascii="仿宋" w:hAnsi="仿宋" w:eastAsia="仿宋" w:cs="仿宋"/>
          <w:b/>
          <w:sz w:val="24"/>
          <w:szCs w:val="24"/>
        </w:rPr>
        <w:t xml:space="preserve">   （本合同为合同样稿，最终稿由双方协商后确定）</w:t>
      </w:r>
    </w:p>
    <w:p>
      <w:pPr>
        <w:spacing w:line="400" w:lineRule="exact"/>
        <w:jc w:val="center"/>
        <w:rPr>
          <w:rFonts w:ascii="仿宋" w:hAnsi="仿宋" w:eastAsia="仿宋" w:cs="仿宋"/>
          <w:b/>
          <w:sz w:val="24"/>
          <w:szCs w:val="24"/>
        </w:rPr>
      </w:pPr>
      <w:r>
        <w:rPr>
          <w:rFonts w:hint="eastAsia" w:ascii="仿宋" w:hAnsi="仿宋" w:eastAsia="仿宋" w:cs="仿宋"/>
          <w:b/>
          <w:sz w:val="24"/>
          <w:szCs w:val="24"/>
        </w:rPr>
        <w:t xml:space="preserve"> </w:t>
      </w:r>
    </w:p>
    <w:p>
      <w:pPr>
        <w:snapToGrid w:val="0"/>
        <w:spacing w:line="500" w:lineRule="exact"/>
        <w:rPr>
          <w:rFonts w:ascii="仿宋" w:hAnsi="仿宋" w:eastAsia="仿宋" w:cs="仿宋"/>
          <w:b/>
          <w:bCs/>
          <w:color w:val="000000"/>
          <w:sz w:val="24"/>
          <w:szCs w:val="24"/>
        </w:rPr>
      </w:pPr>
      <w:r>
        <w:rPr>
          <w:rFonts w:hint="eastAsia" w:ascii="仿宋" w:hAnsi="仿宋" w:eastAsia="仿宋" w:cs="仿宋"/>
          <w:sz w:val="24"/>
          <w:szCs w:val="24"/>
        </w:rPr>
        <w:t>项目名称：</w:t>
      </w:r>
      <w:r>
        <w:rPr>
          <w:rFonts w:hint="eastAsia" w:ascii="仿宋" w:hAnsi="仿宋" w:eastAsia="仿宋" w:cs="仿宋"/>
          <w:b/>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line="500" w:lineRule="exact"/>
        <w:rPr>
          <w:rFonts w:ascii="仿宋" w:hAnsi="仿宋" w:eastAsia="仿宋" w:cs="仿宋"/>
          <w:sz w:val="24"/>
          <w:szCs w:val="24"/>
          <w:u w:val="single"/>
        </w:rPr>
      </w:pPr>
      <w:r>
        <w:rPr>
          <w:rFonts w:hint="eastAsia" w:ascii="仿宋" w:hAnsi="仿宋" w:eastAsia="仿宋" w:cs="仿宋"/>
          <w:sz w:val="24"/>
          <w:szCs w:val="24"/>
        </w:rPr>
        <w:t>项目编号：</w:t>
      </w:r>
      <w:r>
        <w:rPr>
          <w:rFonts w:hint="eastAsia" w:ascii="仿宋" w:hAnsi="仿宋" w:eastAsia="仿宋" w:cs="仿宋"/>
          <w:b/>
          <w:bCs/>
          <w:color w:val="000000"/>
          <w:sz w:val="24"/>
          <w:szCs w:val="24"/>
          <w:u w:val="single"/>
        </w:rPr>
        <w:t xml:space="preserve">             </w:t>
      </w:r>
      <w:r>
        <w:rPr>
          <w:rFonts w:hint="eastAsia" w:ascii="仿宋" w:hAnsi="仿宋" w:eastAsia="仿宋" w:cs="仿宋"/>
          <w:sz w:val="24"/>
          <w:szCs w:val="24"/>
          <w:u w:val="single"/>
        </w:rPr>
        <w:t xml:space="preserve">               </w:t>
      </w:r>
    </w:p>
    <w:p>
      <w:pPr>
        <w:snapToGrid w:val="0"/>
        <w:spacing w:line="500" w:lineRule="exact"/>
        <w:rPr>
          <w:rFonts w:ascii="仿宋" w:hAnsi="仿宋" w:eastAsia="仿宋" w:cs="仿宋"/>
          <w:bCs/>
          <w:color w:val="000000"/>
          <w:sz w:val="24"/>
          <w:szCs w:val="24"/>
        </w:rPr>
      </w:pPr>
      <w:r>
        <w:rPr>
          <w:rFonts w:hint="eastAsia" w:ascii="仿宋" w:hAnsi="仿宋" w:eastAsia="仿宋" w:cs="仿宋"/>
          <w:sz w:val="24"/>
          <w:szCs w:val="24"/>
        </w:rPr>
        <w:t>项目地址：</w:t>
      </w:r>
      <w:r>
        <w:rPr>
          <w:rFonts w:hint="eastAsia" w:ascii="仿宋" w:hAnsi="仿宋" w:eastAsia="仿宋" w:cs="仿宋"/>
          <w:sz w:val="24"/>
          <w:szCs w:val="24"/>
          <w:u w:val="single"/>
        </w:rPr>
        <w:t xml:space="preserve">                            </w:t>
      </w:r>
    </w:p>
    <w:p>
      <w:pPr>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甲   方：</w:t>
      </w:r>
      <w:r>
        <w:rPr>
          <w:rFonts w:hint="eastAsia" w:ascii="仿宋" w:hAnsi="仿宋" w:eastAsia="仿宋" w:cs="仿宋"/>
          <w:b/>
          <w:color w:val="000000"/>
          <w:sz w:val="24"/>
          <w:szCs w:val="24"/>
          <w:u w:val="single"/>
        </w:rPr>
        <w:t xml:space="preserve">                              </w:t>
      </w:r>
    </w:p>
    <w:p>
      <w:pPr>
        <w:spacing w:before="120" w:beforeLines="50" w:after="120" w:afterLines="50" w:line="360" w:lineRule="auto"/>
        <w:rPr>
          <w:rFonts w:ascii="仿宋" w:hAnsi="仿宋" w:eastAsia="仿宋" w:cs="仿宋"/>
          <w:sz w:val="24"/>
          <w:szCs w:val="24"/>
          <w:u w:val="single"/>
        </w:rPr>
      </w:pPr>
      <w:r>
        <w:rPr>
          <w:rFonts w:hint="eastAsia" w:ascii="仿宋" w:hAnsi="仿宋" w:eastAsia="仿宋" w:cs="仿宋"/>
          <w:sz w:val="24"/>
          <w:szCs w:val="24"/>
        </w:rPr>
        <w:t>乙   方：</w:t>
      </w:r>
      <w:r>
        <w:rPr>
          <w:rFonts w:hint="eastAsia" w:ascii="仿宋" w:hAnsi="仿宋" w:eastAsia="仿宋" w:cs="仿宋"/>
          <w:b/>
          <w:sz w:val="24"/>
          <w:szCs w:val="24"/>
          <w:u w:val="single"/>
        </w:rPr>
        <w:t xml:space="preserve">                             </w:t>
      </w:r>
    </w:p>
    <w:p>
      <w:pPr>
        <w:snapToGrid w:val="0"/>
        <w:spacing w:line="400" w:lineRule="exact"/>
        <w:ind w:firstLine="482" w:firstLineChars="200"/>
        <w:jc w:val="left"/>
        <w:rPr>
          <w:rFonts w:ascii="仿宋" w:hAnsi="仿宋" w:eastAsia="仿宋" w:cs="仿宋"/>
          <w:b/>
          <w:bCs/>
          <w:color w:val="000000"/>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甲、乙双方根据</w:t>
      </w:r>
      <w:r>
        <w:rPr>
          <w:rFonts w:hint="eastAsia" w:ascii="仿宋" w:hAnsi="仿宋" w:eastAsia="仿宋" w:cs="仿宋"/>
          <w:b/>
          <w:sz w:val="24"/>
          <w:szCs w:val="24"/>
          <w:u w:val="single"/>
        </w:rPr>
        <w:t xml:space="preserve">               </w:t>
      </w:r>
      <w:r>
        <w:rPr>
          <w:rFonts w:hint="eastAsia" w:ascii="仿宋" w:hAnsi="仿宋" w:eastAsia="仿宋" w:cs="仿宋"/>
          <w:sz w:val="24"/>
          <w:szCs w:val="24"/>
        </w:rPr>
        <w:t>的结果以及项目的招标文件和乙方的投标文件、承诺，甲、乙双方按照平等互利、诚实信用的原则，经友好协商共同签署本合同，确定以下合同条款。</w:t>
      </w:r>
    </w:p>
    <w:p>
      <w:pPr>
        <w:spacing w:before="120" w:beforeLines="50" w:after="120" w:afterLines="50" w:line="360" w:lineRule="auto"/>
        <w:rPr>
          <w:rFonts w:ascii="仿宋" w:hAnsi="仿宋" w:eastAsia="仿宋" w:cs="仿宋"/>
          <w:b/>
          <w:sz w:val="24"/>
          <w:szCs w:val="24"/>
        </w:rPr>
      </w:pPr>
      <w:r>
        <w:rPr>
          <w:rFonts w:hint="eastAsia" w:ascii="仿宋" w:hAnsi="仿宋" w:eastAsia="仿宋" w:cs="仿宋"/>
          <w:b/>
          <w:sz w:val="24"/>
          <w:szCs w:val="24"/>
        </w:rPr>
        <w:t>一、合同总价</w:t>
      </w:r>
    </w:p>
    <w:p>
      <w:pPr>
        <w:snapToGrid w:val="0"/>
        <w:spacing w:line="460" w:lineRule="exact"/>
        <w:rPr>
          <w:rFonts w:ascii="仿宋" w:hAnsi="仿宋" w:eastAsia="仿宋" w:cs="仿宋"/>
          <w:b/>
          <w:sz w:val="24"/>
          <w:szCs w:val="24"/>
        </w:rPr>
      </w:pPr>
      <w:r>
        <w:rPr>
          <w:rFonts w:hint="eastAsia" w:ascii="仿宋" w:hAnsi="仿宋" w:eastAsia="仿宋" w:cs="仿宋"/>
          <w:b/>
          <w:sz w:val="24"/>
          <w:szCs w:val="24"/>
        </w:rPr>
        <w:t>二、服务期限：</w:t>
      </w:r>
      <w:r>
        <w:rPr>
          <w:rFonts w:hint="eastAsia" w:ascii="仿宋" w:hAnsi="仿宋" w:eastAsia="仿宋" w:cs="仿宋"/>
          <w:color w:val="000000"/>
          <w:sz w:val="24"/>
          <w:szCs w:val="24"/>
        </w:rPr>
        <w:t xml:space="preserve">合同期2年 </w:t>
      </w:r>
    </w:p>
    <w:p>
      <w:pPr>
        <w:spacing w:before="120" w:beforeLines="50" w:after="120" w:afterLines="50" w:line="360" w:lineRule="auto"/>
        <w:ind w:left="412" w:hanging="412" w:hangingChars="171"/>
        <w:rPr>
          <w:rFonts w:ascii="仿宋" w:hAnsi="仿宋" w:eastAsia="仿宋" w:cs="仿宋"/>
          <w:b/>
          <w:sz w:val="24"/>
          <w:szCs w:val="24"/>
        </w:rPr>
      </w:pPr>
      <w:r>
        <w:rPr>
          <w:rFonts w:hint="eastAsia" w:ascii="仿宋" w:hAnsi="仿宋" w:eastAsia="仿宋" w:cs="仿宋"/>
          <w:b/>
          <w:sz w:val="24"/>
          <w:szCs w:val="24"/>
        </w:rPr>
        <w:t>三、服务事项：详见招标文件</w:t>
      </w:r>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四、付款方式、费用结算及相关考核管理要求：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1、甲方按月对乙方进行物业服务考核，每季度支付物业服务费；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2、物业服务费：月度实付款=（月度考核得分/100）×月度服务费；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甲方、所属片区、八里店镇等部门每月组织人员对乙方物业服务进行考核，具体考核内容和要求按照《八里店镇社区物业管理项目考核评分表（试行）-2020年度》，考核结果综合上述物业管理要求计入月度物业考核得分，结算月度物业服务费用，次月中旬左右结算扣分情况，当月无扣分现象，按全额支付当月80%物业服务费，剩余部分当年底支付。</w:t>
      </w:r>
    </w:p>
    <w:p>
      <w:pPr>
        <w:spacing w:line="400" w:lineRule="exact"/>
        <w:jc w:val="left"/>
        <w:rPr>
          <w:rFonts w:ascii="仿宋" w:hAnsi="仿宋" w:eastAsia="仿宋" w:cs="仿宋"/>
          <w:b/>
          <w:color w:val="000000"/>
          <w:sz w:val="24"/>
          <w:szCs w:val="24"/>
        </w:rPr>
      </w:pPr>
      <w:r>
        <w:rPr>
          <w:rFonts w:hint="eastAsia" w:ascii="仿宋" w:hAnsi="仿宋" w:eastAsia="仿宋" w:cs="仿宋"/>
          <w:b/>
          <w:color w:val="000000"/>
          <w:sz w:val="24"/>
          <w:szCs w:val="24"/>
        </w:rPr>
        <w:t>五、履约保证金缴纳及返还：</w:t>
      </w:r>
    </w:p>
    <w:p>
      <w:pPr>
        <w:spacing w:line="560" w:lineRule="exact"/>
        <w:ind w:firstLine="600" w:firstLineChars="250"/>
        <w:jc w:val="left"/>
        <w:rPr>
          <w:rFonts w:ascii="仿宋" w:hAnsi="仿宋" w:eastAsia="仿宋" w:cs="仿宋"/>
          <w:sz w:val="24"/>
          <w:szCs w:val="24"/>
        </w:rPr>
      </w:pPr>
      <w:bookmarkStart w:id="692" w:name="_Toc293916931"/>
      <w:r>
        <w:rPr>
          <w:rFonts w:hint="eastAsia" w:ascii="仿宋" w:hAnsi="仿宋" w:eastAsia="仿宋" w:cs="仿宋"/>
          <w:sz w:val="24"/>
          <w:szCs w:val="24"/>
        </w:rPr>
        <w:t>乙方在签订合同时向甲方交纳人民币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r>
        <w:rPr>
          <w:rFonts w:hint="eastAsia" w:ascii="仿宋" w:hAnsi="仿宋" w:eastAsia="仿宋" w:cs="仿宋"/>
          <w:sz w:val="24"/>
          <w:szCs w:val="24"/>
          <w:u w:val="single"/>
        </w:rPr>
        <w:t xml:space="preserve">￥   </w:t>
      </w:r>
      <w:r>
        <w:rPr>
          <w:rFonts w:hint="eastAsia" w:ascii="仿宋" w:hAnsi="仿宋" w:eastAsia="仿宋" w:cs="仿宋"/>
          <w:sz w:val="24"/>
          <w:szCs w:val="24"/>
        </w:rPr>
        <w:t>元），作为本合同的履约保证金</w:t>
      </w:r>
      <w:bookmarkEnd w:id="692"/>
      <w:r>
        <w:rPr>
          <w:rFonts w:hint="eastAsia" w:ascii="仿宋" w:hAnsi="仿宋" w:eastAsia="仿宋" w:cs="仿宋"/>
          <w:sz w:val="24"/>
          <w:szCs w:val="24"/>
        </w:rPr>
        <w:t>。物业服务合同期满（或终止），办理了有关交接手续，交接双方签订了《物业项目交接验收协议》并经备案后30日内返还履约保证金（不计息）。具体退还比例由甲方结合社区意见及物业服务考评结果确定。</w:t>
      </w:r>
    </w:p>
    <w:p>
      <w:pPr>
        <w:spacing w:line="360" w:lineRule="auto"/>
        <w:jc w:val="left"/>
        <w:rPr>
          <w:rFonts w:ascii="仿宋" w:hAnsi="仿宋" w:eastAsia="仿宋" w:cs="仿宋"/>
          <w:sz w:val="24"/>
          <w:szCs w:val="24"/>
        </w:rPr>
      </w:pPr>
      <w:r>
        <w:rPr>
          <w:rFonts w:hint="eastAsia" w:ascii="仿宋" w:hAnsi="仿宋" w:eastAsia="仿宋" w:cs="仿宋"/>
          <w:sz w:val="24"/>
          <w:szCs w:val="24"/>
        </w:rPr>
        <w:t>物业服务合同期间，有下列情形之一的，甲方确认，可以使用履约保证金：</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1、未按有关政策规定或合同约定履行义务和责任的；</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2、物业共用部位、共用设施设备损坏，按《合同》规定，应由乙方负责维修保养而未履行职责的；</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3、未按规定程序办理项目承接和退出手续，不移交相关资料或资料缺失的；</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4、按照或《合同》规定，因管理不善，造成小区环境恶化的；</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5、甲方单位认定的其他情形。</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6、为取得履约保证金所需的费用，由乙方自行负责。</w:t>
      </w:r>
    </w:p>
    <w:p>
      <w:pPr>
        <w:snapToGrid w:val="0"/>
        <w:spacing w:line="400" w:lineRule="exact"/>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六、违约责任约定</w:t>
      </w:r>
    </w:p>
    <w:p>
      <w:pPr>
        <w:tabs>
          <w:tab w:val="left" w:pos="1200"/>
        </w:tabs>
        <w:snapToGrid w:val="0"/>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1、如服务期内，乙方没有按照要求（招标文件、投标文件等）履行合同则履约保证金不予归还。在服务期内如因乙方原因造成甲方财产损失的，甲方有权酌情在保证金中扣除。</w:t>
      </w:r>
    </w:p>
    <w:p>
      <w:pPr>
        <w:tabs>
          <w:tab w:val="left" w:pos="1200"/>
        </w:tabs>
        <w:snapToGrid w:val="0"/>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乙方在合同有效期内,服务质量达不到甲方要求的，甲方出具书面整改通知书后或考核督办单等，乙方必须无条件整改。整改中所产生的一切费用由乙方方负责。如整改后服务质量仍达不到甲方要求的，甲方将扣除全部履约保证金，同时甲方有权单方面解除合同，并追究乙方由此带来的一切经济损失。</w:t>
      </w:r>
    </w:p>
    <w:p>
      <w:pPr>
        <w:tabs>
          <w:tab w:val="left" w:pos="1200"/>
        </w:tabs>
        <w:snapToGrid w:val="0"/>
        <w:spacing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3、因乙方原因中止或终止履行合同的，甲方没收乙方全部履约保证金，并就额外的损失保留索赔权利。</w:t>
      </w:r>
    </w:p>
    <w:p>
      <w:pPr>
        <w:tabs>
          <w:tab w:val="left" w:pos="1200"/>
        </w:tabs>
        <w:snapToGrid w:val="0"/>
        <w:spacing w:before="120" w:beforeLines="50" w:after="120" w:afterLines="50" w:line="400" w:lineRule="exact"/>
        <w:ind w:firstLine="472" w:firstLineChars="196"/>
        <w:rPr>
          <w:rFonts w:ascii="仿宋" w:hAnsi="仿宋" w:eastAsia="仿宋" w:cs="仿宋"/>
          <w:b/>
          <w:color w:val="000000"/>
          <w:sz w:val="24"/>
          <w:szCs w:val="24"/>
        </w:rPr>
      </w:pPr>
      <w:bookmarkStart w:id="693" w:name="_Toc293916935"/>
      <w:r>
        <w:rPr>
          <w:rFonts w:hint="eastAsia" w:ascii="仿宋" w:hAnsi="仿宋" w:eastAsia="仿宋" w:cs="仿宋"/>
          <w:b/>
          <w:color w:val="000000"/>
          <w:sz w:val="24"/>
          <w:szCs w:val="24"/>
        </w:rPr>
        <w:t>七、合同其他约定事项：</w:t>
      </w:r>
    </w:p>
    <w:p>
      <w:pPr>
        <w:tabs>
          <w:tab w:val="left" w:pos="1200"/>
        </w:tabs>
        <w:snapToGrid w:val="0"/>
        <w:spacing w:before="120" w:beforeLines="50" w:after="120" w:afterLines="50"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1、乙方在合同有效期内，必须确保乙方现场工作人员及第三人生命财产安全,因乙方而产生的安全问题,由乙方自行负责。</w:t>
      </w:r>
    </w:p>
    <w:p>
      <w:pPr>
        <w:tabs>
          <w:tab w:val="left" w:pos="1200"/>
        </w:tabs>
        <w:snapToGrid w:val="0"/>
        <w:spacing w:before="120" w:beforeLines="50" w:after="120" w:afterLines="50"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2、乙方所聘所有人员在作业时应严格遵守劳动纪律，遵守安全操作规程，确保安全。发生各种意外事故均由乙方自己依照法律法规妥善处理，甲方对此不承担任何法律责任。</w:t>
      </w:r>
    </w:p>
    <w:p>
      <w:pPr>
        <w:tabs>
          <w:tab w:val="left" w:pos="1200"/>
        </w:tabs>
        <w:snapToGrid w:val="0"/>
        <w:spacing w:before="120" w:beforeLines="50" w:after="120" w:afterLines="50"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本合同范围的服务项目和内容，应由乙方直接服务，不得转让他人，不得转包或分包，同时</w:t>
      </w:r>
      <w:r>
        <w:rPr>
          <w:rFonts w:hint="eastAsia" w:ascii="仿宋" w:hAnsi="仿宋" w:eastAsia="仿宋" w:cs="仿宋"/>
          <w:color w:val="000000"/>
          <w:sz w:val="24"/>
          <w:szCs w:val="24"/>
        </w:rPr>
        <w:t>乙方在入驻管理时可以保留原有环卫、安保和绿化工人等，完成好过渡期的工作。</w:t>
      </w:r>
    </w:p>
    <w:p>
      <w:pPr>
        <w:tabs>
          <w:tab w:val="left" w:pos="1200"/>
        </w:tabs>
        <w:snapToGrid w:val="0"/>
        <w:spacing w:before="120" w:beforeLines="50" w:after="120" w:afterLines="50" w:line="400" w:lineRule="exact"/>
        <w:ind w:firstLine="480" w:firstLineChars="200"/>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4、乙方必须给作业人员购买五险和人身意外保险，如在合同期内发生意外人生事故的则由乙方全权负责。</w:t>
      </w:r>
    </w:p>
    <w:p>
      <w:pPr>
        <w:tabs>
          <w:tab w:val="left" w:pos="1200"/>
        </w:tabs>
        <w:snapToGrid w:val="0"/>
        <w:spacing w:before="120" w:beforeLines="50" w:after="120" w:afterLines="50" w:line="460" w:lineRule="exact"/>
        <w:ind w:firstLine="480" w:firstLineChars="200"/>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5、</w:t>
      </w:r>
      <w:r>
        <w:rPr>
          <w:rFonts w:hint="eastAsia" w:ascii="仿宋" w:hAnsi="仿宋" w:eastAsia="仿宋" w:cs="仿宋"/>
          <w:color w:val="000000"/>
          <w:sz w:val="24"/>
          <w:szCs w:val="24"/>
        </w:rPr>
        <w:t>如群体性涉及物业问题没有管理到位的，或者多次举报查证还未能整改到位的，甲方有权单方面解除合同并没收履约保证金，并有权要求乙方清退出场，所造成的损失由乙方承担。</w:t>
      </w:r>
    </w:p>
    <w:p>
      <w:pPr>
        <w:tabs>
          <w:tab w:val="left" w:pos="1200"/>
        </w:tabs>
        <w:snapToGrid w:val="0"/>
        <w:spacing w:before="120" w:beforeLines="50" w:after="120" w:afterLines="50" w:line="4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6、合同有效期内，乙方及其工作人员与其他单位或个人发生债权、债务纠纷等，与甲方无关。</w:t>
      </w:r>
    </w:p>
    <w:p>
      <w:pPr>
        <w:spacing w:before="120" w:beforeLines="50" w:after="120"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八、合同生效：</w:t>
      </w:r>
    </w:p>
    <w:p>
      <w:pPr>
        <w:spacing w:before="120" w:beforeLines="50" w:after="120"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1、合同经双方法定代表人或授权委托代理人签字并加盖单位公章后生效。</w:t>
      </w:r>
    </w:p>
    <w:p>
      <w:pPr>
        <w:spacing w:before="120" w:beforeLines="50" w:after="120"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color w:val="000000"/>
          <w:sz w:val="24"/>
          <w:szCs w:val="24"/>
        </w:rPr>
        <w:t>本项目招标文件及乙方的投标文件作为本合同的附件，与合同具有同等法律效力。如有不一致的，则依次以招标文件、投标文件、合同为解释顺序。</w:t>
      </w:r>
    </w:p>
    <w:p>
      <w:pPr>
        <w:spacing w:before="120" w:beforeLines="50" w:after="120" w:afterLines="50" w:line="360" w:lineRule="auto"/>
        <w:ind w:left="638" w:leftChars="228"/>
        <w:rPr>
          <w:rFonts w:ascii="仿宋" w:hAnsi="仿宋" w:eastAsia="仿宋" w:cs="仿宋"/>
          <w:sz w:val="24"/>
          <w:szCs w:val="24"/>
        </w:rPr>
      </w:pPr>
      <w:r>
        <w:rPr>
          <w:rFonts w:hint="eastAsia" w:ascii="仿宋" w:hAnsi="仿宋" w:eastAsia="仿宋" w:cs="仿宋"/>
          <w:sz w:val="24"/>
          <w:szCs w:val="24"/>
        </w:rPr>
        <w:t>3、本合同未尽事宜，遵照《合同法》有关条文执行。</w:t>
      </w:r>
    </w:p>
    <w:p>
      <w:pPr>
        <w:tabs>
          <w:tab w:val="left" w:pos="1200"/>
        </w:tabs>
        <w:snapToGrid w:val="0"/>
        <w:spacing w:before="120" w:beforeLines="50" w:after="120" w:afterLines="50"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4、本合同一式伍份，双方各执两份、及建设行政监管主管部门各执一份。甲方要求乙方提供的相关资料证明需在签订本合同时一并提供。</w:t>
      </w:r>
    </w:p>
    <w:p>
      <w:pPr>
        <w:tabs>
          <w:tab w:val="left" w:pos="1200"/>
        </w:tabs>
        <w:snapToGrid w:val="0"/>
        <w:spacing w:before="120" w:beforeLines="50" w:after="120" w:afterLines="50" w:line="460" w:lineRule="exact"/>
        <w:ind w:firstLine="482" w:firstLineChars="200"/>
        <w:rPr>
          <w:rFonts w:ascii="仿宋" w:hAnsi="仿宋" w:eastAsia="仿宋" w:cs="仿宋"/>
          <w:color w:val="000000"/>
          <w:sz w:val="24"/>
          <w:szCs w:val="24"/>
        </w:rPr>
      </w:pPr>
      <w:r>
        <w:rPr>
          <w:rFonts w:hint="eastAsia" w:ascii="仿宋" w:hAnsi="仿宋" w:eastAsia="仿宋" w:cs="仿宋"/>
          <w:b/>
          <w:color w:val="000000"/>
          <w:sz w:val="24"/>
          <w:szCs w:val="24"/>
        </w:rPr>
        <w:t>九、合同纠纷的处理方式：</w:t>
      </w:r>
      <w:r>
        <w:rPr>
          <w:rFonts w:hint="eastAsia" w:ascii="仿宋" w:hAnsi="仿宋" w:eastAsia="仿宋" w:cs="仿宋"/>
          <w:color w:val="000000"/>
          <w:sz w:val="24"/>
          <w:szCs w:val="24"/>
        </w:rPr>
        <w:t>本合同如发生争议，双方应友好协商解决，协商不成，可依法向合同履行地的人民法院提请诉讼。</w:t>
      </w:r>
      <w:bookmarkEnd w:id="693"/>
      <w:bookmarkStart w:id="694" w:name="_Toc293916974"/>
    </w:p>
    <w:p>
      <w:pPr>
        <w:tabs>
          <w:tab w:val="left" w:pos="1200"/>
        </w:tabs>
        <w:snapToGrid w:val="0"/>
        <w:spacing w:line="400" w:lineRule="exact"/>
        <w:rPr>
          <w:rFonts w:ascii="仿宋" w:hAnsi="仿宋" w:eastAsia="仿宋" w:cs="仿宋"/>
          <w:color w:val="000000"/>
          <w:sz w:val="24"/>
          <w:szCs w:val="24"/>
        </w:rPr>
      </w:pPr>
      <w:r>
        <w:rPr>
          <w:rFonts w:hint="eastAsia" w:ascii="仿宋" w:hAnsi="仿宋" w:eastAsia="仿宋" w:cs="仿宋"/>
          <w:color w:val="000000"/>
          <w:sz w:val="24"/>
          <w:szCs w:val="24"/>
        </w:rPr>
        <w:t>甲方：                                   乙方：</w:t>
      </w:r>
      <w:bookmarkEnd w:id="694"/>
      <w:r>
        <w:rPr>
          <w:rFonts w:hint="eastAsia" w:ascii="仿宋" w:hAnsi="仿宋" w:eastAsia="仿宋" w:cs="仿宋"/>
          <w:color w:val="000000"/>
          <w:sz w:val="24"/>
          <w:szCs w:val="24"/>
        </w:rPr>
        <w:t xml:space="preserve"> </w:t>
      </w:r>
    </w:p>
    <w:p>
      <w:pPr>
        <w:tabs>
          <w:tab w:val="left" w:pos="1200"/>
        </w:tabs>
        <w:snapToGrid w:val="0"/>
        <w:spacing w:line="400" w:lineRule="exact"/>
        <w:rPr>
          <w:rFonts w:ascii="仿宋" w:hAnsi="仿宋" w:eastAsia="仿宋" w:cs="仿宋"/>
          <w:color w:val="000000"/>
          <w:sz w:val="24"/>
          <w:szCs w:val="24"/>
        </w:rPr>
      </w:pPr>
    </w:p>
    <w:p>
      <w:pPr>
        <w:tabs>
          <w:tab w:val="left" w:pos="1200"/>
        </w:tabs>
        <w:snapToGrid w:val="0"/>
        <w:spacing w:line="400" w:lineRule="exact"/>
        <w:rPr>
          <w:rFonts w:ascii="仿宋" w:hAnsi="仿宋" w:eastAsia="仿宋" w:cs="仿宋"/>
          <w:color w:val="000000"/>
          <w:sz w:val="24"/>
          <w:szCs w:val="24"/>
        </w:rPr>
      </w:pPr>
      <w:bookmarkStart w:id="695" w:name="_Toc293916975"/>
      <w:r>
        <w:rPr>
          <w:rFonts w:hint="eastAsia" w:ascii="仿宋" w:hAnsi="仿宋" w:eastAsia="仿宋" w:cs="仿宋"/>
          <w:color w:val="000000"/>
          <w:sz w:val="24"/>
          <w:szCs w:val="24"/>
        </w:rPr>
        <w:t>地址：                                   地址：</w:t>
      </w:r>
      <w:bookmarkEnd w:id="695"/>
      <w:r>
        <w:rPr>
          <w:rFonts w:hint="eastAsia" w:ascii="仿宋" w:hAnsi="仿宋" w:eastAsia="仿宋" w:cs="仿宋"/>
          <w:color w:val="000000"/>
          <w:sz w:val="24"/>
          <w:szCs w:val="24"/>
        </w:rPr>
        <w:t xml:space="preserve"> </w:t>
      </w:r>
    </w:p>
    <w:p>
      <w:pPr>
        <w:tabs>
          <w:tab w:val="left" w:pos="1200"/>
        </w:tabs>
        <w:snapToGrid w:val="0"/>
        <w:spacing w:line="400" w:lineRule="exact"/>
        <w:rPr>
          <w:rFonts w:ascii="仿宋" w:hAnsi="仿宋" w:eastAsia="仿宋" w:cs="仿宋"/>
          <w:color w:val="000000"/>
          <w:sz w:val="24"/>
          <w:szCs w:val="24"/>
        </w:rPr>
      </w:pPr>
    </w:p>
    <w:p>
      <w:pPr>
        <w:tabs>
          <w:tab w:val="left" w:pos="1200"/>
        </w:tabs>
        <w:snapToGrid w:val="0"/>
        <w:spacing w:line="400" w:lineRule="exact"/>
        <w:rPr>
          <w:rFonts w:ascii="仿宋" w:hAnsi="仿宋" w:eastAsia="仿宋" w:cs="仿宋"/>
          <w:color w:val="000000"/>
          <w:sz w:val="24"/>
          <w:szCs w:val="24"/>
        </w:rPr>
      </w:pPr>
      <w:bookmarkStart w:id="696" w:name="_Toc293916976"/>
      <w:r>
        <w:rPr>
          <w:rFonts w:hint="eastAsia" w:ascii="仿宋" w:hAnsi="仿宋" w:eastAsia="仿宋" w:cs="仿宋"/>
          <w:color w:val="000000"/>
          <w:sz w:val="24"/>
          <w:szCs w:val="24"/>
        </w:rPr>
        <w:t>法定代表人：                             法定代表人：</w:t>
      </w:r>
      <w:bookmarkEnd w:id="696"/>
    </w:p>
    <w:p>
      <w:pPr>
        <w:tabs>
          <w:tab w:val="left" w:pos="1200"/>
        </w:tabs>
        <w:snapToGrid w:val="0"/>
        <w:spacing w:line="400" w:lineRule="exact"/>
        <w:rPr>
          <w:rFonts w:ascii="仿宋" w:hAnsi="仿宋" w:eastAsia="仿宋" w:cs="仿宋"/>
          <w:color w:val="000000"/>
          <w:sz w:val="24"/>
          <w:szCs w:val="24"/>
        </w:rPr>
      </w:pPr>
    </w:p>
    <w:p>
      <w:pPr>
        <w:tabs>
          <w:tab w:val="left" w:pos="1200"/>
        </w:tabs>
        <w:snapToGrid w:val="0"/>
        <w:spacing w:line="400" w:lineRule="exact"/>
        <w:rPr>
          <w:rFonts w:ascii="仿宋" w:hAnsi="仿宋" w:eastAsia="仿宋" w:cs="仿宋"/>
          <w:sz w:val="24"/>
          <w:szCs w:val="24"/>
        </w:rPr>
      </w:pPr>
      <w:bookmarkStart w:id="697" w:name="_Toc293916977"/>
      <w:r>
        <w:rPr>
          <w:rFonts w:hint="eastAsia" w:ascii="仿宋" w:hAnsi="仿宋" w:eastAsia="仿宋" w:cs="仿宋"/>
          <w:sz w:val="24"/>
          <w:szCs w:val="24"/>
        </w:rPr>
        <w:t>签订时间：     年    月   日             签订日期：    年    月   日</w:t>
      </w:r>
      <w:bookmarkEnd w:id="697"/>
    </w:p>
    <w:p>
      <w:pPr>
        <w:tabs>
          <w:tab w:val="left" w:pos="1200"/>
        </w:tabs>
        <w:snapToGrid w:val="0"/>
        <w:spacing w:line="400" w:lineRule="exact"/>
        <w:ind w:firstLine="480" w:firstLineChars="200"/>
        <w:rPr>
          <w:rFonts w:ascii="仿宋" w:hAnsi="仿宋" w:eastAsia="仿宋" w:cs="仿宋"/>
          <w:sz w:val="24"/>
          <w:szCs w:val="24"/>
        </w:rPr>
      </w:pPr>
    </w:p>
    <w:p>
      <w:pPr>
        <w:rPr>
          <w:rFonts w:ascii="仿宋" w:hAnsi="仿宋" w:eastAsia="仿宋" w:cs="仿宋"/>
          <w:sz w:val="24"/>
          <w:szCs w:val="24"/>
        </w:rPr>
      </w:pPr>
    </w:p>
    <w:p>
      <w:pPr>
        <w:pStyle w:val="16"/>
        <w:adjustRightInd w:val="0"/>
        <w:snapToGrid w:val="0"/>
        <w:spacing w:before="120" w:after="120" w:line="460" w:lineRule="exact"/>
        <w:ind w:firstLine="511" w:firstLineChars="213"/>
        <w:rPr>
          <w:rFonts w:ascii="仿宋" w:hAnsi="仿宋" w:eastAsia="仿宋" w:cs="仿宋"/>
          <w:sz w:val="24"/>
          <w:szCs w:val="24"/>
        </w:rPr>
      </w:pPr>
      <w:r>
        <w:rPr>
          <w:rFonts w:hint="eastAsia" w:ascii="仿宋" w:hAnsi="仿宋" w:eastAsia="仿宋" w:cs="仿宋"/>
          <w:sz w:val="24"/>
          <w:szCs w:val="24"/>
        </w:rPr>
        <w:t xml:space="preserve"> </w:t>
      </w:r>
    </w:p>
    <w:p>
      <w:pPr>
        <w:pStyle w:val="16"/>
        <w:adjustRightInd w:val="0"/>
        <w:snapToGrid w:val="0"/>
        <w:spacing w:before="120" w:after="120" w:line="460" w:lineRule="exact"/>
        <w:ind w:firstLine="511" w:firstLineChars="213"/>
        <w:rPr>
          <w:rFonts w:ascii="仿宋" w:hAnsi="仿宋" w:eastAsia="仿宋" w:cs="仿宋"/>
          <w:sz w:val="24"/>
          <w:szCs w:val="24"/>
        </w:rPr>
      </w:pPr>
    </w:p>
    <w:p>
      <w:pPr>
        <w:pStyle w:val="16"/>
        <w:adjustRightInd w:val="0"/>
        <w:snapToGrid w:val="0"/>
        <w:spacing w:before="120" w:after="120" w:line="460" w:lineRule="exact"/>
        <w:ind w:firstLine="639" w:firstLineChars="213"/>
        <w:rPr>
          <w:rFonts w:ascii="仿宋" w:hAnsi="仿宋" w:eastAsia="仿宋"/>
          <w:sz w:val="30"/>
          <w:szCs w:val="30"/>
        </w:rPr>
      </w:pPr>
    </w:p>
    <w:p>
      <w:pPr>
        <w:pStyle w:val="16"/>
        <w:adjustRightInd w:val="0"/>
        <w:snapToGrid w:val="0"/>
        <w:spacing w:before="120" w:after="120" w:line="460" w:lineRule="exact"/>
        <w:ind w:firstLine="639" w:firstLineChars="213"/>
        <w:rPr>
          <w:rFonts w:ascii="仿宋" w:hAnsi="仿宋" w:eastAsia="仿宋"/>
          <w:sz w:val="30"/>
          <w:szCs w:val="30"/>
        </w:rPr>
      </w:pPr>
    </w:p>
    <w:p>
      <w:pPr>
        <w:pStyle w:val="16"/>
        <w:adjustRightInd w:val="0"/>
        <w:snapToGrid w:val="0"/>
        <w:spacing w:before="120" w:after="120" w:line="460" w:lineRule="exact"/>
        <w:ind w:firstLine="639" w:firstLineChars="213"/>
        <w:rPr>
          <w:rFonts w:ascii="仿宋" w:hAnsi="仿宋" w:eastAsia="仿宋"/>
          <w:sz w:val="30"/>
          <w:szCs w:val="30"/>
        </w:rPr>
      </w:pPr>
    </w:p>
    <w:p>
      <w:pPr>
        <w:pStyle w:val="16"/>
        <w:adjustRightInd w:val="0"/>
        <w:snapToGrid w:val="0"/>
        <w:spacing w:before="120" w:after="120" w:line="460" w:lineRule="exact"/>
        <w:ind w:firstLine="639" w:firstLineChars="213"/>
        <w:rPr>
          <w:rFonts w:ascii="仿宋" w:hAnsi="仿宋" w:eastAsia="仿宋"/>
          <w:sz w:val="30"/>
          <w:szCs w:val="30"/>
        </w:rPr>
      </w:pPr>
    </w:p>
    <w:p>
      <w:pPr>
        <w:rPr>
          <w:rFonts w:ascii="仿宋" w:hAnsi="仿宋" w:eastAsia="仿宋" w:cs="仿宋"/>
          <w:bCs/>
        </w:rPr>
      </w:pPr>
      <w:bookmarkStart w:id="698" w:name="_Toc19136"/>
      <w:r>
        <w:rPr>
          <w:rFonts w:hint="eastAsia" w:ascii="微软雅黑" w:hAnsi="微软雅黑" w:eastAsia="微软雅黑"/>
        </w:rPr>
        <w:br w:type="page"/>
      </w:r>
      <w:bookmarkStart w:id="699" w:name="_Toc7384"/>
      <w:r>
        <w:rPr>
          <w:rFonts w:hint="eastAsia" w:ascii="仿宋" w:hAnsi="仿宋" w:eastAsia="仿宋" w:cs="仿宋"/>
          <w:bCs/>
        </w:rPr>
        <w:t>第五章 投标文件格式</w:t>
      </w:r>
      <w:bookmarkEnd w:id="699"/>
    </w:p>
    <w:p>
      <w:pPr>
        <w:pStyle w:val="5"/>
        <w:spacing w:line="600" w:lineRule="exact"/>
        <w:rPr>
          <w:rFonts w:ascii="仿宋" w:hAnsi="仿宋" w:eastAsia="仿宋" w:cs="仿宋"/>
          <w:bCs/>
          <w:sz w:val="24"/>
          <w:szCs w:val="24"/>
        </w:rPr>
      </w:pPr>
      <w:bookmarkStart w:id="700" w:name="_Toc9437"/>
      <w:r>
        <w:rPr>
          <w:rFonts w:hint="eastAsia" w:ascii="仿宋" w:hAnsi="仿宋" w:eastAsia="仿宋" w:cs="仿宋"/>
          <w:bCs/>
          <w:sz w:val="24"/>
          <w:szCs w:val="24"/>
        </w:rPr>
        <w:t>投标声明书</w:t>
      </w:r>
      <w:bookmarkEnd w:id="698"/>
      <w:bookmarkEnd w:id="700"/>
    </w:p>
    <w:p>
      <w:pPr>
        <w:spacing w:line="600" w:lineRule="exac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（招标人名称）：</w:t>
      </w:r>
    </w:p>
    <w:p>
      <w:pPr>
        <w:pStyle w:val="45"/>
        <w:shd w:val="clear" w:color="auto" w:fill="FFFFFF"/>
        <w:spacing w:before="0" w:beforeAutospacing="0" w:after="0" w:afterAutospacing="0" w:line="600" w:lineRule="exact"/>
        <w:ind w:firstLine="480" w:firstLineChars="200"/>
        <w:rPr>
          <w:rFonts w:ascii="仿宋" w:hAnsi="仿宋" w:eastAsia="仿宋" w:cs="仿宋"/>
          <w:kern w:val="2"/>
          <w:szCs w:val="24"/>
        </w:rPr>
      </w:pPr>
      <w:r>
        <w:rPr>
          <w:rFonts w:hint="eastAsia" w:ascii="仿宋" w:hAnsi="仿宋" w:eastAsia="仿宋" w:cs="仿宋"/>
          <w:kern w:val="2"/>
          <w:szCs w:val="24"/>
        </w:rPr>
        <w:t>本人</w:t>
      </w:r>
      <w:r>
        <w:rPr>
          <w:rFonts w:hint="eastAsia" w:ascii="仿宋" w:hAnsi="仿宋" w:eastAsia="仿宋" w:cs="仿宋"/>
          <w:kern w:val="2"/>
          <w:szCs w:val="24"/>
          <w:u w:val="single"/>
        </w:rPr>
        <w:t xml:space="preserve">       （姓名）</w:t>
      </w:r>
      <w:r>
        <w:rPr>
          <w:rFonts w:hint="eastAsia" w:ascii="仿宋" w:hAnsi="仿宋" w:eastAsia="仿宋" w:cs="仿宋"/>
          <w:kern w:val="2"/>
          <w:szCs w:val="24"/>
        </w:rPr>
        <w:t>系</w:t>
      </w:r>
      <w:r>
        <w:rPr>
          <w:rFonts w:hint="eastAsia" w:ascii="仿宋" w:hAnsi="仿宋" w:eastAsia="仿宋" w:cs="仿宋"/>
          <w:kern w:val="2"/>
          <w:szCs w:val="24"/>
          <w:u w:val="single"/>
        </w:rPr>
        <w:t xml:space="preserve">                 （投标人名称）</w:t>
      </w:r>
      <w:r>
        <w:rPr>
          <w:rFonts w:hint="eastAsia" w:ascii="仿宋" w:hAnsi="仿宋" w:eastAsia="仿宋" w:cs="仿宋"/>
          <w:kern w:val="2"/>
          <w:szCs w:val="24"/>
        </w:rPr>
        <w:t>的法定代表人，我方愿意参加贵方拟建的</w:t>
      </w:r>
      <w:r>
        <w:rPr>
          <w:rFonts w:hint="eastAsia" w:ascii="仿宋" w:hAnsi="仿宋" w:eastAsia="仿宋" w:cs="仿宋"/>
          <w:kern w:val="2"/>
          <w:szCs w:val="24"/>
          <w:u w:val="single"/>
        </w:rPr>
        <w:t xml:space="preserve">                       </w:t>
      </w:r>
      <w:r>
        <w:rPr>
          <w:rFonts w:hint="eastAsia" w:ascii="仿宋" w:hAnsi="仿宋" w:eastAsia="仿宋" w:cs="仿宋"/>
          <w:kern w:val="2"/>
          <w:szCs w:val="24"/>
        </w:rPr>
        <w:t>项目的投标，我方就本次投标有关事项郑重声明如下：</w:t>
      </w:r>
    </w:p>
    <w:p>
      <w:pPr>
        <w:pStyle w:val="45"/>
        <w:shd w:val="clear" w:color="auto" w:fill="FFFFFF"/>
        <w:spacing w:before="0" w:beforeAutospacing="0" w:after="0" w:afterAutospacing="0" w:line="600" w:lineRule="exact"/>
        <w:ind w:firstLine="480" w:firstLineChars="200"/>
        <w:rPr>
          <w:rFonts w:ascii="仿宋" w:hAnsi="仿宋" w:eastAsia="仿宋" w:cs="仿宋"/>
          <w:kern w:val="2"/>
          <w:szCs w:val="24"/>
        </w:rPr>
      </w:pPr>
      <w:r>
        <w:rPr>
          <w:rFonts w:hint="eastAsia" w:ascii="仿宋" w:hAnsi="仿宋" w:eastAsia="仿宋" w:cs="仿宋"/>
          <w:kern w:val="2"/>
          <w:szCs w:val="24"/>
        </w:rPr>
        <w:t>我方此次提交的投标文件等所有资料均真实有效的，如有不实，我单位自愿取消本项目投标资格，并无条件接受3个月以上的不良行为公示，一旦成交，成交无效，接受建设行政主管部门的行政处罚。</w:t>
      </w:r>
    </w:p>
    <w:p>
      <w:pPr>
        <w:pStyle w:val="45"/>
        <w:shd w:val="clear" w:color="auto" w:fill="FFFFFF"/>
        <w:spacing w:before="0" w:beforeAutospacing="0" w:after="0" w:afterAutospacing="0" w:line="600" w:lineRule="exact"/>
        <w:ind w:firstLine="480" w:firstLineChars="200"/>
        <w:rPr>
          <w:rFonts w:ascii="仿宋" w:hAnsi="仿宋" w:eastAsia="仿宋" w:cs="仿宋"/>
          <w:kern w:val="2"/>
          <w:szCs w:val="24"/>
        </w:rPr>
      </w:pPr>
      <w:r>
        <w:rPr>
          <w:rFonts w:hint="eastAsia" w:ascii="仿宋" w:hAnsi="仿宋" w:eastAsia="仿宋" w:cs="仿宋"/>
          <w:kern w:val="2"/>
          <w:szCs w:val="24"/>
        </w:rPr>
        <w:t>特此声明。</w:t>
      </w:r>
    </w:p>
    <w:p>
      <w:pPr>
        <w:pStyle w:val="45"/>
        <w:shd w:val="clear" w:color="auto" w:fill="FFFFFF"/>
        <w:spacing w:before="0" w:beforeAutospacing="0" w:after="0" w:afterAutospacing="0" w:line="600" w:lineRule="exact"/>
        <w:ind w:firstLine="480" w:firstLineChars="200"/>
        <w:rPr>
          <w:rFonts w:ascii="仿宋" w:hAnsi="仿宋" w:eastAsia="仿宋" w:cs="仿宋"/>
          <w:kern w:val="2"/>
          <w:szCs w:val="24"/>
        </w:rPr>
      </w:pPr>
    </w:p>
    <w:p>
      <w:pPr>
        <w:spacing w:line="600" w:lineRule="exact"/>
        <w:jc w:val="right"/>
        <w:rPr>
          <w:rFonts w:ascii="仿宋" w:hAnsi="仿宋" w:eastAsia="仿宋" w:cs="仿宋"/>
          <w:sz w:val="24"/>
          <w:szCs w:val="24"/>
        </w:rPr>
      </w:pPr>
      <w:r>
        <w:rPr>
          <w:rFonts w:hint="eastAsia" w:ascii="仿宋" w:hAnsi="仿宋" w:eastAsia="仿宋" w:cs="仿宋"/>
          <w:sz w:val="24"/>
          <w:szCs w:val="24"/>
        </w:rPr>
        <w:t>投 标 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600" w:lineRule="exact"/>
        <w:jc w:val="right"/>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spacing w:line="600" w:lineRule="exact"/>
        <w:jc w:val="righ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5"/>
        <w:spacing w:line="600" w:lineRule="exact"/>
        <w:rPr>
          <w:rFonts w:ascii="仿宋" w:hAnsi="仿宋" w:eastAsia="仿宋" w:cs="仿宋"/>
          <w:b w:val="0"/>
          <w:sz w:val="24"/>
          <w:szCs w:val="24"/>
        </w:rPr>
      </w:pPr>
      <w:bookmarkStart w:id="701" w:name="_Toc152042597"/>
      <w:bookmarkStart w:id="702" w:name="_Toc247085891"/>
      <w:bookmarkStart w:id="703" w:name="_Toc246997116"/>
      <w:bookmarkStart w:id="704" w:name="_Toc144974876"/>
      <w:bookmarkStart w:id="705" w:name="_Toc246996373"/>
      <w:bookmarkStart w:id="706" w:name="_Toc179632828"/>
      <w:bookmarkStart w:id="707" w:name="_Toc152045808"/>
      <w:bookmarkStart w:id="708" w:name="_Toc449509920"/>
      <w:r>
        <w:rPr>
          <w:rFonts w:hint="eastAsia" w:ascii="仿宋" w:hAnsi="仿宋" w:eastAsia="仿宋" w:cs="仿宋"/>
          <w:b w:val="0"/>
          <w:sz w:val="24"/>
          <w:szCs w:val="24"/>
        </w:rPr>
        <w:br w:type="page"/>
      </w:r>
      <w:bookmarkStart w:id="709" w:name="_Toc4991"/>
      <w:bookmarkStart w:id="710" w:name="_Toc13251"/>
      <w:r>
        <w:rPr>
          <w:rFonts w:hint="eastAsia" w:ascii="仿宋" w:hAnsi="仿宋" w:eastAsia="仿宋" w:cs="仿宋"/>
          <w:bCs/>
          <w:sz w:val="24"/>
          <w:szCs w:val="24"/>
        </w:rPr>
        <w:t>企业基本情况表</w:t>
      </w:r>
      <w:bookmarkEnd w:id="701"/>
      <w:bookmarkEnd w:id="702"/>
      <w:bookmarkEnd w:id="703"/>
      <w:bookmarkEnd w:id="704"/>
      <w:bookmarkEnd w:id="705"/>
      <w:bookmarkEnd w:id="706"/>
      <w:bookmarkEnd w:id="707"/>
      <w:bookmarkEnd w:id="708"/>
      <w:bookmarkEnd w:id="709"/>
      <w:bookmarkEnd w:id="710"/>
    </w:p>
    <w:tbl>
      <w:tblPr>
        <w:tblStyle w:val="25"/>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3787"/>
        <w:gridCol w:w="1221"/>
        <w:gridCol w:w="24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37" w:type="dxa"/>
            <w:vAlign w:val="center"/>
          </w:tcPr>
          <w:p>
            <w:pPr>
              <w:spacing w:line="360" w:lineRule="exact"/>
              <w:jc w:val="center"/>
              <w:rPr>
                <w:rFonts w:ascii="仿宋" w:hAnsi="仿宋" w:eastAsia="仿宋" w:cs="仿宋"/>
                <w:sz w:val="24"/>
                <w:szCs w:val="24"/>
              </w:rPr>
            </w:pPr>
            <w:bookmarkStart w:id="711" w:name="_Toc6943"/>
            <w:r>
              <w:rPr>
                <w:rFonts w:hint="eastAsia" w:ascii="仿宋" w:hAnsi="仿宋" w:eastAsia="仿宋" w:cs="仿宋"/>
                <w:sz w:val="24"/>
                <w:szCs w:val="24"/>
              </w:rPr>
              <w:t>企 业 名 称</w:t>
            </w:r>
          </w:p>
        </w:tc>
        <w:tc>
          <w:tcPr>
            <w:tcW w:w="7072" w:type="dxa"/>
            <w:gridSpan w:val="4"/>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主要业务范围</w:t>
            </w:r>
          </w:p>
        </w:tc>
        <w:tc>
          <w:tcPr>
            <w:tcW w:w="7072" w:type="dxa"/>
            <w:gridSpan w:val="4"/>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法定代表人姓名</w:t>
            </w:r>
          </w:p>
        </w:tc>
        <w:tc>
          <w:tcPr>
            <w:tcW w:w="3787" w:type="dxa"/>
            <w:vAlign w:val="center"/>
          </w:tcPr>
          <w:p>
            <w:pPr>
              <w:spacing w:line="360" w:lineRule="exact"/>
              <w:jc w:val="center"/>
              <w:rPr>
                <w:rFonts w:ascii="仿宋" w:hAnsi="仿宋" w:eastAsia="仿宋" w:cs="仿宋"/>
                <w:sz w:val="24"/>
                <w:szCs w:val="24"/>
              </w:rPr>
            </w:pPr>
          </w:p>
        </w:tc>
        <w:tc>
          <w:tcPr>
            <w:tcW w:w="1468"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职    务</w:t>
            </w:r>
          </w:p>
        </w:tc>
        <w:tc>
          <w:tcPr>
            <w:tcW w:w="1817"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总 部 地 址</w:t>
            </w:r>
          </w:p>
        </w:tc>
        <w:tc>
          <w:tcPr>
            <w:tcW w:w="3787" w:type="dxa"/>
            <w:vAlign w:val="center"/>
          </w:tcPr>
          <w:p>
            <w:pPr>
              <w:spacing w:line="360" w:lineRule="exact"/>
              <w:jc w:val="center"/>
              <w:rPr>
                <w:rFonts w:ascii="仿宋" w:hAnsi="仿宋" w:eastAsia="仿宋" w:cs="仿宋"/>
                <w:sz w:val="24"/>
                <w:szCs w:val="24"/>
              </w:rPr>
            </w:pPr>
          </w:p>
        </w:tc>
        <w:tc>
          <w:tcPr>
            <w:tcW w:w="1468"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邮政编码</w:t>
            </w:r>
          </w:p>
        </w:tc>
        <w:tc>
          <w:tcPr>
            <w:tcW w:w="1817"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分支机构情况</w:t>
            </w:r>
          </w:p>
        </w:tc>
        <w:tc>
          <w:tcPr>
            <w:tcW w:w="7072" w:type="dxa"/>
            <w:gridSpan w:val="4"/>
            <w:vAlign w:val="center"/>
          </w:tcPr>
          <w:p>
            <w:pPr>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电    话</w:t>
            </w:r>
          </w:p>
        </w:tc>
        <w:tc>
          <w:tcPr>
            <w:tcW w:w="3787" w:type="dxa"/>
            <w:vAlign w:val="center"/>
          </w:tcPr>
          <w:p>
            <w:pPr>
              <w:spacing w:line="360" w:lineRule="exact"/>
              <w:jc w:val="center"/>
              <w:rPr>
                <w:rFonts w:ascii="仿宋" w:hAnsi="仿宋" w:eastAsia="仿宋" w:cs="仿宋"/>
                <w:sz w:val="24"/>
                <w:szCs w:val="24"/>
              </w:rPr>
            </w:pPr>
          </w:p>
        </w:tc>
        <w:tc>
          <w:tcPr>
            <w:tcW w:w="122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传  真</w:t>
            </w:r>
          </w:p>
        </w:tc>
        <w:tc>
          <w:tcPr>
            <w:tcW w:w="2064"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成 立 日 期</w:t>
            </w:r>
          </w:p>
        </w:tc>
        <w:tc>
          <w:tcPr>
            <w:tcW w:w="3787" w:type="dxa"/>
            <w:vAlign w:val="center"/>
          </w:tcPr>
          <w:p>
            <w:pPr>
              <w:spacing w:line="360" w:lineRule="exact"/>
              <w:jc w:val="center"/>
              <w:rPr>
                <w:rFonts w:ascii="仿宋" w:hAnsi="仿宋" w:eastAsia="仿宋" w:cs="仿宋"/>
                <w:sz w:val="24"/>
                <w:szCs w:val="24"/>
              </w:rPr>
            </w:pPr>
          </w:p>
        </w:tc>
        <w:tc>
          <w:tcPr>
            <w:tcW w:w="122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现有职</w:t>
            </w:r>
          </w:p>
          <w:p>
            <w:pPr>
              <w:spacing w:line="360" w:lineRule="exact"/>
              <w:jc w:val="center"/>
              <w:rPr>
                <w:rFonts w:ascii="仿宋" w:hAnsi="仿宋" w:eastAsia="仿宋" w:cs="仿宋"/>
                <w:sz w:val="24"/>
                <w:szCs w:val="24"/>
              </w:rPr>
            </w:pPr>
            <w:r>
              <w:rPr>
                <w:rFonts w:hint="eastAsia" w:ascii="仿宋" w:hAnsi="仿宋" w:eastAsia="仿宋" w:cs="仿宋"/>
                <w:sz w:val="24"/>
                <w:szCs w:val="24"/>
              </w:rPr>
              <w:t>工人数</w:t>
            </w:r>
          </w:p>
        </w:tc>
        <w:tc>
          <w:tcPr>
            <w:tcW w:w="2064"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trPr>
        <w:tc>
          <w:tcPr>
            <w:tcW w:w="243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企业简介</w:t>
            </w:r>
          </w:p>
        </w:tc>
        <w:tc>
          <w:tcPr>
            <w:tcW w:w="7072" w:type="dxa"/>
            <w:gridSpan w:val="4"/>
            <w:vAlign w:val="center"/>
          </w:tcPr>
          <w:p>
            <w:pPr>
              <w:spacing w:line="360" w:lineRule="exact"/>
              <w:jc w:val="center"/>
              <w:rPr>
                <w:rFonts w:ascii="仿宋" w:hAnsi="仿宋" w:eastAsia="仿宋" w:cs="仿宋"/>
                <w:sz w:val="24"/>
                <w:szCs w:val="24"/>
              </w:rPr>
            </w:pPr>
          </w:p>
        </w:tc>
      </w:tr>
    </w:tbl>
    <w:p>
      <w:pPr>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jc w:val="right"/>
        <w:rPr>
          <w:rFonts w:ascii="仿宋" w:hAnsi="仿宋" w:eastAsia="仿宋" w:cs="仿宋"/>
          <w:sz w:val="24"/>
          <w:szCs w:val="24"/>
        </w:rPr>
      </w:pPr>
      <w:r>
        <w:rPr>
          <w:rFonts w:hint="eastAsia" w:ascii="仿宋" w:hAnsi="仿宋" w:eastAsia="仿宋" w:cs="仿宋"/>
          <w:sz w:val="24"/>
          <w:szCs w:val="24"/>
        </w:rPr>
        <w:t xml:space="preserve"> 投标人：</w:t>
      </w:r>
      <w:r>
        <w:rPr>
          <w:rFonts w:hint="eastAsia" w:ascii="仿宋" w:hAnsi="仿宋" w:eastAsia="仿宋" w:cs="仿宋"/>
          <w:sz w:val="24"/>
          <w:szCs w:val="24"/>
          <w:u w:val="single"/>
        </w:rPr>
        <w:t xml:space="preserve"> </w:t>
      </w:r>
      <w:r>
        <w:rPr>
          <w:rFonts w:hint="eastAsia" w:ascii="仿宋" w:hAnsi="仿宋" w:eastAsia="仿宋" w:cs="仿宋"/>
          <w:spacing w:val="14"/>
          <w:sz w:val="24"/>
          <w:szCs w:val="24"/>
          <w:u w:val="single"/>
        </w:rPr>
        <w:t>（单位全称并加盖公章）</w:t>
      </w:r>
    </w:p>
    <w:p>
      <w:pPr>
        <w:spacing w:line="360" w:lineRule="auto"/>
        <w:jc w:val="right"/>
        <w:rPr>
          <w:rFonts w:ascii="仿宋" w:hAnsi="仿宋" w:eastAsia="仿宋" w:cs="仿宋"/>
          <w:sz w:val="24"/>
          <w:szCs w:val="24"/>
        </w:rPr>
      </w:pPr>
      <w:r>
        <w:rPr>
          <w:rFonts w:hint="eastAsia" w:ascii="仿宋" w:hAnsi="仿宋" w:eastAsia="仿宋" w:cs="仿宋"/>
          <w:spacing w:val="11"/>
          <w:sz w:val="24"/>
          <w:szCs w:val="24"/>
        </w:rPr>
        <w:t>法定代表人或授权委托人：</w:t>
      </w:r>
      <w:r>
        <w:rPr>
          <w:rFonts w:hint="eastAsia" w:ascii="仿宋" w:hAnsi="仿宋" w:eastAsia="仿宋" w:cs="仿宋"/>
          <w:spacing w:val="11"/>
          <w:sz w:val="24"/>
          <w:szCs w:val="24"/>
          <w:u w:val="single"/>
        </w:rPr>
        <w:t xml:space="preserve"> （签字或盖章） </w:t>
      </w:r>
    </w:p>
    <w:p>
      <w:pPr>
        <w:spacing w:line="360" w:lineRule="auto"/>
        <w:ind w:firstLine="5520" w:firstLineChars="23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00" w:lineRule="exact"/>
        <w:rPr>
          <w:rFonts w:ascii="仿宋" w:hAnsi="仿宋" w:eastAsia="仿宋" w:cs="仿宋"/>
          <w:b/>
          <w:bCs/>
          <w:spacing w:val="24"/>
          <w:sz w:val="24"/>
          <w:szCs w:val="24"/>
        </w:rPr>
      </w:pPr>
    </w:p>
    <w:p>
      <w:pPr>
        <w:spacing w:line="440" w:lineRule="exact"/>
        <w:jc w:val="center"/>
        <w:rPr>
          <w:rFonts w:ascii="仿宋" w:hAnsi="仿宋" w:eastAsia="仿宋" w:cs="仿宋"/>
          <w:sz w:val="24"/>
          <w:szCs w:val="24"/>
        </w:rPr>
      </w:pPr>
    </w:p>
    <w:bookmarkEnd w:id="711"/>
    <w:p>
      <w:pPr>
        <w:spacing w:line="440" w:lineRule="exact"/>
        <w:jc w:val="center"/>
        <w:outlineLvl w:val="1"/>
        <w:rPr>
          <w:rFonts w:ascii="仿宋" w:hAnsi="仿宋" w:eastAsia="仿宋" w:cs="仿宋"/>
          <w:b/>
          <w:bCs/>
          <w:sz w:val="24"/>
          <w:szCs w:val="24"/>
        </w:rPr>
      </w:pPr>
      <w:bookmarkStart w:id="712" w:name="_Toc22318"/>
      <w:bookmarkStart w:id="713" w:name="_Toc9820"/>
      <w:r>
        <w:rPr>
          <w:rFonts w:hint="eastAsia" w:ascii="仿宋" w:hAnsi="仿宋" w:eastAsia="仿宋" w:cs="仿宋"/>
          <w:b/>
          <w:bCs/>
          <w:sz w:val="24"/>
          <w:szCs w:val="24"/>
        </w:rPr>
        <w:t>法定代表人身份证明书</w:t>
      </w:r>
      <w:bookmarkEnd w:id="712"/>
      <w:bookmarkEnd w:id="713"/>
    </w:p>
    <w:p>
      <w:pPr>
        <w:pStyle w:val="7"/>
        <w:spacing w:line="500" w:lineRule="exact"/>
        <w:ind w:firstLine="449" w:firstLineChars="156"/>
        <w:jc w:val="center"/>
        <w:rPr>
          <w:rFonts w:ascii="仿宋" w:hAnsi="仿宋" w:eastAsia="仿宋" w:cs="仿宋"/>
          <w:bCs/>
          <w:spacing w:val="24"/>
          <w:sz w:val="24"/>
          <w:szCs w:val="24"/>
        </w:rPr>
      </w:pPr>
    </w:p>
    <w:p>
      <w:pPr>
        <w:pStyle w:val="7"/>
        <w:spacing w:line="500" w:lineRule="exact"/>
        <w:ind w:firstLine="449" w:firstLineChars="156"/>
        <w:jc w:val="center"/>
        <w:rPr>
          <w:rFonts w:ascii="仿宋" w:hAnsi="仿宋" w:eastAsia="仿宋" w:cs="仿宋"/>
          <w:bCs/>
          <w:spacing w:val="24"/>
          <w:sz w:val="24"/>
          <w:szCs w:val="24"/>
        </w:rPr>
      </w:pPr>
    </w:p>
    <w:p>
      <w:pPr>
        <w:pStyle w:val="7"/>
        <w:spacing w:line="500" w:lineRule="exact"/>
        <w:ind w:firstLine="840" w:firstLineChars="35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（姓名）是</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（单位名称）</w:t>
      </w:r>
    </w:p>
    <w:p>
      <w:pPr>
        <w:pStyle w:val="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的法定代表人，身份证号码为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pStyle w:val="7"/>
        <w:spacing w:line="500" w:lineRule="exact"/>
        <w:ind w:firstLine="374" w:firstLineChars="156"/>
        <w:rPr>
          <w:rFonts w:ascii="仿宋" w:hAnsi="仿宋" w:eastAsia="仿宋" w:cs="仿宋"/>
          <w:sz w:val="24"/>
          <w:szCs w:val="24"/>
        </w:rPr>
      </w:pPr>
    </w:p>
    <w:p>
      <w:pPr>
        <w:pStyle w:val="7"/>
        <w:spacing w:line="500" w:lineRule="exact"/>
        <w:ind w:firstLine="480"/>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特此证明</w:t>
      </w:r>
    </w:p>
    <w:p>
      <w:pPr>
        <w:spacing w:line="500" w:lineRule="exact"/>
        <w:rPr>
          <w:rFonts w:ascii="仿宋" w:hAnsi="仿宋" w:eastAsia="仿宋" w:cs="仿宋"/>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法人代表身份证复印件（正反面）</w:t>
            </w:r>
          </w:p>
        </w:tc>
      </w:tr>
    </w:tbl>
    <w:p>
      <w:pPr>
        <w:pStyle w:val="7"/>
        <w:spacing w:line="500" w:lineRule="exact"/>
        <w:ind w:firstLine="374" w:firstLineChars="156"/>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u w:val="single"/>
        </w:rPr>
      </w:pPr>
      <w:r>
        <w:rPr>
          <w:rFonts w:hint="eastAsia" w:ascii="仿宋" w:hAnsi="仿宋" w:eastAsia="仿宋" w:cs="仿宋"/>
          <w:sz w:val="24"/>
          <w:szCs w:val="24"/>
        </w:rPr>
        <w:t xml:space="preserve">                     投标人：</w:t>
      </w:r>
      <w:r>
        <w:rPr>
          <w:rFonts w:hint="eastAsia" w:ascii="仿宋" w:hAnsi="仿宋" w:eastAsia="仿宋" w:cs="仿宋"/>
          <w:sz w:val="24"/>
          <w:szCs w:val="24"/>
          <w:u w:val="single"/>
        </w:rPr>
        <w:t xml:space="preserve">                         （盖章）</w:t>
      </w:r>
    </w:p>
    <w:p>
      <w:pPr>
        <w:pStyle w:val="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w:t>
      </w:r>
    </w:p>
    <w:p>
      <w:pPr>
        <w:pStyle w:val="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（签名或盖章）</w:t>
      </w:r>
    </w:p>
    <w:p>
      <w:pPr>
        <w:pStyle w:val="7"/>
        <w:spacing w:line="500" w:lineRule="exact"/>
        <w:ind w:firstLine="374" w:firstLineChars="156"/>
        <w:jc w:val="center"/>
        <w:rPr>
          <w:rFonts w:ascii="仿宋" w:hAnsi="仿宋" w:eastAsia="仿宋" w:cs="仿宋"/>
          <w:sz w:val="24"/>
          <w:szCs w:val="24"/>
        </w:rPr>
      </w:pPr>
    </w:p>
    <w:p>
      <w:pPr>
        <w:pStyle w:val="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日期：       年   月   日</w:t>
      </w:r>
    </w:p>
    <w:p>
      <w:pPr>
        <w:pStyle w:val="7"/>
        <w:spacing w:line="600" w:lineRule="exact"/>
        <w:ind w:firstLine="374" w:firstLineChars="156"/>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5"/>
        <w:spacing w:line="600" w:lineRule="exact"/>
        <w:rPr>
          <w:rFonts w:ascii="仿宋" w:hAnsi="仿宋" w:eastAsia="仿宋" w:cs="仿宋"/>
          <w:bCs/>
          <w:sz w:val="24"/>
          <w:szCs w:val="24"/>
        </w:rPr>
      </w:pPr>
      <w:bookmarkStart w:id="714" w:name="_Toc16793"/>
      <w:bookmarkStart w:id="715" w:name="_Toc29731"/>
      <w:r>
        <w:rPr>
          <w:rFonts w:hint="eastAsia" w:ascii="仿宋" w:hAnsi="仿宋" w:eastAsia="仿宋" w:cs="仿宋"/>
          <w:bCs/>
          <w:sz w:val="24"/>
          <w:szCs w:val="24"/>
        </w:rPr>
        <w:t>投标代表授权委托书</w:t>
      </w:r>
      <w:bookmarkEnd w:id="714"/>
      <w:bookmarkEnd w:id="715"/>
    </w:p>
    <w:p>
      <w:pPr>
        <w:spacing w:line="600" w:lineRule="exact"/>
        <w:ind w:firstLine="480" w:firstLineChars="200"/>
        <w:rPr>
          <w:rFonts w:ascii="仿宋" w:hAnsi="仿宋" w:eastAsia="仿宋" w:cs="仿宋"/>
          <w:sz w:val="24"/>
          <w:szCs w:val="24"/>
        </w:rPr>
      </w:pP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（姓  名）</w:t>
      </w:r>
      <w:r>
        <w:rPr>
          <w:rFonts w:hint="eastAsia" w:ascii="仿宋" w:hAnsi="仿宋" w:eastAsia="仿宋" w:cs="仿宋"/>
          <w:sz w:val="24"/>
          <w:szCs w:val="24"/>
        </w:rPr>
        <w:t xml:space="preserve">系 </w:t>
      </w:r>
      <w:r>
        <w:rPr>
          <w:rFonts w:hint="eastAsia" w:ascii="仿宋" w:hAnsi="仿宋" w:eastAsia="仿宋" w:cs="仿宋"/>
          <w:sz w:val="24"/>
          <w:szCs w:val="24"/>
          <w:u w:val="single"/>
        </w:rPr>
        <w:t xml:space="preserve">                （投标人名称）</w:t>
      </w:r>
      <w:r>
        <w:rPr>
          <w:rFonts w:hint="eastAsia" w:ascii="仿宋" w:hAnsi="仿宋" w:eastAsia="仿宋" w:cs="仿宋"/>
          <w:sz w:val="24"/>
          <w:szCs w:val="24"/>
        </w:rPr>
        <w:t xml:space="preserve">的法定代表人，现授权委托 </w:t>
      </w:r>
      <w:r>
        <w:rPr>
          <w:rFonts w:hint="eastAsia" w:ascii="仿宋" w:hAnsi="仿宋" w:eastAsia="仿宋" w:cs="仿宋"/>
          <w:sz w:val="24"/>
          <w:szCs w:val="24"/>
          <w:u w:val="single"/>
        </w:rPr>
        <w:t xml:space="preserve">              （单位名称）</w:t>
      </w:r>
      <w:r>
        <w:rPr>
          <w:rFonts w:hint="eastAsia" w:ascii="仿宋" w:hAnsi="仿宋" w:eastAsia="仿宋" w:cs="仿宋"/>
          <w:sz w:val="24"/>
          <w:szCs w:val="24"/>
        </w:rPr>
        <w:t xml:space="preserve">的 </w:t>
      </w:r>
      <w:r>
        <w:rPr>
          <w:rFonts w:hint="eastAsia" w:ascii="仿宋" w:hAnsi="仿宋" w:eastAsia="仿宋" w:cs="仿宋"/>
          <w:sz w:val="24"/>
          <w:szCs w:val="24"/>
          <w:u w:val="single"/>
        </w:rPr>
        <w:t xml:space="preserve">      （姓名）</w:t>
      </w:r>
      <w:r>
        <w:rPr>
          <w:rFonts w:hint="eastAsia" w:ascii="仿宋" w:hAnsi="仿宋" w:eastAsia="仿宋" w:cs="仿宋"/>
          <w:sz w:val="24"/>
          <w:szCs w:val="24"/>
        </w:rPr>
        <w:t>为我单位代理人，以本单位的名义参加</w:t>
      </w:r>
      <w:r>
        <w:rPr>
          <w:rFonts w:hint="eastAsia" w:ascii="仿宋" w:hAnsi="仿宋" w:eastAsia="仿宋" w:cs="仿宋"/>
          <w:sz w:val="24"/>
          <w:szCs w:val="24"/>
          <w:u w:val="single"/>
        </w:rPr>
        <w:t xml:space="preserve">              （招标人）</w:t>
      </w:r>
      <w:r>
        <w:rPr>
          <w:rFonts w:hint="eastAsia" w:ascii="仿宋" w:hAnsi="仿宋" w:eastAsia="仿宋" w:cs="仿宋"/>
          <w:sz w:val="24"/>
          <w:szCs w:val="24"/>
        </w:rPr>
        <w:t>的</w:t>
      </w:r>
      <w:r>
        <w:rPr>
          <w:rFonts w:hint="eastAsia" w:ascii="仿宋" w:hAnsi="仿宋" w:eastAsia="仿宋" w:cs="仿宋"/>
          <w:sz w:val="24"/>
          <w:szCs w:val="24"/>
          <w:u w:val="single"/>
        </w:rPr>
        <w:t xml:space="preserve">                              </w:t>
      </w:r>
      <w:r>
        <w:rPr>
          <w:rFonts w:hint="eastAsia" w:ascii="仿宋" w:hAnsi="仿宋" w:eastAsia="仿宋" w:cs="仿宋"/>
          <w:sz w:val="24"/>
          <w:szCs w:val="24"/>
        </w:rPr>
        <w:t>工程的投标活动。代理人在开标、评标、合同谈判过程中所签署的一切文件和处理与之有关的一切事务，我均予以承认。</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代理人无转委托权，特此委托。</w:t>
      </w:r>
    </w:p>
    <w:tbl>
      <w:tblPr>
        <w:tblStyle w:val="25"/>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2" w:hRule="atLeast"/>
          <w:jc w:val="center"/>
        </w:trPr>
        <w:tc>
          <w:tcPr>
            <w:tcW w:w="7560" w:type="dxa"/>
            <w:vAlign w:val="center"/>
          </w:tcPr>
          <w:p>
            <w:pPr>
              <w:spacing w:line="600" w:lineRule="exact"/>
              <w:jc w:val="center"/>
              <w:rPr>
                <w:rFonts w:ascii="仿宋" w:hAnsi="仿宋" w:eastAsia="仿宋" w:cs="仿宋"/>
                <w:sz w:val="24"/>
                <w:szCs w:val="24"/>
              </w:rPr>
            </w:pPr>
            <w:r>
              <w:rPr>
                <w:rFonts w:hint="eastAsia" w:ascii="仿宋" w:hAnsi="仿宋" w:eastAsia="仿宋" w:cs="仿宋"/>
                <w:sz w:val="24"/>
                <w:szCs w:val="24"/>
              </w:rPr>
              <w:t xml:space="preserve"> 代理人身份证复印件</w:t>
            </w:r>
          </w:p>
        </w:tc>
      </w:tr>
    </w:tbl>
    <w:p>
      <w:pPr>
        <w:spacing w:after="156" w:line="600" w:lineRule="exact"/>
        <w:rPr>
          <w:rFonts w:ascii="仿宋" w:hAnsi="仿宋" w:eastAsia="仿宋" w:cs="仿宋"/>
          <w:sz w:val="24"/>
          <w:szCs w:val="24"/>
        </w:rPr>
      </w:pPr>
    </w:p>
    <w:p>
      <w:pPr>
        <w:spacing w:line="600" w:lineRule="exact"/>
        <w:ind w:left="2699"/>
        <w:rPr>
          <w:rFonts w:ascii="仿宋" w:hAnsi="仿宋" w:eastAsia="仿宋" w:cs="仿宋"/>
          <w:sz w:val="24"/>
          <w:szCs w:val="24"/>
        </w:rPr>
      </w:pPr>
      <w:r>
        <w:rPr>
          <w:rFonts w:hint="eastAsia" w:ascii="仿宋" w:hAnsi="仿宋" w:eastAsia="仿宋" w:cs="仿宋"/>
          <w:sz w:val="24"/>
          <w:szCs w:val="24"/>
        </w:rPr>
        <w:t>代理人：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性别 ：</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p>
    <w:p>
      <w:pPr>
        <w:spacing w:line="600" w:lineRule="exact"/>
        <w:ind w:left="2699"/>
        <w:rPr>
          <w:rFonts w:ascii="仿宋" w:hAnsi="仿宋" w:eastAsia="仿宋" w:cs="仿宋"/>
          <w:sz w:val="24"/>
          <w:szCs w:val="24"/>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line="600" w:lineRule="exact"/>
        <w:ind w:left="2699"/>
        <w:rPr>
          <w:rFonts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（盖章）</w:t>
      </w:r>
    </w:p>
    <w:p>
      <w:pPr>
        <w:spacing w:line="600" w:lineRule="exact"/>
        <w:ind w:left="2699"/>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（签字或盖章）</w:t>
      </w:r>
    </w:p>
    <w:p>
      <w:pPr>
        <w:spacing w:line="600" w:lineRule="exact"/>
        <w:jc w:val="right"/>
        <w:rPr>
          <w:rFonts w:ascii="仿宋" w:hAnsi="仿宋" w:eastAsia="仿宋" w:cs="仿宋"/>
          <w:sz w:val="24"/>
          <w:szCs w:val="24"/>
        </w:rPr>
      </w:pPr>
      <w:r>
        <w:rPr>
          <w:rFonts w:hint="eastAsia" w:ascii="仿宋" w:hAnsi="仿宋" w:eastAsia="仿宋" w:cs="仿宋"/>
          <w:sz w:val="24"/>
          <w:szCs w:val="24"/>
        </w:rPr>
        <w:t>授权委托日期：     年     月    日</w:t>
      </w:r>
    </w:p>
    <w:p>
      <w:pPr>
        <w:spacing w:line="340" w:lineRule="exact"/>
        <w:ind w:left="1" w:firstLine="480" w:firstLineChars="200"/>
        <w:rPr>
          <w:rFonts w:ascii="仿宋" w:hAnsi="仿宋" w:eastAsia="仿宋" w:cs="仿宋"/>
          <w:sz w:val="24"/>
          <w:szCs w:val="24"/>
        </w:rPr>
      </w:pPr>
      <w:permStart w:id="17" w:edGrp="everyone"/>
      <w:r>
        <w:rPr>
          <w:rFonts w:hint="eastAsia" w:ascii="仿宋" w:hAnsi="仿宋" w:eastAsia="仿宋" w:cs="仿宋"/>
          <w:sz w:val="24"/>
          <w:szCs w:val="24"/>
        </w:rPr>
        <w:t xml:space="preserve">                </w:t>
      </w:r>
      <w:permEnd w:id="17"/>
    </w:p>
    <w:p>
      <w:pPr>
        <w:rPr>
          <w:rFonts w:ascii="仿宋" w:hAnsi="仿宋" w:eastAsia="仿宋" w:cs="仿宋"/>
          <w:b/>
          <w:bCs/>
          <w:sz w:val="24"/>
          <w:szCs w:val="24"/>
        </w:rPr>
      </w:pPr>
      <w:permStart w:id="18" w:edGrp="everyone"/>
      <w:r>
        <w:rPr>
          <w:rFonts w:hint="eastAsia" w:ascii="仿宋" w:hAnsi="仿宋" w:eastAsia="仿宋" w:cs="仿宋"/>
          <w:b/>
          <w:bCs/>
          <w:sz w:val="24"/>
          <w:szCs w:val="24"/>
        </w:rPr>
        <w:br w:type="page"/>
      </w:r>
    </w:p>
    <w:p>
      <w:pPr>
        <w:pStyle w:val="5"/>
        <w:rPr>
          <w:rFonts w:ascii="仿宋" w:hAnsi="仿宋" w:eastAsia="仿宋" w:cs="仿宋"/>
          <w:bCs/>
          <w:sz w:val="24"/>
          <w:szCs w:val="24"/>
        </w:rPr>
      </w:pPr>
      <w:bookmarkStart w:id="716" w:name="_Toc20426"/>
      <w:r>
        <w:rPr>
          <w:rFonts w:hint="eastAsia" w:ascii="仿宋" w:hAnsi="仿宋" w:eastAsia="仿宋" w:cs="仿宋"/>
          <w:bCs/>
          <w:sz w:val="24"/>
          <w:szCs w:val="24"/>
        </w:rPr>
        <w:t>湖州市政府投资建设项目投标人廉洁守信承诺书</w:t>
      </w:r>
      <w:bookmarkEnd w:id="71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本公司决定参加</w:t>
      </w:r>
      <w:r>
        <w:rPr>
          <w:rFonts w:hint="eastAsia" w:ascii="仿宋" w:hAnsi="仿宋" w:eastAsia="仿宋" w:cs="仿宋"/>
          <w:sz w:val="24"/>
          <w:szCs w:val="24"/>
          <w:u w:val="single"/>
        </w:rPr>
        <w:t xml:space="preserve">                          </w:t>
      </w:r>
      <w:r>
        <w:rPr>
          <w:rFonts w:hint="eastAsia" w:ascii="仿宋" w:hAnsi="仿宋" w:eastAsia="仿宋" w:cs="仿宋"/>
          <w:sz w:val="24"/>
          <w:szCs w:val="24"/>
        </w:rPr>
        <w:t>项目投标。为维护公平竞争的市场秩序，促进企业廉洁从业、诚实守信，特承诺如下：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一、严格遵守《中华人民共和国招标投标法》、《中华人民共和国政府采购法》等法律法规，决不发生以下行为：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1.以他人名义投标，允许其他单位或个人使用本单位资质投标；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2.提供虚假材料，或以其他方式弄虚作假骗取中标；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3.与招标人或者其他投标人相互串通投标；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4.中标后将项目转包，或违法分包；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5.中标后与招标人签订背离投标文件及合同实质性内容的私下协议；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6.其他违反招标投标、政府采购等法律法规的行为。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二、不以任何理由给予建设单位、主管部门、相关单位及其工作人员、专家评委以下好处：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1.赠送礼金、有价证券、贵重物品，或给予回扣、感谢费、劳务费等各种名目的经费；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2.报销应由上述单位或个人支付的费用；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3.赠送或提供通讯工具、交通工具和高档办公用品等；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4.提供宴请、健身、旅游、娱乐等高消费活动；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5.无偿或明显低于市场价装修住房。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三、不以任何理由为建设单位、主管部门、相关单位的工作人员及其配偶、子女等亲属的工作安排以及出国（境）等提供方便。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四、自觉接受有关部门和派驻廉政监察组等机构的监督，积极配合建设单位开展廉政文化进工程工作，加强廉洁从业环境宣传、项目管理制度建设，多种形式开展廉洁教育。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上述承诺如有违反，愿接受录入诚信档案的处理，构成违纪违法的，由相关部门依纪依法作出处理。</w:t>
      </w:r>
    </w:p>
    <w:p>
      <w:pPr>
        <w:spacing w:line="360" w:lineRule="auto"/>
        <w:ind w:firstLine="5040" w:firstLineChars="2100"/>
        <w:rPr>
          <w:rFonts w:ascii="仿宋" w:hAnsi="仿宋" w:eastAsia="仿宋" w:cs="仿宋"/>
          <w:sz w:val="24"/>
          <w:szCs w:val="24"/>
          <w:u w:val="single"/>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（签名或盖章）       </w:t>
      </w:r>
    </w:p>
    <w:p>
      <w:pPr>
        <w:spacing w:line="360" w:lineRule="auto"/>
        <w:ind w:firstLine="5040" w:firstLineChars="2100"/>
        <w:rPr>
          <w:rFonts w:ascii="仿宋" w:hAnsi="仿宋" w:eastAsia="仿宋" w:cs="仿宋"/>
          <w:sz w:val="24"/>
          <w:szCs w:val="24"/>
          <w:u w:val="single"/>
        </w:rPr>
      </w:pPr>
      <w:r>
        <w:rPr>
          <w:rFonts w:hint="eastAsia" w:ascii="仿宋" w:hAnsi="仿宋" w:eastAsia="仿宋" w:cs="仿宋"/>
          <w:sz w:val="24"/>
          <w:szCs w:val="24"/>
        </w:rPr>
        <w:t>承诺单位（公章）：</w:t>
      </w:r>
      <w:r>
        <w:rPr>
          <w:rFonts w:hint="eastAsia" w:ascii="仿宋" w:hAnsi="仿宋" w:eastAsia="仿宋" w:cs="仿宋"/>
          <w:sz w:val="24"/>
          <w:szCs w:val="24"/>
          <w:u w:val="single"/>
        </w:rPr>
        <w:t xml:space="preserve">                      </w:t>
      </w:r>
    </w:p>
    <w:p>
      <w:pPr>
        <w:spacing w:line="360" w:lineRule="auto"/>
        <w:ind w:firstLine="5040" w:firstLineChars="2100"/>
        <w:rPr>
          <w:rFonts w:ascii="仿宋" w:hAnsi="仿宋" w:eastAsia="仿宋" w:cs="仿宋"/>
          <w:sz w:val="24"/>
          <w:szCs w:val="24"/>
          <w:u w:val="single"/>
        </w:rPr>
      </w:pPr>
      <w:r>
        <w:rPr>
          <w:rFonts w:hint="eastAsia" w:ascii="仿宋" w:hAnsi="仿宋" w:eastAsia="仿宋" w:cs="仿宋"/>
          <w:sz w:val="24"/>
          <w:szCs w:val="24"/>
        </w:rPr>
        <w:t>承诺日期：</w:t>
      </w:r>
      <w:r>
        <w:rPr>
          <w:rFonts w:hint="eastAsia" w:ascii="仿宋" w:hAnsi="仿宋" w:eastAsia="仿宋" w:cs="仿宋"/>
          <w:sz w:val="24"/>
          <w:szCs w:val="24"/>
          <w:u w:val="single"/>
        </w:rPr>
        <w:t xml:space="preserve">                            </w:t>
      </w:r>
    </w:p>
    <w:permEnd w:id="18"/>
    <w:p>
      <w:pPr>
        <w:pStyle w:val="46"/>
        <w:keepNext w:val="0"/>
        <w:keepLines w:val="0"/>
        <w:spacing w:before="120" w:beforeLines="50" w:after="120" w:afterLines="50" w:line="500" w:lineRule="exact"/>
        <w:rPr>
          <w:rFonts w:ascii="仿宋" w:hAnsi="仿宋" w:eastAsia="仿宋" w:cs="仿宋"/>
          <w:bCs w:val="0"/>
          <w:sz w:val="24"/>
          <w:szCs w:val="24"/>
        </w:rPr>
      </w:pPr>
      <w:bookmarkStart w:id="717" w:name="_Toc3284"/>
      <w:r>
        <w:rPr>
          <w:rFonts w:hint="eastAsia" w:ascii="仿宋" w:hAnsi="仿宋" w:eastAsia="仿宋" w:cs="仿宋"/>
          <w:bCs w:val="0"/>
          <w:sz w:val="24"/>
          <w:szCs w:val="24"/>
        </w:rPr>
        <w:t>投标人一般情况表</w:t>
      </w:r>
      <w:bookmarkEnd w:id="717"/>
    </w:p>
    <w:tbl>
      <w:tblPr>
        <w:tblStyle w:val="25"/>
        <w:tblW w:w="9688" w:type="dxa"/>
        <w:jc w:val="center"/>
        <w:tblLayout w:type="fixed"/>
        <w:tblCellMar>
          <w:top w:w="0" w:type="dxa"/>
          <w:left w:w="28" w:type="dxa"/>
          <w:bottom w:w="0" w:type="dxa"/>
          <w:right w:w="28" w:type="dxa"/>
        </w:tblCellMar>
      </w:tblPr>
      <w:tblGrid>
        <w:gridCol w:w="578"/>
        <w:gridCol w:w="3526"/>
        <w:gridCol w:w="654"/>
        <w:gridCol w:w="4930"/>
      </w:tblGrid>
      <w:tr>
        <w:tblPrEx>
          <w:tblCellMar>
            <w:top w:w="0" w:type="dxa"/>
            <w:left w:w="28" w:type="dxa"/>
            <w:bottom w:w="0" w:type="dxa"/>
            <w:right w:w="28" w:type="dxa"/>
          </w:tblCellMar>
        </w:tblPrEx>
        <w:trPr>
          <w:trHeight w:val="862"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r>
              <w:rPr>
                <w:rFonts w:hint="eastAsia" w:ascii="仿宋" w:hAnsi="仿宋" w:eastAsia="仿宋" w:cs="仿宋"/>
                <w:sz w:val="24"/>
                <w:szCs w:val="24"/>
                <w:lang w:val="zh-CN"/>
              </w:rPr>
              <w:t>1</w:t>
            </w:r>
          </w:p>
        </w:tc>
        <w:tc>
          <w:tcPr>
            <w:tcW w:w="9110" w:type="dxa"/>
            <w:gridSpan w:val="3"/>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企业名称</w:t>
            </w:r>
          </w:p>
        </w:tc>
      </w:tr>
      <w:tr>
        <w:tblPrEx>
          <w:tblCellMar>
            <w:top w:w="0" w:type="dxa"/>
            <w:left w:w="28" w:type="dxa"/>
            <w:bottom w:w="0" w:type="dxa"/>
            <w:right w:w="28" w:type="dxa"/>
          </w:tblCellMar>
        </w:tblPrEx>
        <w:trPr>
          <w:trHeight w:val="793"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2</w:t>
            </w:r>
          </w:p>
        </w:tc>
        <w:tc>
          <w:tcPr>
            <w:tcW w:w="9110" w:type="dxa"/>
            <w:gridSpan w:val="3"/>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总部地址</w:t>
            </w:r>
          </w:p>
        </w:tc>
      </w:tr>
      <w:tr>
        <w:tblPrEx>
          <w:tblCellMar>
            <w:top w:w="0" w:type="dxa"/>
            <w:left w:w="28" w:type="dxa"/>
            <w:bottom w:w="0" w:type="dxa"/>
            <w:right w:w="28" w:type="dxa"/>
          </w:tblCellMar>
        </w:tblPrEx>
        <w:trPr>
          <w:trHeight w:val="809"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3</w:t>
            </w:r>
          </w:p>
        </w:tc>
        <w:tc>
          <w:tcPr>
            <w:tcW w:w="418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电话</w:t>
            </w:r>
          </w:p>
        </w:tc>
        <w:tc>
          <w:tcPr>
            <w:tcW w:w="4930" w:type="dxa"/>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联系人</w:t>
            </w:r>
          </w:p>
        </w:tc>
      </w:tr>
      <w:tr>
        <w:tblPrEx>
          <w:tblCellMar>
            <w:top w:w="0" w:type="dxa"/>
            <w:left w:w="28" w:type="dxa"/>
            <w:bottom w:w="0" w:type="dxa"/>
            <w:right w:w="28" w:type="dxa"/>
          </w:tblCellMar>
        </w:tblPrEx>
        <w:trPr>
          <w:trHeight w:val="783"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4</w:t>
            </w:r>
          </w:p>
        </w:tc>
        <w:tc>
          <w:tcPr>
            <w:tcW w:w="418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传真</w:t>
            </w:r>
          </w:p>
        </w:tc>
        <w:tc>
          <w:tcPr>
            <w:tcW w:w="4930" w:type="dxa"/>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电子邮箱</w:t>
            </w:r>
          </w:p>
        </w:tc>
      </w:tr>
      <w:tr>
        <w:tblPrEx>
          <w:tblCellMar>
            <w:top w:w="0" w:type="dxa"/>
            <w:left w:w="28" w:type="dxa"/>
            <w:bottom w:w="0" w:type="dxa"/>
            <w:right w:w="28" w:type="dxa"/>
          </w:tblCellMar>
        </w:tblPrEx>
        <w:trPr>
          <w:trHeight w:val="807"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5</w:t>
            </w:r>
          </w:p>
        </w:tc>
        <w:tc>
          <w:tcPr>
            <w:tcW w:w="418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注册地</w:t>
            </w:r>
          </w:p>
        </w:tc>
        <w:tc>
          <w:tcPr>
            <w:tcW w:w="4930" w:type="dxa"/>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注册年份（请附营业执照、税务登记证复印件）</w:t>
            </w:r>
          </w:p>
        </w:tc>
      </w:tr>
      <w:tr>
        <w:tblPrEx>
          <w:tblCellMar>
            <w:top w:w="0" w:type="dxa"/>
            <w:left w:w="28" w:type="dxa"/>
            <w:bottom w:w="0" w:type="dxa"/>
            <w:right w:w="28" w:type="dxa"/>
          </w:tblCellMar>
        </w:tblPrEx>
        <w:trPr>
          <w:trHeight w:val="784"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r>
              <w:rPr>
                <w:rFonts w:hint="eastAsia" w:ascii="仿宋" w:hAnsi="仿宋" w:eastAsia="仿宋" w:cs="仿宋"/>
                <w:sz w:val="24"/>
                <w:szCs w:val="24"/>
                <w:lang w:val="zh-CN"/>
              </w:rPr>
              <w:t>6</w:t>
            </w:r>
          </w:p>
        </w:tc>
        <w:tc>
          <w:tcPr>
            <w:tcW w:w="9110" w:type="dxa"/>
            <w:gridSpan w:val="3"/>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与本项目相关的资质：</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（请附营业执照的复印件）</w:t>
            </w:r>
          </w:p>
        </w:tc>
      </w:tr>
      <w:tr>
        <w:tblPrEx>
          <w:tblCellMar>
            <w:top w:w="0" w:type="dxa"/>
            <w:left w:w="28" w:type="dxa"/>
            <w:bottom w:w="0" w:type="dxa"/>
            <w:right w:w="28" w:type="dxa"/>
          </w:tblCellMar>
        </w:tblPrEx>
        <w:trPr>
          <w:trHeight w:val="799"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r>
              <w:rPr>
                <w:rFonts w:hint="eastAsia" w:ascii="仿宋" w:hAnsi="仿宋" w:eastAsia="仿宋" w:cs="仿宋"/>
                <w:sz w:val="24"/>
                <w:szCs w:val="24"/>
                <w:lang w:val="zh-CN"/>
              </w:rPr>
              <w:t>7</w:t>
            </w:r>
          </w:p>
        </w:tc>
        <w:tc>
          <w:tcPr>
            <w:tcW w:w="9110" w:type="dxa"/>
            <w:gridSpan w:val="3"/>
            <w:tcBorders>
              <w:top w:val="single" w:color="auto" w:sz="6" w:space="0"/>
              <w:left w:val="single" w:color="auto" w:sz="6" w:space="0"/>
              <w:bottom w:val="single" w:color="auto" w:sz="6" w:space="0"/>
              <w:right w:val="single" w:color="auto" w:sz="6" w:space="0"/>
            </w:tcBorders>
            <w:vAlign w:val="center"/>
          </w:tcPr>
          <w:p>
            <w:pPr>
              <w:spacing w:line="500" w:lineRule="exact"/>
              <w:ind w:firstLine="100"/>
              <w:jc w:val="left"/>
              <w:rPr>
                <w:rFonts w:ascii="仿宋" w:hAnsi="仿宋" w:eastAsia="仿宋" w:cs="仿宋"/>
                <w:sz w:val="24"/>
                <w:szCs w:val="24"/>
                <w:lang w:val="zh-CN"/>
              </w:rPr>
            </w:pPr>
            <w:r>
              <w:rPr>
                <w:rFonts w:hint="eastAsia" w:ascii="仿宋" w:hAnsi="仿宋" w:eastAsia="仿宋" w:cs="仿宋"/>
                <w:sz w:val="24"/>
                <w:szCs w:val="24"/>
                <w:lang w:val="zh-CN"/>
              </w:rPr>
              <w:t>公司</w:t>
            </w:r>
            <w:r>
              <w:rPr>
                <w:rFonts w:hint="eastAsia" w:ascii="仿宋" w:hAnsi="仿宋" w:eastAsia="仿宋" w:cs="仿宋"/>
                <w:sz w:val="24"/>
                <w:szCs w:val="24"/>
                <w:u w:val="single"/>
                <w:lang w:val="zh-CN"/>
              </w:rPr>
              <w:t>（是否通过，何种）</w:t>
            </w:r>
            <w:r>
              <w:rPr>
                <w:rFonts w:hint="eastAsia" w:ascii="仿宋" w:hAnsi="仿宋" w:eastAsia="仿宋" w:cs="仿宋"/>
                <w:sz w:val="24"/>
                <w:szCs w:val="24"/>
                <w:lang w:val="zh-CN"/>
              </w:rPr>
              <w:t>质量保证体系认证（如有，请附相关证书复印件，并提供认证机构年审监督报告）</w:t>
            </w:r>
          </w:p>
        </w:tc>
      </w:tr>
      <w:tr>
        <w:tblPrEx>
          <w:tblCellMar>
            <w:top w:w="0" w:type="dxa"/>
            <w:left w:w="28" w:type="dxa"/>
            <w:bottom w:w="0" w:type="dxa"/>
            <w:right w:w="28" w:type="dxa"/>
          </w:tblCellMar>
        </w:tblPrEx>
        <w:trPr>
          <w:trHeight w:val="2283" w:hRule="atLeast"/>
          <w:jc w:val="center"/>
        </w:trPr>
        <w:tc>
          <w:tcPr>
            <w:tcW w:w="57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r>
              <w:rPr>
                <w:rFonts w:hint="eastAsia" w:ascii="仿宋" w:hAnsi="仿宋" w:eastAsia="仿宋" w:cs="仿宋"/>
                <w:sz w:val="24"/>
                <w:szCs w:val="24"/>
              </w:rPr>
              <w:t>8</w:t>
            </w:r>
          </w:p>
        </w:tc>
        <w:tc>
          <w:tcPr>
            <w:tcW w:w="9110" w:type="dxa"/>
            <w:gridSpan w:val="3"/>
            <w:tcBorders>
              <w:top w:val="single" w:color="auto" w:sz="6" w:space="0"/>
              <w:left w:val="single" w:color="auto" w:sz="6" w:space="0"/>
              <w:bottom w:val="single" w:color="auto" w:sz="6" w:space="0"/>
              <w:right w:val="single" w:color="auto" w:sz="6" w:space="0"/>
            </w:tcBorders>
          </w:tcPr>
          <w:p>
            <w:pPr>
              <w:spacing w:line="500" w:lineRule="exact"/>
              <w:ind w:firstLine="100"/>
              <w:rPr>
                <w:rFonts w:ascii="仿宋" w:hAnsi="仿宋" w:eastAsia="仿宋" w:cs="仿宋"/>
                <w:sz w:val="24"/>
                <w:szCs w:val="24"/>
                <w:lang w:val="zh-CN"/>
              </w:rPr>
            </w:pPr>
            <w:r>
              <w:rPr>
                <w:rFonts w:hint="eastAsia" w:ascii="仿宋" w:hAnsi="仿宋" w:eastAsia="仿宋" w:cs="仿宋"/>
                <w:sz w:val="24"/>
                <w:szCs w:val="24"/>
                <w:lang w:val="zh-CN"/>
              </w:rPr>
              <w:t>主营范围：</w:t>
            </w:r>
          </w:p>
          <w:p>
            <w:pPr>
              <w:spacing w:line="500" w:lineRule="exact"/>
              <w:ind w:firstLine="100"/>
              <w:rPr>
                <w:rFonts w:ascii="仿宋" w:hAnsi="仿宋" w:eastAsia="仿宋" w:cs="仿宋"/>
                <w:sz w:val="24"/>
                <w:szCs w:val="24"/>
                <w:u w:val="single"/>
                <w:lang w:val="zh-CN"/>
              </w:rPr>
            </w:pPr>
            <w:r>
              <w:rPr>
                <w:rFonts w:hint="eastAsia" w:ascii="仿宋" w:hAnsi="仿宋" w:eastAsia="仿宋" w:cs="仿宋"/>
                <w:sz w:val="24"/>
                <w:szCs w:val="24"/>
                <w:lang w:val="zh-CN"/>
              </w:rPr>
              <w:t xml:space="preserve">1、 </w:t>
            </w:r>
            <w:r>
              <w:rPr>
                <w:rFonts w:hint="eastAsia" w:ascii="仿宋" w:hAnsi="仿宋" w:eastAsia="仿宋" w:cs="仿宋"/>
                <w:sz w:val="24"/>
                <w:szCs w:val="24"/>
                <w:u w:val="single"/>
                <w:lang w:val="zh-CN"/>
              </w:rPr>
              <w:t xml:space="preserve">                                                          </w:t>
            </w:r>
          </w:p>
          <w:p>
            <w:pPr>
              <w:spacing w:line="500" w:lineRule="exact"/>
              <w:ind w:firstLine="100"/>
              <w:rPr>
                <w:rFonts w:ascii="仿宋" w:hAnsi="仿宋" w:eastAsia="仿宋" w:cs="仿宋"/>
                <w:sz w:val="24"/>
                <w:szCs w:val="24"/>
                <w:u w:val="single"/>
                <w:lang w:val="zh-CN"/>
              </w:rPr>
            </w:pPr>
            <w:r>
              <w:rPr>
                <w:rFonts w:hint="eastAsia" w:ascii="仿宋" w:hAnsi="仿宋" w:eastAsia="仿宋" w:cs="仿宋"/>
                <w:sz w:val="24"/>
                <w:szCs w:val="24"/>
                <w:lang w:val="zh-CN"/>
              </w:rPr>
              <w:t xml:space="preserve">2、 </w:t>
            </w:r>
            <w:r>
              <w:rPr>
                <w:rFonts w:hint="eastAsia" w:ascii="仿宋" w:hAnsi="仿宋" w:eastAsia="仿宋" w:cs="仿宋"/>
                <w:sz w:val="24"/>
                <w:szCs w:val="24"/>
                <w:u w:val="single"/>
                <w:lang w:val="zh-CN"/>
              </w:rPr>
              <w:t xml:space="preserve">                                                          </w:t>
            </w:r>
          </w:p>
          <w:p>
            <w:pPr>
              <w:spacing w:line="500" w:lineRule="exact"/>
              <w:ind w:firstLine="100"/>
              <w:rPr>
                <w:rFonts w:ascii="仿宋" w:hAnsi="仿宋" w:eastAsia="仿宋" w:cs="仿宋"/>
                <w:sz w:val="24"/>
                <w:szCs w:val="24"/>
                <w:u w:val="single"/>
                <w:lang w:val="zh-CN"/>
              </w:rPr>
            </w:pPr>
            <w:r>
              <w:rPr>
                <w:rFonts w:hint="eastAsia" w:ascii="仿宋" w:hAnsi="仿宋" w:eastAsia="仿宋" w:cs="仿宋"/>
                <w:sz w:val="24"/>
                <w:szCs w:val="24"/>
                <w:lang w:val="zh-CN"/>
              </w:rPr>
              <w:t xml:space="preserve">3、 </w:t>
            </w:r>
            <w:r>
              <w:rPr>
                <w:rFonts w:hint="eastAsia" w:ascii="仿宋" w:hAnsi="仿宋" w:eastAsia="仿宋" w:cs="仿宋"/>
                <w:sz w:val="24"/>
                <w:szCs w:val="24"/>
                <w:u w:val="single"/>
                <w:lang w:val="zh-CN"/>
              </w:rPr>
              <w:t xml:space="preserve">                                                          </w:t>
            </w:r>
          </w:p>
          <w:p>
            <w:pPr>
              <w:spacing w:line="500" w:lineRule="exact"/>
              <w:ind w:firstLine="100"/>
              <w:rPr>
                <w:rFonts w:ascii="仿宋" w:hAnsi="仿宋" w:eastAsia="仿宋" w:cs="仿宋"/>
                <w:sz w:val="24"/>
                <w:szCs w:val="24"/>
                <w:lang w:val="zh-CN"/>
              </w:rPr>
            </w:pPr>
            <w:r>
              <w:rPr>
                <w:rFonts w:hint="eastAsia" w:ascii="仿宋" w:hAnsi="仿宋" w:eastAsia="仿宋" w:cs="仿宋"/>
                <w:sz w:val="24"/>
                <w:szCs w:val="24"/>
                <w:lang w:val="zh-CN"/>
              </w:rPr>
              <w:t>…</w:t>
            </w:r>
          </w:p>
        </w:tc>
      </w:tr>
      <w:tr>
        <w:tblPrEx>
          <w:tblCellMar>
            <w:top w:w="0" w:type="dxa"/>
            <w:left w:w="28" w:type="dxa"/>
            <w:bottom w:w="0" w:type="dxa"/>
            <w:right w:w="28" w:type="dxa"/>
          </w:tblCellMar>
        </w:tblPrEx>
        <w:trPr>
          <w:trHeight w:val="630" w:hRule="atLeast"/>
          <w:jc w:val="center"/>
        </w:trPr>
        <w:tc>
          <w:tcPr>
            <w:tcW w:w="578" w:type="dxa"/>
            <w:vMerge w:val="restart"/>
            <w:tcBorders>
              <w:top w:val="single" w:color="auto" w:sz="6" w:space="0"/>
              <w:left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r>
              <w:rPr>
                <w:rFonts w:hint="eastAsia" w:ascii="仿宋" w:hAnsi="仿宋" w:eastAsia="仿宋" w:cs="仿宋"/>
                <w:sz w:val="24"/>
                <w:szCs w:val="24"/>
                <w:lang w:val="zh-CN"/>
              </w:rPr>
              <w:t>9</w:t>
            </w:r>
          </w:p>
        </w:tc>
        <w:tc>
          <w:tcPr>
            <w:tcW w:w="3526" w:type="dxa"/>
            <w:tcBorders>
              <w:top w:val="single" w:color="auto" w:sz="6" w:space="0"/>
              <w:left w:val="single" w:color="auto" w:sz="6" w:space="0"/>
              <w:bottom w:val="single" w:color="auto" w:sz="4" w:space="0"/>
              <w:right w:val="single" w:color="auto" w:sz="4" w:space="0"/>
            </w:tcBorders>
            <w:vAlign w:val="center"/>
          </w:tcPr>
          <w:p>
            <w:pPr>
              <w:spacing w:line="500" w:lineRule="exact"/>
              <w:ind w:firstLine="100"/>
              <w:rPr>
                <w:rFonts w:ascii="仿宋" w:hAnsi="仿宋" w:eastAsia="仿宋" w:cs="仿宋"/>
                <w:sz w:val="24"/>
                <w:szCs w:val="24"/>
                <w:lang w:val="zh-CN"/>
              </w:rPr>
            </w:pPr>
            <w:r>
              <w:rPr>
                <w:rFonts w:hint="eastAsia" w:ascii="仿宋" w:hAnsi="仿宋" w:eastAsia="仿宋" w:cs="仿宋"/>
                <w:sz w:val="24"/>
                <w:szCs w:val="24"/>
                <w:lang w:val="zh-CN"/>
              </w:rPr>
              <w:t>从事本工程相关技术的经历年数</w:t>
            </w:r>
          </w:p>
        </w:tc>
        <w:tc>
          <w:tcPr>
            <w:tcW w:w="5584" w:type="dxa"/>
            <w:gridSpan w:val="2"/>
            <w:tcBorders>
              <w:top w:val="single" w:color="auto" w:sz="6" w:space="0"/>
              <w:left w:val="single" w:color="auto" w:sz="4" w:space="0"/>
              <w:bottom w:val="single" w:color="auto" w:sz="4" w:space="0"/>
              <w:right w:val="single" w:color="auto" w:sz="6" w:space="0"/>
            </w:tcBorders>
            <w:vAlign w:val="center"/>
          </w:tcPr>
          <w:p>
            <w:pPr>
              <w:spacing w:line="500" w:lineRule="exact"/>
              <w:jc w:val="center"/>
              <w:rPr>
                <w:rFonts w:ascii="仿宋" w:hAnsi="仿宋" w:eastAsia="仿宋" w:cs="仿宋"/>
                <w:sz w:val="24"/>
                <w:szCs w:val="24"/>
                <w:lang w:val="zh-CN"/>
              </w:rPr>
            </w:pPr>
          </w:p>
        </w:tc>
      </w:tr>
      <w:tr>
        <w:tblPrEx>
          <w:tblCellMar>
            <w:top w:w="0" w:type="dxa"/>
            <w:left w:w="28" w:type="dxa"/>
            <w:bottom w:w="0" w:type="dxa"/>
            <w:right w:w="28" w:type="dxa"/>
          </w:tblCellMar>
        </w:tblPrEx>
        <w:trPr>
          <w:trHeight w:val="660" w:hRule="atLeast"/>
          <w:jc w:val="center"/>
        </w:trPr>
        <w:tc>
          <w:tcPr>
            <w:tcW w:w="578" w:type="dxa"/>
            <w:vMerge w:val="continue"/>
            <w:tcBorders>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szCs w:val="24"/>
                <w:lang w:val="zh-CN"/>
              </w:rPr>
            </w:pPr>
          </w:p>
        </w:tc>
        <w:tc>
          <w:tcPr>
            <w:tcW w:w="9110" w:type="dxa"/>
            <w:gridSpan w:val="3"/>
            <w:tcBorders>
              <w:top w:val="single" w:color="auto" w:sz="4" w:space="0"/>
              <w:left w:val="single" w:color="auto" w:sz="6" w:space="0"/>
              <w:bottom w:val="single" w:color="auto" w:sz="6" w:space="0"/>
              <w:right w:val="single" w:color="auto" w:sz="6" w:space="0"/>
            </w:tcBorders>
            <w:vAlign w:val="center"/>
          </w:tcPr>
          <w:p>
            <w:pPr>
              <w:spacing w:line="500" w:lineRule="exact"/>
              <w:ind w:firstLine="100"/>
              <w:rPr>
                <w:rFonts w:ascii="仿宋" w:hAnsi="仿宋" w:eastAsia="仿宋" w:cs="仿宋"/>
                <w:sz w:val="24"/>
                <w:szCs w:val="24"/>
                <w:lang w:val="zh-CN"/>
              </w:rPr>
            </w:pPr>
            <w:r>
              <w:rPr>
                <w:rFonts w:hint="eastAsia" w:ascii="仿宋" w:hAnsi="仿宋" w:eastAsia="仿宋" w:cs="仿宋"/>
                <w:sz w:val="24"/>
                <w:szCs w:val="24"/>
                <w:lang w:val="zh-CN"/>
              </w:rPr>
              <w:t>其它需要说明的情况：</w:t>
            </w:r>
          </w:p>
        </w:tc>
      </w:tr>
    </w:tbl>
    <w:p>
      <w:pPr>
        <w:spacing w:line="500" w:lineRule="exact"/>
        <w:rPr>
          <w:rFonts w:ascii="仿宋" w:hAnsi="仿宋" w:eastAsia="仿宋" w:cs="仿宋"/>
          <w:b/>
          <w:bCs/>
          <w:sz w:val="24"/>
          <w:szCs w:val="24"/>
          <w:lang w:val="zh-CN"/>
        </w:rPr>
      </w:pPr>
      <w:r>
        <w:rPr>
          <w:rFonts w:hint="eastAsia" w:ascii="仿宋" w:hAnsi="仿宋" w:eastAsia="仿宋" w:cs="仿宋"/>
          <w:b/>
          <w:bCs/>
          <w:sz w:val="24"/>
          <w:szCs w:val="24"/>
          <w:lang w:val="zh-CN"/>
        </w:rPr>
        <w:t>注：请在本表后附上：营业执照复印件、资质证书复印件等相关资料。</w:t>
      </w:r>
    </w:p>
    <w:p>
      <w:pPr>
        <w:snapToGrid w:val="0"/>
        <w:spacing w:line="500" w:lineRule="exact"/>
        <w:rPr>
          <w:rFonts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w:t>
      </w:r>
      <w:r>
        <w:rPr>
          <w:rFonts w:hint="eastAsia" w:ascii="仿宋" w:hAnsi="仿宋" w:eastAsia="仿宋" w:cs="仿宋"/>
          <w:spacing w:val="14"/>
          <w:sz w:val="24"/>
          <w:szCs w:val="24"/>
          <w:u w:val="single"/>
        </w:rPr>
        <w:t xml:space="preserve">              （盖章）</w:t>
      </w:r>
    </w:p>
    <w:p>
      <w:pPr>
        <w:snapToGrid w:val="0"/>
        <w:spacing w:line="500" w:lineRule="exact"/>
        <w:rPr>
          <w:rFonts w:ascii="仿宋" w:hAnsi="仿宋" w:eastAsia="仿宋" w:cs="仿宋"/>
          <w:sz w:val="24"/>
          <w:szCs w:val="24"/>
        </w:rPr>
      </w:pPr>
      <w:r>
        <w:rPr>
          <w:rFonts w:hint="eastAsia" w:ascii="仿宋" w:hAnsi="仿宋" w:eastAsia="仿宋" w:cs="仿宋"/>
          <w:spacing w:val="11"/>
          <w:sz w:val="24"/>
          <w:szCs w:val="24"/>
        </w:rPr>
        <w:t>法定代表人或授权委托人：</w:t>
      </w:r>
      <w:r>
        <w:rPr>
          <w:rFonts w:hint="eastAsia" w:ascii="仿宋" w:hAnsi="仿宋" w:eastAsia="仿宋" w:cs="仿宋"/>
          <w:spacing w:val="11"/>
          <w:sz w:val="24"/>
          <w:szCs w:val="24"/>
          <w:u w:val="single"/>
        </w:rPr>
        <w:t xml:space="preserve">              （签字或盖章）   </w:t>
      </w:r>
    </w:p>
    <w:p>
      <w:pPr>
        <w:snapToGrid w:val="0"/>
        <w:spacing w:line="500" w:lineRule="exact"/>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before="120" w:beforeLines="50" w:after="120" w:afterLines="50" w:line="500" w:lineRule="exact"/>
        <w:jc w:val="center"/>
        <w:rPr>
          <w:rFonts w:ascii="仿宋" w:hAnsi="仿宋" w:eastAsia="仿宋" w:cs="仿宋"/>
          <w:b/>
          <w:sz w:val="24"/>
          <w:szCs w:val="24"/>
        </w:rPr>
      </w:pPr>
    </w:p>
    <w:p>
      <w:pPr>
        <w:spacing w:before="120" w:beforeLines="50" w:after="120" w:afterLines="50" w:line="500" w:lineRule="exact"/>
        <w:jc w:val="center"/>
        <w:rPr>
          <w:rFonts w:ascii="仿宋" w:hAnsi="仿宋" w:eastAsia="仿宋" w:cs="仿宋"/>
          <w:b/>
          <w:sz w:val="24"/>
          <w:szCs w:val="24"/>
        </w:rPr>
      </w:pPr>
    </w:p>
    <w:p>
      <w:pPr>
        <w:spacing w:before="120" w:beforeLines="50" w:after="120" w:afterLines="50" w:line="500" w:lineRule="exact"/>
        <w:jc w:val="center"/>
        <w:rPr>
          <w:rFonts w:ascii="仿宋" w:hAnsi="仿宋" w:eastAsia="仿宋" w:cs="仿宋"/>
          <w:b/>
          <w:bCs/>
          <w:color w:val="FF0000"/>
          <w:sz w:val="24"/>
          <w:szCs w:val="24"/>
        </w:rPr>
      </w:pPr>
    </w:p>
    <w:p>
      <w:pPr>
        <w:spacing w:before="120" w:beforeLines="50" w:after="120" w:afterLines="50" w:line="500" w:lineRule="exact"/>
        <w:jc w:val="center"/>
        <w:rPr>
          <w:rFonts w:ascii="仿宋" w:hAnsi="仿宋" w:eastAsia="仿宋" w:cs="仿宋"/>
          <w:b/>
          <w:bCs/>
          <w:color w:val="FF0000"/>
          <w:sz w:val="24"/>
          <w:szCs w:val="24"/>
        </w:rPr>
      </w:pPr>
    </w:p>
    <w:p>
      <w:pPr>
        <w:spacing w:before="120" w:beforeLines="50" w:after="120" w:afterLines="50" w:line="500" w:lineRule="exact"/>
        <w:jc w:val="center"/>
        <w:rPr>
          <w:rFonts w:ascii="仿宋" w:hAnsi="仿宋" w:eastAsia="仿宋" w:cs="仿宋"/>
          <w:b/>
          <w:bCs/>
          <w:color w:val="FF0000"/>
          <w:sz w:val="24"/>
          <w:szCs w:val="24"/>
        </w:rPr>
      </w:pPr>
    </w:p>
    <w:p>
      <w:pPr>
        <w:spacing w:before="120" w:beforeLines="50" w:after="120" w:afterLines="50" w:line="500" w:lineRule="exact"/>
        <w:jc w:val="center"/>
        <w:rPr>
          <w:rFonts w:ascii="仿宋" w:hAnsi="仿宋" w:eastAsia="仿宋" w:cs="仿宋"/>
          <w:b/>
          <w:bCs/>
          <w:color w:val="FF0000"/>
          <w:sz w:val="24"/>
          <w:szCs w:val="24"/>
        </w:rPr>
      </w:pPr>
    </w:p>
    <w:p>
      <w:pPr>
        <w:spacing w:before="120" w:beforeLines="50" w:after="120" w:afterLines="50" w:line="500" w:lineRule="exact"/>
        <w:jc w:val="center"/>
        <w:rPr>
          <w:rFonts w:ascii="仿宋" w:hAnsi="仿宋" w:eastAsia="仿宋" w:cs="仿宋"/>
          <w:b/>
          <w:sz w:val="24"/>
          <w:szCs w:val="24"/>
        </w:rPr>
      </w:pPr>
      <w:r>
        <w:rPr>
          <w:rFonts w:hint="eastAsia" w:ascii="仿宋" w:hAnsi="仿宋" w:eastAsia="仿宋" w:cs="仿宋"/>
          <w:b/>
          <w:bCs/>
          <w:sz w:val="24"/>
          <w:szCs w:val="24"/>
        </w:rPr>
        <w:t>服务管理方案（格式自拟）</w:t>
      </w: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pacing w:line="460" w:lineRule="exact"/>
        <w:rPr>
          <w:rFonts w:ascii="仿宋" w:hAnsi="仿宋" w:eastAsia="仿宋" w:cs="仿宋"/>
          <w:b/>
          <w:bCs/>
          <w:sz w:val="24"/>
          <w:szCs w:val="24"/>
        </w:rPr>
      </w:pPr>
    </w:p>
    <w:p>
      <w:pPr>
        <w:snapToGrid w:val="0"/>
        <w:spacing w:before="50" w:after="120" w:afterLines="50"/>
        <w:jc w:val="center"/>
        <w:rPr>
          <w:rFonts w:ascii="仿宋" w:hAnsi="仿宋" w:eastAsia="仿宋" w:cs="仿宋"/>
          <w:b/>
          <w:bCs/>
          <w:sz w:val="24"/>
          <w:szCs w:val="24"/>
        </w:rPr>
      </w:pPr>
      <w:r>
        <w:rPr>
          <w:rFonts w:hint="eastAsia" w:ascii="仿宋" w:hAnsi="仿宋" w:eastAsia="仿宋" w:cs="仿宋"/>
          <w:b/>
          <w:bCs/>
          <w:sz w:val="24"/>
          <w:szCs w:val="24"/>
        </w:rPr>
        <w:t>人员的配置（格式自拟）</w:t>
      </w: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r>
        <w:rPr>
          <w:rFonts w:hint="eastAsia" w:ascii="仿宋" w:hAnsi="仿宋" w:eastAsia="仿宋" w:cs="仿宋"/>
          <w:sz w:val="24"/>
          <w:szCs w:val="24"/>
        </w:rPr>
        <w:t>项目实施人员一览表格式：</w:t>
      </w:r>
    </w:p>
    <w:p>
      <w:pPr>
        <w:snapToGrid w:val="0"/>
        <w:spacing w:before="120" w:beforeLines="50" w:after="50"/>
        <w:jc w:val="center"/>
        <w:rPr>
          <w:rFonts w:ascii="仿宋" w:hAnsi="仿宋" w:eastAsia="仿宋" w:cs="仿宋"/>
          <w:b/>
          <w:sz w:val="24"/>
          <w:szCs w:val="24"/>
        </w:rPr>
      </w:pPr>
      <w:r>
        <w:rPr>
          <w:rFonts w:hint="eastAsia" w:ascii="仿宋" w:hAnsi="仿宋" w:eastAsia="仿宋" w:cs="仿宋"/>
          <w:b/>
          <w:sz w:val="24"/>
          <w:szCs w:val="24"/>
        </w:rPr>
        <w:t>项目实施人员一览表</w:t>
      </w:r>
    </w:p>
    <w:p>
      <w:pPr>
        <w:snapToGrid w:val="0"/>
        <w:spacing w:before="120" w:beforeLines="50" w:after="50"/>
        <w:rPr>
          <w:rFonts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127"/>
        <w:gridCol w:w="1530"/>
        <w:gridCol w:w="1530"/>
        <w:gridCol w:w="15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93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岗位</w:t>
            </w:r>
          </w:p>
        </w:tc>
        <w:tc>
          <w:tcPr>
            <w:tcW w:w="112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1530"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何时参加何种培训</w:t>
            </w:r>
          </w:p>
        </w:tc>
        <w:tc>
          <w:tcPr>
            <w:tcW w:w="1530"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持何种资格证书</w:t>
            </w:r>
          </w:p>
        </w:tc>
        <w:tc>
          <w:tcPr>
            <w:tcW w:w="1530"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从事本工作时间</w:t>
            </w:r>
          </w:p>
        </w:tc>
        <w:tc>
          <w:tcPr>
            <w:tcW w:w="1530"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仿宋" w:hAnsi="仿宋" w:eastAsia="仿宋" w:cs="仿宋"/>
                <w:sz w:val="24"/>
                <w:szCs w:val="24"/>
              </w:rPr>
            </w:pPr>
            <w:r>
              <w:rPr>
                <w:rFonts w:hint="eastAsia" w:ascii="仿宋" w:hAnsi="仿宋" w:eastAsia="仿宋" w:cs="仿宋"/>
                <w:sz w:val="24"/>
                <w:szCs w:val="24"/>
              </w:rPr>
              <w:t>项目经理</w:t>
            </w:r>
          </w:p>
        </w:tc>
        <w:tc>
          <w:tcPr>
            <w:tcW w:w="1127" w:type="dxa"/>
            <w:vAlign w:val="center"/>
          </w:tcPr>
          <w:p>
            <w:pPr>
              <w:spacing w:line="600" w:lineRule="exact"/>
              <w:jc w:val="center"/>
              <w:rPr>
                <w:rFonts w:ascii="仿宋" w:hAnsi="仿宋" w:eastAsia="仿宋" w:cs="仿宋"/>
                <w:sz w:val="24"/>
                <w:szCs w:val="24"/>
              </w:rPr>
            </w:pPr>
          </w:p>
        </w:tc>
        <w:tc>
          <w:tcPr>
            <w:tcW w:w="1530" w:type="dxa"/>
            <w:vAlign w:val="center"/>
          </w:tcPr>
          <w:p>
            <w:pPr>
              <w:spacing w:line="600" w:lineRule="exact"/>
              <w:jc w:val="center"/>
              <w:rPr>
                <w:rFonts w:ascii="仿宋" w:hAnsi="仿宋" w:eastAsia="仿宋" w:cs="仿宋"/>
                <w:sz w:val="24"/>
                <w:szCs w:val="24"/>
              </w:rPr>
            </w:pPr>
          </w:p>
        </w:tc>
        <w:tc>
          <w:tcPr>
            <w:tcW w:w="1530" w:type="dxa"/>
            <w:vAlign w:val="center"/>
          </w:tcPr>
          <w:p>
            <w:pPr>
              <w:spacing w:line="600" w:lineRule="exact"/>
              <w:jc w:val="center"/>
              <w:rPr>
                <w:rFonts w:ascii="仿宋" w:hAnsi="仿宋" w:eastAsia="仿宋" w:cs="仿宋"/>
                <w:sz w:val="24"/>
                <w:szCs w:val="24"/>
              </w:rPr>
            </w:pPr>
          </w:p>
        </w:tc>
        <w:tc>
          <w:tcPr>
            <w:tcW w:w="1530" w:type="dxa"/>
            <w:vAlign w:val="center"/>
          </w:tcPr>
          <w:p>
            <w:pPr>
              <w:spacing w:line="600" w:lineRule="exact"/>
              <w:jc w:val="center"/>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仿宋" w:hAnsi="仿宋" w:eastAsia="仿宋" w:cs="仿宋"/>
                <w:sz w:val="24"/>
                <w:szCs w:val="24"/>
              </w:rPr>
            </w:pPr>
            <w:r>
              <w:rPr>
                <w:rFonts w:hint="eastAsia" w:ascii="仿宋" w:hAnsi="仿宋" w:eastAsia="仿宋" w:cs="仿宋"/>
                <w:sz w:val="24"/>
                <w:szCs w:val="24"/>
              </w:rPr>
              <w:t>其他人员</w:t>
            </w: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933" w:type="dxa"/>
          </w:tcPr>
          <w:p>
            <w:pPr>
              <w:spacing w:line="600" w:lineRule="exact"/>
              <w:rPr>
                <w:rFonts w:ascii="仿宋" w:hAnsi="仿宋" w:eastAsia="仿宋" w:cs="仿宋"/>
                <w:sz w:val="24"/>
                <w:szCs w:val="24"/>
              </w:rPr>
            </w:pPr>
          </w:p>
        </w:tc>
        <w:tc>
          <w:tcPr>
            <w:tcW w:w="1127"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c>
          <w:tcPr>
            <w:tcW w:w="1530" w:type="dxa"/>
          </w:tcPr>
          <w:p>
            <w:pPr>
              <w:spacing w:line="600" w:lineRule="exact"/>
              <w:rPr>
                <w:rFonts w:ascii="仿宋" w:hAnsi="仿宋" w:eastAsia="仿宋" w:cs="仿宋"/>
                <w:sz w:val="24"/>
                <w:szCs w:val="24"/>
              </w:rPr>
            </w:pPr>
          </w:p>
        </w:tc>
      </w:tr>
    </w:tbl>
    <w:p>
      <w:pPr>
        <w:snapToGrid w:val="0"/>
        <w:spacing w:before="50" w:after="120" w:afterLines="50"/>
        <w:jc w:val="left"/>
        <w:rPr>
          <w:rFonts w:ascii="仿宋" w:hAnsi="仿宋" w:eastAsia="仿宋" w:cs="仿宋"/>
          <w:sz w:val="24"/>
          <w:szCs w:val="24"/>
        </w:rPr>
      </w:pPr>
    </w:p>
    <w:p>
      <w:pPr>
        <w:snapToGrid w:val="0"/>
        <w:spacing w:before="50" w:after="120" w:afterLines="50"/>
        <w:ind w:left="480" w:hanging="480" w:hangingChars="200"/>
        <w:jc w:val="left"/>
        <w:rPr>
          <w:rFonts w:ascii="仿宋" w:hAnsi="仿宋" w:eastAsia="仿宋" w:cs="仿宋"/>
          <w:sz w:val="24"/>
          <w:szCs w:val="24"/>
        </w:rPr>
      </w:pPr>
      <w:r>
        <w:rPr>
          <w:rFonts w:hint="eastAsia" w:ascii="仿宋" w:hAnsi="仿宋" w:eastAsia="仿宋" w:cs="仿宋"/>
          <w:sz w:val="24"/>
          <w:szCs w:val="24"/>
        </w:rPr>
        <w:t>注：1.在填写时，如本表格不适合投标人的实际情况，可根据本表格式自行划表填写。2. 提供项目负责人资质证书、员工上岗证和社保证明（复印件加盖公章制作在投标文件中，未提供的不得分）。</w:t>
      </w:r>
    </w:p>
    <w:p>
      <w:pPr>
        <w:snapToGrid w:val="0"/>
        <w:spacing w:before="50" w:after="120" w:afterLines="50"/>
        <w:ind w:left="480" w:hanging="480" w:hangingChars="200"/>
        <w:jc w:val="left"/>
        <w:rPr>
          <w:rFonts w:ascii="仿宋" w:hAnsi="仿宋" w:eastAsia="仿宋" w:cs="仿宋"/>
          <w:sz w:val="24"/>
          <w:szCs w:val="24"/>
        </w:rPr>
      </w:pPr>
    </w:p>
    <w:p>
      <w:pPr>
        <w:snapToGrid w:val="0"/>
        <w:spacing w:before="50" w:after="50"/>
        <w:rPr>
          <w:rFonts w:ascii="仿宋" w:hAnsi="仿宋" w:eastAsia="仿宋" w:cs="仿宋"/>
          <w:spacing w:val="20"/>
          <w:sz w:val="24"/>
          <w:szCs w:val="24"/>
          <w:u w:val="single"/>
        </w:rPr>
      </w:pPr>
      <w:r>
        <w:rPr>
          <w:rFonts w:hint="eastAsia" w:ascii="仿宋" w:hAnsi="仿宋" w:eastAsia="仿宋" w:cs="仿宋"/>
          <w:spacing w:val="20"/>
          <w:sz w:val="24"/>
          <w:szCs w:val="24"/>
        </w:rPr>
        <w:t>授权代表签名：</w:t>
      </w:r>
      <w:r>
        <w:rPr>
          <w:rFonts w:hint="eastAsia" w:ascii="仿宋" w:hAnsi="仿宋" w:eastAsia="仿宋" w:cs="仿宋"/>
          <w:spacing w:val="20"/>
          <w:sz w:val="24"/>
          <w:szCs w:val="24"/>
          <w:u w:val="single"/>
        </w:rPr>
        <w:t xml:space="preserve">            </w:t>
      </w:r>
    </w:p>
    <w:p>
      <w:pPr>
        <w:snapToGrid w:val="0"/>
        <w:spacing w:before="50" w:after="120" w:afterLines="50"/>
        <w:jc w:val="left"/>
        <w:rPr>
          <w:rFonts w:ascii="仿宋" w:hAnsi="仿宋" w:eastAsia="仿宋" w:cs="仿宋"/>
          <w:spacing w:val="20"/>
          <w:sz w:val="24"/>
          <w:szCs w:val="24"/>
          <w:u w:val="single"/>
        </w:rPr>
      </w:pPr>
      <w:r>
        <w:rPr>
          <w:rFonts w:hint="eastAsia" w:ascii="仿宋" w:hAnsi="仿宋" w:eastAsia="仿宋" w:cs="仿宋"/>
          <w:spacing w:val="20"/>
          <w:sz w:val="24"/>
          <w:szCs w:val="24"/>
        </w:rPr>
        <w:t>投标人盖章：</w:t>
      </w:r>
      <w:r>
        <w:rPr>
          <w:rFonts w:hint="eastAsia" w:ascii="仿宋" w:hAnsi="仿宋" w:eastAsia="仿宋" w:cs="仿宋"/>
          <w:spacing w:val="20"/>
          <w:sz w:val="24"/>
          <w:szCs w:val="24"/>
          <w:u w:val="single"/>
        </w:rPr>
        <w:t xml:space="preserve">            </w:t>
      </w:r>
      <w:r>
        <w:rPr>
          <w:rFonts w:hint="eastAsia" w:ascii="仿宋" w:hAnsi="仿宋" w:eastAsia="仿宋" w:cs="仿宋"/>
          <w:spacing w:val="20"/>
          <w:sz w:val="24"/>
          <w:szCs w:val="24"/>
        </w:rPr>
        <w:t xml:space="preserve">                 </w:t>
      </w:r>
      <w:r>
        <w:rPr>
          <w:rFonts w:hint="eastAsia" w:ascii="仿宋" w:hAnsi="仿宋" w:eastAsia="仿宋" w:cs="仿宋"/>
          <w:sz w:val="24"/>
          <w:szCs w:val="24"/>
        </w:rPr>
        <w:t>年    月　 日</w:t>
      </w: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r>
        <w:rPr>
          <w:rFonts w:hint="eastAsia" w:ascii="仿宋" w:hAnsi="仿宋" w:eastAsia="仿宋" w:cs="仿宋"/>
          <w:sz w:val="24"/>
          <w:szCs w:val="24"/>
        </w:rPr>
        <w:t xml:space="preserve"> </w:t>
      </w: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保洁材料清单（包括品牌，均不含报价）（格式自拟）</w:t>
      </w:r>
    </w:p>
    <w:p>
      <w:pPr>
        <w:snapToGrid w:val="0"/>
        <w:spacing w:before="50" w:after="120" w:afterLines="50"/>
        <w:jc w:val="left"/>
        <w:rPr>
          <w:rFonts w:ascii="仿宋" w:hAnsi="仿宋" w:eastAsia="仿宋" w:cs="仿宋"/>
          <w:sz w:val="24"/>
          <w:szCs w:val="24"/>
        </w:rPr>
      </w:pP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投标人需要说明的其他文件和说明（格式自拟）</w:t>
      </w:r>
    </w:p>
    <w:p>
      <w:pPr>
        <w:snapToGrid w:val="0"/>
        <w:spacing w:before="50" w:after="120" w:afterLines="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center"/>
        <w:rPr>
          <w:rFonts w:ascii="仿宋" w:hAnsi="仿宋" w:eastAsia="仿宋" w:cs="仿宋"/>
          <w:b/>
          <w:bCs/>
          <w:sz w:val="24"/>
          <w:szCs w:val="24"/>
        </w:rPr>
      </w:pPr>
      <w:r>
        <w:rPr>
          <w:rFonts w:hint="eastAsia" w:ascii="仿宋" w:hAnsi="仿宋" w:eastAsia="仿宋" w:cs="仿宋"/>
          <w:b/>
          <w:bCs/>
          <w:sz w:val="24"/>
          <w:szCs w:val="24"/>
        </w:rPr>
        <w:t>商务响应表</w:t>
      </w:r>
    </w:p>
    <w:p>
      <w:pPr>
        <w:snapToGrid w:val="0"/>
        <w:spacing w:before="50"/>
        <w:jc w:val="left"/>
        <w:rPr>
          <w:rFonts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tbl>
      <w:tblPr>
        <w:tblStyle w:val="25"/>
        <w:tblW w:w="9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2"/>
        <w:gridCol w:w="4120"/>
        <w:gridCol w:w="1236"/>
        <w:gridCol w:w="26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77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4"/>
              </w:rPr>
            </w:pPr>
            <w:r>
              <w:rPr>
                <w:rFonts w:hint="eastAsia" w:ascii="仿宋" w:hAnsi="仿宋" w:eastAsia="仿宋" w:cs="仿宋"/>
                <w:sz w:val="24"/>
                <w:szCs w:val="24"/>
              </w:rPr>
              <w:t>项目</w:t>
            </w:r>
          </w:p>
        </w:tc>
        <w:tc>
          <w:tcPr>
            <w:tcW w:w="41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4"/>
              </w:rPr>
            </w:pPr>
            <w:r>
              <w:rPr>
                <w:rFonts w:hint="eastAsia" w:ascii="仿宋" w:hAnsi="仿宋" w:eastAsia="仿宋" w:cs="仿宋"/>
                <w:sz w:val="24"/>
                <w:szCs w:val="24"/>
              </w:rPr>
              <w:t>招标文件要求</w:t>
            </w:r>
          </w:p>
        </w:tc>
        <w:tc>
          <w:tcPr>
            <w:tcW w:w="12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r>
              <w:rPr>
                <w:rFonts w:hint="eastAsia" w:ascii="仿宋" w:hAnsi="仿宋" w:eastAsia="仿宋" w:cs="仿宋"/>
                <w:sz w:val="24"/>
                <w:szCs w:val="24"/>
              </w:rPr>
              <w:t>是否响应</w:t>
            </w:r>
          </w:p>
        </w:tc>
        <w:tc>
          <w:tcPr>
            <w:tcW w:w="263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r>
              <w:rPr>
                <w:rFonts w:hint="eastAsia" w:ascii="仿宋" w:hAnsi="仿宋" w:eastAsia="仿宋" w:cs="仿宋"/>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77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4"/>
              </w:rPr>
            </w:pPr>
            <w:r>
              <w:rPr>
                <w:rFonts w:hint="eastAsia" w:ascii="仿宋" w:hAnsi="仿宋" w:eastAsia="仿宋" w:cs="仿宋"/>
                <w:sz w:val="24"/>
                <w:szCs w:val="24"/>
              </w:rPr>
              <w:t>服务年限</w:t>
            </w:r>
          </w:p>
        </w:tc>
        <w:tc>
          <w:tcPr>
            <w:tcW w:w="41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▲两年</w:t>
            </w:r>
          </w:p>
        </w:tc>
        <w:tc>
          <w:tcPr>
            <w:tcW w:w="12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p>
        </w:tc>
        <w:tc>
          <w:tcPr>
            <w:tcW w:w="263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177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sz w:val="24"/>
                <w:szCs w:val="24"/>
              </w:rPr>
            </w:pPr>
            <w:r>
              <w:rPr>
                <w:rFonts w:hint="eastAsia" w:ascii="仿宋" w:hAnsi="仿宋" w:eastAsia="仿宋" w:cs="仿宋"/>
                <w:color w:val="000000"/>
                <w:sz w:val="24"/>
                <w:szCs w:val="24"/>
              </w:rPr>
              <w:t>付款条件</w:t>
            </w:r>
          </w:p>
        </w:tc>
        <w:tc>
          <w:tcPr>
            <w:tcW w:w="412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sz w:val="24"/>
                <w:szCs w:val="24"/>
                <w:highlight w:val="yellow"/>
              </w:rPr>
            </w:pP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招标人按月对中标人进行物业考核，每季度支付80%物业费，在每季度初支付上季度的服务费用，当年底支付剩余的20%物业费，服务期满确认服务质量后支付最后一期物业费。</w:t>
            </w:r>
          </w:p>
          <w:p>
            <w:pPr>
              <w:jc w:val="left"/>
              <w:rPr>
                <w:rFonts w:ascii="仿宋" w:hAnsi="仿宋" w:eastAsia="仿宋" w:cs="仿宋"/>
                <w:color w:val="000000"/>
                <w:sz w:val="24"/>
                <w:szCs w:val="24"/>
              </w:rPr>
            </w:pPr>
            <w:r>
              <w:rPr>
                <w:rFonts w:hint="eastAsia" w:ascii="仿宋" w:hAnsi="仿宋" w:eastAsia="仿宋" w:cs="仿宋"/>
                <w:color w:val="000000"/>
                <w:sz w:val="24"/>
                <w:szCs w:val="24"/>
                <w:highlight w:val="yellow"/>
              </w:rPr>
              <w:t>（凭有效发票）</w:t>
            </w:r>
          </w:p>
        </w:tc>
        <w:tc>
          <w:tcPr>
            <w:tcW w:w="12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p>
        </w:tc>
        <w:tc>
          <w:tcPr>
            <w:tcW w:w="263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s="仿宋"/>
                <w:sz w:val="24"/>
                <w:szCs w:val="24"/>
              </w:rPr>
            </w:pPr>
          </w:p>
        </w:tc>
      </w:tr>
    </w:tbl>
    <w:p>
      <w:pPr>
        <w:snapToGrid w:val="0"/>
        <w:spacing w:before="120" w:beforeLines="50"/>
        <w:rPr>
          <w:rFonts w:ascii="仿宋" w:hAnsi="仿宋" w:eastAsia="仿宋" w:cs="仿宋"/>
          <w:sz w:val="24"/>
          <w:szCs w:val="24"/>
        </w:rPr>
      </w:pPr>
    </w:p>
    <w:p>
      <w:pPr>
        <w:snapToGrid w:val="0"/>
        <w:spacing w:before="120" w:beforeLines="50"/>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r>
        <w:rPr>
          <w:rFonts w:hint="eastAsia" w:ascii="仿宋" w:hAnsi="仿宋" w:eastAsia="仿宋" w:cs="仿宋"/>
          <w:sz w:val="24"/>
          <w:szCs w:val="24"/>
        </w:rPr>
        <w:t>服务承诺（各项奖罚承诺，相关服务质量、承诺等）</w:t>
      </w:r>
    </w:p>
    <w:p>
      <w:pPr>
        <w:snapToGrid w:val="0"/>
        <w:jc w:val="left"/>
        <w:rPr>
          <w:rFonts w:ascii="仿宋" w:hAnsi="仿宋" w:eastAsia="仿宋" w:cs="仿宋"/>
          <w:sz w:val="24"/>
          <w:szCs w:val="24"/>
        </w:rPr>
      </w:pPr>
    </w:p>
    <w:p>
      <w:pPr>
        <w:snapToGrid w:val="0"/>
        <w:spacing w:before="50" w:after="120" w:afterLines="50"/>
        <w:jc w:val="left"/>
        <w:rPr>
          <w:rFonts w:ascii="仿宋" w:hAnsi="仿宋" w:eastAsia="仿宋" w:cs="仿宋"/>
          <w:sz w:val="24"/>
          <w:szCs w:val="24"/>
        </w:rPr>
      </w:pPr>
    </w:p>
    <w:p>
      <w:pPr>
        <w:autoSpaceDE/>
        <w:autoSpaceDN/>
        <w:adjustRightInd/>
        <w:snapToGrid w:val="0"/>
        <w:spacing w:line="500" w:lineRule="exact"/>
        <w:jc w:val="left"/>
        <w:textAlignment w:val="auto"/>
        <w:rPr>
          <w:rFonts w:ascii="仿宋" w:hAnsi="仿宋" w:eastAsia="仿宋" w:cs="仿宋"/>
          <w:sz w:val="24"/>
          <w:szCs w:val="24"/>
        </w:rPr>
      </w:pPr>
      <w:r>
        <w:rPr>
          <w:rFonts w:hint="eastAsia" w:ascii="仿宋" w:hAnsi="仿宋" w:eastAsia="仿宋" w:cs="仿宋"/>
          <w:sz w:val="24"/>
          <w:szCs w:val="24"/>
        </w:rPr>
        <w:t>员工培训，保洁人员资质；</w:t>
      </w:r>
    </w:p>
    <w:p>
      <w:pPr>
        <w:snapToGrid w:val="0"/>
        <w:spacing w:before="50" w:after="120" w:afterLines="50"/>
        <w:jc w:val="left"/>
        <w:rPr>
          <w:rFonts w:ascii="仿宋" w:hAnsi="仿宋" w:eastAsia="仿宋" w:cs="仿宋"/>
          <w:sz w:val="24"/>
          <w:szCs w:val="24"/>
        </w:rPr>
        <w:sectPr>
          <w:footerReference r:id="rId9" w:type="first"/>
          <w:footerReference r:id="rId8" w:type="default"/>
          <w:pgSz w:w="11906" w:h="16838"/>
          <w:pgMar w:top="1474" w:right="1474" w:bottom="1088" w:left="1531" w:header="851" w:footer="850" w:gutter="0"/>
          <w:cols w:space="720" w:num="1"/>
          <w:titlePg/>
          <w:docGrid w:linePitch="312" w:charSpace="0"/>
        </w:sectPr>
      </w:pPr>
    </w:p>
    <w:p>
      <w:pPr>
        <w:snapToGrid w:val="0"/>
        <w:spacing w:before="50" w:after="120" w:afterLines="50"/>
        <w:jc w:val="center"/>
        <w:rPr>
          <w:rFonts w:ascii="仿宋" w:hAnsi="仿宋" w:eastAsia="仿宋" w:cs="仿宋"/>
          <w:b/>
          <w:bCs/>
          <w:sz w:val="24"/>
          <w:szCs w:val="24"/>
        </w:rPr>
      </w:pPr>
      <w:r>
        <w:rPr>
          <w:rFonts w:hint="eastAsia" w:ascii="仿宋" w:hAnsi="仿宋" w:eastAsia="仿宋" w:cs="仿宋"/>
          <w:b/>
          <w:bCs/>
          <w:sz w:val="24"/>
          <w:szCs w:val="24"/>
        </w:rPr>
        <w:t>类似案例成功的业绩</w:t>
      </w:r>
    </w:p>
    <w:p>
      <w:pPr>
        <w:pStyle w:val="22"/>
        <w:snapToGrid w:val="0"/>
        <w:ind w:left="480" w:hanging="480"/>
        <w:rPr>
          <w:rFonts w:ascii="仿宋" w:hAnsi="仿宋" w:eastAsia="仿宋" w:cs="仿宋"/>
          <w:sz w:val="24"/>
          <w:szCs w:val="24"/>
        </w:rPr>
      </w:pPr>
      <w:r>
        <w:rPr>
          <w:rFonts w:hint="eastAsia" w:ascii="仿宋" w:hAnsi="仿宋" w:eastAsia="仿宋" w:cs="仿宋"/>
          <w:sz w:val="24"/>
          <w:szCs w:val="24"/>
        </w:rPr>
        <w:t>投标人同类项目实施情况一览表格式：（投标人同类项目合同复印件）</w:t>
      </w:r>
    </w:p>
    <w:tbl>
      <w:tblPr>
        <w:tblStyle w:val="25"/>
        <w:tblW w:w="146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2141"/>
        <w:gridCol w:w="1563"/>
        <w:gridCol w:w="1091"/>
        <w:gridCol w:w="1301"/>
        <w:gridCol w:w="4206"/>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2" w:hRule="atLeast"/>
        </w:trPr>
        <w:tc>
          <w:tcPr>
            <w:tcW w:w="208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招标人名称</w:t>
            </w:r>
          </w:p>
        </w:tc>
        <w:tc>
          <w:tcPr>
            <w:tcW w:w="214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设备或项目名称</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采购</w:t>
            </w: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数量</w:t>
            </w: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单价</w:t>
            </w:r>
          </w:p>
        </w:tc>
        <w:tc>
          <w:tcPr>
            <w:tcW w:w="13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合同</w:t>
            </w: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金额</w:t>
            </w: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（万元）</w:t>
            </w:r>
          </w:p>
        </w:tc>
        <w:tc>
          <w:tcPr>
            <w:tcW w:w="420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附件页码</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招标人联系人及</w:t>
            </w:r>
          </w:p>
          <w:p>
            <w:pPr>
              <w:snapToGrid w:val="0"/>
              <w:spacing w:before="50" w:after="120" w:afterLines="50"/>
              <w:jc w:val="center"/>
              <w:rPr>
                <w:rFonts w:ascii="仿宋" w:hAnsi="仿宋" w:eastAsia="仿宋" w:cs="仿宋"/>
                <w:sz w:val="24"/>
                <w:szCs w:val="24"/>
              </w:rPr>
            </w:pPr>
            <w:r>
              <w:rPr>
                <w:rFonts w:hint="eastAsia" w:ascii="仿宋" w:hAnsi="仿宋" w:eastAsia="仿宋" w:cs="仿宋"/>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left"/>
              <w:rPr>
                <w:rFonts w:ascii="仿宋" w:hAnsi="仿宋" w:eastAsia="仿宋" w:cs="仿宋"/>
                <w:sz w:val="24"/>
                <w:szCs w:val="24"/>
              </w:rPr>
            </w:pPr>
          </w:p>
        </w:tc>
        <w:tc>
          <w:tcPr>
            <w:tcW w:w="214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left"/>
              <w:rPr>
                <w:rFonts w:ascii="仿宋" w:hAnsi="仿宋" w:eastAsia="仿宋" w:cs="仿宋"/>
                <w:sz w:val="24"/>
                <w:szCs w:val="24"/>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240" w:lineRule="exact"/>
              <w:jc w:val="center"/>
              <w:rPr>
                <w:rFonts w:ascii="仿宋" w:hAnsi="仿宋" w:eastAsia="仿宋" w:cs="仿宋"/>
                <w:sz w:val="24"/>
                <w:szCs w:val="24"/>
              </w:rPr>
            </w:pPr>
            <w:r>
              <w:rPr>
                <w:rFonts w:hint="eastAsia" w:ascii="仿宋" w:hAnsi="仿宋" w:eastAsia="仿宋" w:cs="仿宋"/>
                <w:sz w:val="24"/>
                <w:szCs w:val="24"/>
              </w:rPr>
              <w:t>合同</w:t>
            </w: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left"/>
              <w:rPr>
                <w:rFonts w:ascii="仿宋" w:hAnsi="仿宋" w:eastAsia="仿宋" w:cs="仿宋"/>
                <w:sz w:val="24"/>
                <w:szCs w:val="24"/>
              </w:rPr>
            </w:pPr>
          </w:p>
        </w:tc>
        <w:tc>
          <w:tcPr>
            <w:tcW w:w="2141"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left"/>
              <w:rPr>
                <w:rFonts w:ascii="仿宋" w:hAnsi="仿宋" w:eastAsia="仿宋" w:cs="仿宋"/>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1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5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09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3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2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1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5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09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3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2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1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5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09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3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2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1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5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09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13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42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c>
          <w:tcPr>
            <w:tcW w:w="22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sz w:val="24"/>
                <w:szCs w:val="24"/>
              </w:rPr>
            </w:pPr>
          </w:p>
        </w:tc>
      </w:tr>
    </w:tbl>
    <w:p>
      <w:pPr>
        <w:pStyle w:val="8"/>
        <w:snapToGrid w:val="0"/>
        <w:rPr>
          <w:rFonts w:ascii="仿宋" w:hAnsi="仿宋" w:eastAsia="仿宋" w:cs="仿宋"/>
          <w:sz w:val="24"/>
          <w:szCs w:val="24"/>
        </w:rPr>
      </w:pPr>
    </w:p>
    <w:p>
      <w:pPr>
        <w:pStyle w:val="8"/>
        <w:snapToGrid w:val="0"/>
        <w:rPr>
          <w:rFonts w:ascii="仿宋" w:hAnsi="仿宋" w:eastAsia="仿宋" w:cs="仿宋"/>
          <w:sz w:val="24"/>
          <w:szCs w:val="24"/>
          <w:u w:val="single"/>
        </w:rPr>
      </w:pPr>
      <w:r>
        <w:rPr>
          <w:rFonts w:hint="eastAsia" w:ascii="仿宋" w:hAnsi="仿宋" w:eastAsia="仿宋" w:cs="仿宋"/>
          <w:sz w:val="24"/>
          <w:szCs w:val="24"/>
        </w:rPr>
        <w:t>法定代表人或授权代表签字：</w:t>
      </w:r>
      <w:r>
        <w:rPr>
          <w:rFonts w:hint="eastAsia" w:ascii="仿宋" w:hAnsi="仿宋" w:eastAsia="仿宋" w:cs="仿宋"/>
          <w:sz w:val="24"/>
          <w:szCs w:val="24"/>
          <w:u w:val="single"/>
        </w:rPr>
        <w:t>　　　　　</w:t>
      </w:r>
    </w:p>
    <w:p>
      <w:pPr>
        <w:snapToGrid w:val="0"/>
        <w:spacing w:before="50"/>
        <w:jc w:val="left"/>
        <w:rPr>
          <w:rFonts w:ascii="仿宋" w:hAnsi="仿宋" w:eastAsia="仿宋" w:cs="仿宋"/>
          <w:sz w:val="24"/>
          <w:szCs w:val="24"/>
        </w:rPr>
      </w:pPr>
      <w:r>
        <w:rPr>
          <w:rFonts w:hint="eastAsia" w:ascii="仿宋" w:hAnsi="仿宋" w:eastAsia="仿宋" w:cs="仿宋"/>
          <w:sz w:val="24"/>
          <w:szCs w:val="24"/>
        </w:rPr>
        <w:t>投标人公章：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年    月  日</w:t>
      </w:r>
    </w:p>
    <w:p>
      <w:pPr>
        <w:snapToGrid w:val="0"/>
        <w:spacing w:before="50"/>
        <w:ind w:firstLine="480" w:firstLineChars="200"/>
        <w:jc w:val="left"/>
        <w:rPr>
          <w:rFonts w:ascii="仿宋" w:hAnsi="仿宋" w:eastAsia="仿宋" w:cs="仿宋"/>
          <w:sz w:val="24"/>
          <w:szCs w:val="24"/>
        </w:rPr>
      </w:pPr>
    </w:p>
    <w:p>
      <w:pPr>
        <w:snapToGrid w:val="0"/>
        <w:spacing w:before="50"/>
        <w:ind w:firstLine="482" w:firstLineChars="200"/>
        <w:jc w:val="left"/>
        <w:rPr>
          <w:rFonts w:ascii="仿宋" w:hAnsi="仿宋" w:eastAsia="仿宋" w:cs="仿宋"/>
          <w:b/>
          <w:color w:val="FF0000"/>
          <w:spacing w:val="14"/>
          <w:sz w:val="24"/>
          <w:szCs w:val="24"/>
        </w:rPr>
      </w:pPr>
      <w:r>
        <w:rPr>
          <w:rFonts w:hint="eastAsia" w:ascii="仿宋" w:hAnsi="仿宋" w:eastAsia="仿宋" w:cs="仿宋"/>
          <w:b/>
          <w:color w:val="000000"/>
          <w:sz w:val="24"/>
          <w:szCs w:val="24"/>
        </w:rPr>
        <w:t>注：</w:t>
      </w:r>
      <w:r>
        <w:rPr>
          <w:rFonts w:hint="eastAsia" w:ascii="仿宋" w:hAnsi="仿宋" w:eastAsia="仿宋" w:cs="仿宋"/>
          <w:b/>
          <w:bCs/>
          <w:color w:val="000000"/>
          <w:sz w:val="24"/>
          <w:szCs w:val="24"/>
        </w:rPr>
        <w:t>业绩是指投标人</w:t>
      </w:r>
      <w:r>
        <w:rPr>
          <w:rFonts w:hint="eastAsia" w:ascii="仿宋" w:hAnsi="仿宋" w:eastAsia="仿宋" w:cs="仿宋"/>
          <w:b/>
          <w:bCs/>
          <w:color w:val="000000"/>
          <w:sz w:val="24"/>
          <w:szCs w:val="24"/>
          <w:highlight w:val="yellow"/>
        </w:rPr>
        <w:t>2019年1月1日</w:t>
      </w:r>
      <w:r>
        <w:rPr>
          <w:rFonts w:hint="eastAsia" w:ascii="仿宋" w:hAnsi="仿宋" w:eastAsia="仿宋" w:cs="仿宋"/>
          <w:b/>
          <w:bCs/>
          <w:color w:val="000000"/>
          <w:sz w:val="24"/>
          <w:szCs w:val="24"/>
        </w:rPr>
        <w:t>至今，</w:t>
      </w:r>
      <w:r>
        <w:rPr>
          <w:rFonts w:hint="eastAsia" w:ascii="仿宋" w:hAnsi="仿宋" w:eastAsia="仿宋" w:cs="仿宋"/>
          <w:b/>
          <w:color w:val="000000"/>
          <w:spacing w:val="-2"/>
          <w:sz w:val="24"/>
          <w:szCs w:val="24"/>
        </w:rPr>
        <w:t>同类项目</w:t>
      </w:r>
      <w:r>
        <w:rPr>
          <w:rFonts w:hint="eastAsia" w:ascii="仿宋" w:hAnsi="仿宋" w:eastAsia="仿宋" w:cs="仿宋"/>
          <w:b/>
          <w:bCs/>
          <w:color w:val="000000"/>
          <w:sz w:val="24"/>
          <w:szCs w:val="24"/>
        </w:rPr>
        <w:t>已签署的项目合同(</w:t>
      </w:r>
      <w:r>
        <w:rPr>
          <w:rFonts w:hint="eastAsia" w:ascii="仿宋" w:hAnsi="仿宋" w:eastAsia="仿宋" w:cs="仿宋"/>
          <w:b/>
          <w:color w:val="000000"/>
          <w:spacing w:val="14"/>
          <w:sz w:val="24"/>
          <w:szCs w:val="24"/>
        </w:rPr>
        <w:t>提供合同复印件并加盖投标人公章，未提供合同复印件的，该部分评分时不予认可且该部分作不得分处理）。</w:t>
      </w:r>
    </w:p>
    <w:p>
      <w:pPr>
        <w:snapToGrid w:val="0"/>
        <w:spacing w:before="50" w:after="120" w:afterLines="50"/>
        <w:jc w:val="left"/>
        <w:rPr>
          <w:rFonts w:ascii="仿宋" w:hAnsi="仿宋" w:eastAsia="仿宋" w:cs="仿宋"/>
          <w:sz w:val="24"/>
          <w:szCs w:val="24"/>
        </w:rPr>
        <w:sectPr>
          <w:pgSz w:w="16838" w:h="11906" w:orient="landscape"/>
          <w:pgMar w:top="1531" w:right="1474" w:bottom="1474" w:left="1088" w:header="851" w:footer="850" w:gutter="0"/>
          <w:cols w:space="720" w:num="1"/>
          <w:titlePg/>
          <w:docGrid w:linePitch="312" w:charSpace="0"/>
        </w:sectPr>
      </w:pPr>
    </w:p>
    <w:p>
      <w:pPr>
        <w:snapToGrid w:val="0"/>
        <w:spacing w:line="360" w:lineRule="exact"/>
        <w:rPr>
          <w:rFonts w:ascii="仿宋" w:hAnsi="仿宋" w:eastAsia="仿宋" w:cs="仿宋"/>
          <w:sz w:val="24"/>
          <w:szCs w:val="24"/>
        </w:rPr>
      </w:pPr>
      <w:r>
        <w:rPr>
          <w:rFonts w:hint="eastAsia" w:ascii="仿宋" w:hAnsi="仿宋" w:eastAsia="仿宋" w:cs="仿宋"/>
          <w:sz w:val="24"/>
          <w:szCs w:val="24"/>
        </w:rPr>
        <w:t>投标人质量管理和环境认证体系等方面的资质证书或文件复印件</w:t>
      </w: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r>
        <w:rPr>
          <w:rFonts w:hint="eastAsia" w:ascii="仿宋" w:hAnsi="仿宋" w:eastAsia="仿宋" w:cs="仿宋"/>
          <w:bCs/>
          <w:sz w:val="24"/>
          <w:szCs w:val="24"/>
        </w:rPr>
        <w:t xml:space="preserve"> </w:t>
      </w:r>
      <w:r>
        <w:rPr>
          <w:rFonts w:hint="eastAsia" w:ascii="仿宋" w:hAnsi="仿宋" w:eastAsia="仿宋" w:cs="仿宋"/>
          <w:sz w:val="24"/>
          <w:szCs w:val="24"/>
        </w:rPr>
        <w:t>投标人认为可以证明其能力或业绩的其他材料（格式自拟）</w:t>
      </w:r>
    </w:p>
    <w:p>
      <w:pPr>
        <w:snapToGrid w:val="0"/>
        <w:spacing w:before="50" w:after="156" w:afterLines="50"/>
        <w:jc w:val="lef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p>
    <w:p>
      <w:pPr>
        <w:snapToGrid w:val="0"/>
        <w:spacing w:before="50" w:after="156" w:afterLines="50"/>
        <w:jc w:val="left"/>
        <w:rPr>
          <w:rFonts w:ascii="仿宋" w:hAnsi="仿宋" w:eastAsia="仿宋" w:cs="仿宋"/>
          <w:sz w:val="24"/>
          <w:szCs w:val="24"/>
        </w:rPr>
      </w:pPr>
      <w:r>
        <w:rPr>
          <w:rFonts w:hint="eastAsia" w:ascii="仿宋" w:hAnsi="仿宋" w:eastAsia="仿宋" w:cs="仿宋"/>
          <w:sz w:val="24"/>
          <w:szCs w:val="24"/>
        </w:rPr>
        <w:t>投标人情况介绍（技术力量、规模、经营业绩等，格式自拟）</w:t>
      </w: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snapToGrid w:val="0"/>
        <w:spacing w:before="50"/>
        <w:jc w:val="left"/>
        <w:rPr>
          <w:rFonts w:ascii="仿宋" w:hAnsi="仿宋" w:eastAsia="仿宋" w:cs="仿宋"/>
          <w:sz w:val="24"/>
          <w:szCs w:val="24"/>
        </w:rPr>
      </w:pPr>
    </w:p>
    <w:p>
      <w:pPr>
        <w:rPr>
          <w:rFonts w:ascii="仿宋" w:hAnsi="仿宋" w:eastAsia="仿宋" w:cs="仿宋"/>
          <w:b/>
          <w:color w:val="000000"/>
          <w:sz w:val="24"/>
          <w:szCs w:val="24"/>
        </w:rPr>
      </w:pPr>
    </w:p>
    <w:p>
      <w:pPr>
        <w:jc w:val="center"/>
        <w:rPr>
          <w:rFonts w:ascii="仿宋" w:hAnsi="仿宋" w:eastAsia="仿宋" w:cs="仿宋"/>
          <w:b/>
          <w:color w:val="000000"/>
          <w:sz w:val="24"/>
          <w:szCs w:val="24"/>
        </w:rPr>
      </w:pPr>
    </w:p>
    <w:p>
      <w:pPr>
        <w:jc w:val="center"/>
        <w:rPr>
          <w:rFonts w:ascii="仿宋" w:hAnsi="仿宋" w:eastAsia="仿宋" w:cs="仿宋"/>
          <w:b/>
          <w:color w:val="000000"/>
          <w:sz w:val="24"/>
          <w:szCs w:val="24"/>
        </w:rPr>
      </w:pPr>
      <w:r>
        <w:rPr>
          <w:rFonts w:hint="eastAsia" w:ascii="仿宋" w:hAnsi="仿宋" w:eastAsia="仿宋" w:cs="仿宋"/>
          <w:b/>
          <w:color w:val="000000"/>
          <w:sz w:val="24"/>
          <w:szCs w:val="24"/>
        </w:rPr>
        <w:t>投标需要的其他资料</w:t>
      </w:r>
    </w:p>
    <w:p>
      <w:pPr>
        <w:spacing w:line="60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（招标人要求提供的或投标人认为需要提供的其他资料）</w:t>
      </w: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jc w:val="center"/>
        <w:rPr>
          <w:rFonts w:ascii="仿宋" w:hAnsi="仿宋" w:eastAsia="仿宋" w:cs="仿宋"/>
          <w:b/>
          <w:bCs/>
          <w:szCs w:val="28"/>
        </w:rPr>
      </w:pPr>
      <w:r>
        <w:rPr>
          <w:rFonts w:hint="eastAsia" w:ascii="仿宋" w:hAnsi="仿宋" w:eastAsia="仿宋" w:cs="仿宋"/>
          <w:b/>
          <w:bCs/>
          <w:szCs w:val="28"/>
        </w:rPr>
        <w:t>投标函</w:t>
      </w:r>
    </w:p>
    <w:p>
      <w:pPr>
        <w:spacing w:line="360" w:lineRule="auto"/>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（招标人）：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我方已全面阅读和研究了</w:t>
      </w:r>
      <w:r>
        <w:rPr>
          <w:rFonts w:hint="eastAsia" w:ascii="仿宋" w:hAnsi="仿宋" w:eastAsia="仿宋" w:cs="仿宋"/>
          <w:sz w:val="24"/>
          <w:szCs w:val="24"/>
          <w:u w:val="single"/>
        </w:rPr>
        <w:t xml:space="preserve">                          </w:t>
      </w:r>
      <w:r>
        <w:rPr>
          <w:rFonts w:hint="eastAsia" w:ascii="仿宋" w:hAnsi="仿宋" w:eastAsia="仿宋" w:cs="仿宋"/>
          <w:sz w:val="24"/>
          <w:szCs w:val="24"/>
        </w:rPr>
        <w:t>项目招标文件和招标补充文件，并经过对施工现场的踏勘，澄清疑问，已充分理解并掌握了本项目招标的全部有关情况。同意接受招标文件的全部内容和条件，并按此确定本项目投标的要约内容进行投标。最终报价为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元），服务期限</w:t>
      </w:r>
      <w:r>
        <w:rPr>
          <w:rFonts w:hint="eastAsia" w:ascii="仿宋" w:hAnsi="仿宋" w:eastAsia="仿宋" w:cs="仿宋"/>
          <w:sz w:val="24"/>
          <w:szCs w:val="24"/>
          <w:u w:val="single"/>
        </w:rPr>
        <w:t xml:space="preserve">    </w:t>
      </w:r>
      <w:r>
        <w:rPr>
          <w:rFonts w:hint="eastAsia" w:ascii="仿宋" w:hAnsi="仿宋" w:eastAsia="仿宋" w:cs="仿宋"/>
          <w:sz w:val="24"/>
          <w:szCs w:val="24"/>
        </w:rPr>
        <w:t>年。我方将严格按照有关招标投标法规及招标文件的规定参加投标，并理解贵方不一定接受最低标价的投标，对定标结果也没有解释义务。如由我方中标，在接到你方发出的中标通知书起</w:t>
      </w:r>
      <w:r>
        <w:rPr>
          <w:rFonts w:hint="eastAsia" w:ascii="仿宋" w:hAnsi="仿宋" w:eastAsia="仿宋" w:cs="仿宋"/>
          <w:sz w:val="24"/>
          <w:szCs w:val="24"/>
          <w:u w:val="single"/>
        </w:rPr>
        <w:t>30</w:t>
      </w:r>
      <w:r>
        <w:rPr>
          <w:rFonts w:hint="eastAsia" w:ascii="仿宋" w:hAnsi="仿宋" w:eastAsia="仿宋" w:cs="仿宋"/>
          <w:sz w:val="24"/>
          <w:szCs w:val="24"/>
        </w:rPr>
        <w:t>天内递交委托合同价5%的履约担保，并按中标通知书、招标文件和本投标函的约定与你方签订委托合同，履行规定的一切责任和义务。</w:t>
      </w:r>
    </w:p>
    <w:p>
      <w:pPr>
        <w:spacing w:line="360" w:lineRule="auto"/>
        <w:rPr>
          <w:rFonts w:ascii="仿宋" w:hAnsi="仿宋" w:eastAsia="仿宋" w:cs="仿宋"/>
          <w:sz w:val="24"/>
          <w:szCs w:val="24"/>
        </w:rPr>
      </w:pPr>
      <w:r>
        <w:rPr>
          <w:rFonts w:hint="eastAsia" w:ascii="仿宋" w:hAnsi="仿宋" w:eastAsia="仿宋" w:cs="仿宋"/>
          <w:sz w:val="24"/>
          <w:szCs w:val="24"/>
        </w:rPr>
        <w:t>我们同意从投标之日起在</w:t>
      </w:r>
      <w:r>
        <w:rPr>
          <w:rFonts w:hint="eastAsia" w:ascii="仿宋" w:hAnsi="仿宋" w:eastAsia="仿宋" w:cs="仿宋"/>
          <w:sz w:val="24"/>
          <w:szCs w:val="24"/>
          <w:u w:val="single"/>
        </w:rPr>
        <w:t>90</w:t>
      </w:r>
      <w:r>
        <w:rPr>
          <w:rFonts w:hint="eastAsia" w:ascii="仿宋" w:hAnsi="仿宋" w:eastAsia="仿宋" w:cs="仿宋"/>
          <w:sz w:val="24"/>
          <w:szCs w:val="24"/>
        </w:rPr>
        <w:t>天的有效期内恪守本招标文件，在此期限期满之前的任何时间，本投标函全部条款内容对我方具有约束力。</w:t>
      </w:r>
    </w:p>
    <w:p>
      <w:pPr>
        <w:spacing w:line="360" w:lineRule="auto"/>
        <w:rPr>
          <w:rFonts w:ascii="仿宋" w:hAnsi="仿宋" w:eastAsia="仿宋" w:cs="仿宋"/>
          <w:sz w:val="24"/>
          <w:szCs w:val="24"/>
        </w:rPr>
      </w:pPr>
      <w:r>
        <w:rPr>
          <w:rFonts w:hint="eastAsia" w:ascii="仿宋" w:hAnsi="仿宋" w:eastAsia="仿宋" w:cs="仿宋"/>
          <w:sz w:val="24"/>
          <w:szCs w:val="24"/>
        </w:rPr>
        <w:t>在合同协议书正式签署生效之前，本投标函连同你方的中标通知书将构成我们双方之间共同遵守的文件，对双方具有约束力。</w:t>
      </w:r>
    </w:p>
    <w:p>
      <w:pPr>
        <w:spacing w:line="360" w:lineRule="auto"/>
        <w:rPr>
          <w:rFonts w:ascii="仿宋" w:hAnsi="仿宋" w:eastAsia="仿宋" w:cs="仿宋"/>
          <w:sz w:val="24"/>
          <w:szCs w:val="24"/>
        </w:rPr>
      </w:pPr>
      <w:r>
        <w:rPr>
          <w:rFonts w:hint="eastAsia" w:ascii="仿宋" w:hAnsi="仿宋" w:eastAsia="仿宋" w:cs="仿宋"/>
          <w:sz w:val="24"/>
          <w:szCs w:val="24"/>
        </w:rPr>
        <w:t>投标人（盖单位电子公章）：</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法定代表（法定代表人电子章）： </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联系人： </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联系地址：</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p>
    <w:p>
      <w:pPr>
        <w:spacing w:line="480" w:lineRule="auto"/>
        <w:jc w:val="center"/>
        <w:rPr>
          <w:rFonts w:ascii="仿宋" w:hAnsi="仿宋" w:eastAsia="仿宋" w:cs="仿宋"/>
          <w:b/>
          <w:sz w:val="24"/>
          <w:szCs w:val="24"/>
        </w:rPr>
      </w:pPr>
      <w:r>
        <w:rPr>
          <w:rFonts w:hint="eastAsia" w:ascii="仿宋" w:hAnsi="仿宋" w:eastAsia="仿宋" w:cs="仿宋"/>
          <w:sz w:val="24"/>
          <w:szCs w:val="24"/>
        </w:rPr>
        <w:br w:type="page"/>
      </w:r>
      <w:r>
        <w:rPr>
          <w:rFonts w:hint="eastAsia" w:ascii="仿宋" w:hAnsi="仿宋" w:eastAsia="仿宋" w:cs="仿宋"/>
          <w:b/>
          <w:sz w:val="24"/>
          <w:szCs w:val="24"/>
        </w:rPr>
        <w:t>报价明细表</w:t>
      </w:r>
    </w:p>
    <w:tbl>
      <w:tblPr>
        <w:tblStyle w:val="25"/>
        <w:tblpPr w:leftFromText="180" w:rightFromText="180" w:vertAnchor="page" w:horzAnchor="margin" w:tblpY="3007"/>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979"/>
        <w:gridCol w:w="2401"/>
        <w:gridCol w:w="127"/>
        <w:gridCol w:w="126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6698" w:type="dxa"/>
            <w:gridSpan w:val="4"/>
          </w:tcPr>
          <w:p>
            <w:pPr>
              <w:jc w:val="center"/>
              <w:rPr>
                <w:rFonts w:ascii="仿宋" w:hAnsi="仿宋" w:eastAsia="仿宋" w:cs="仿宋"/>
                <w:sz w:val="24"/>
                <w:szCs w:val="24"/>
              </w:rPr>
            </w:pPr>
            <w:r>
              <w:rPr>
                <w:rFonts w:hint="eastAsia" w:ascii="仿宋" w:hAnsi="仿宋" w:eastAsia="仿宋" w:cs="仿宋"/>
                <w:sz w:val="24"/>
                <w:szCs w:val="24"/>
              </w:rPr>
              <w:t>项目明细</w:t>
            </w:r>
          </w:p>
        </w:tc>
        <w:tc>
          <w:tcPr>
            <w:tcW w:w="2401" w:type="dxa"/>
            <w:gridSpan w:val="2"/>
          </w:tcPr>
          <w:p>
            <w:pPr>
              <w:jc w:val="center"/>
              <w:rPr>
                <w:rFonts w:ascii="仿宋" w:hAnsi="仿宋" w:eastAsia="仿宋" w:cs="仿宋"/>
                <w:sz w:val="24"/>
                <w:szCs w:val="24"/>
              </w:rPr>
            </w:pPr>
            <w:r>
              <w:rPr>
                <w:rFonts w:hint="eastAsia" w:ascii="仿宋" w:hAnsi="仿宋" w:eastAsia="仿宋" w:cs="仿宋"/>
                <w:sz w:val="24"/>
                <w:szCs w:val="24"/>
              </w:rPr>
              <w:t>金额（元/人/月）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restart"/>
            <w:vAlign w:val="center"/>
          </w:tcPr>
          <w:p>
            <w:pPr>
              <w:pStyle w:val="12"/>
              <w:spacing w:after="0"/>
              <w:rPr>
                <w:rFonts w:ascii="仿宋" w:hAnsi="仿宋" w:eastAsia="仿宋" w:cs="仿宋"/>
                <w:sz w:val="24"/>
                <w:szCs w:val="24"/>
              </w:rPr>
            </w:pPr>
            <w:r>
              <w:rPr>
                <w:rFonts w:hint="eastAsia" w:ascii="仿宋" w:hAnsi="仿宋" w:eastAsia="仿宋" w:cs="仿宋"/>
                <w:sz w:val="24"/>
                <w:szCs w:val="24"/>
              </w:rPr>
              <w:t>1.服务人员的工资（岗位基本工资不得低于</w:t>
            </w:r>
            <w:r>
              <w:rPr>
                <w:rFonts w:hint="eastAsia" w:ascii="仿宋" w:hAnsi="仿宋" w:eastAsia="仿宋" w:cs="仿宋"/>
                <w:sz w:val="24"/>
                <w:szCs w:val="24"/>
                <w:u w:val="single"/>
              </w:rPr>
              <w:t xml:space="preserve">    </w:t>
            </w:r>
            <w:r>
              <w:rPr>
                <w:rFonts w:hint="eastAsia" w:ascii="仿宋" w:hAnsi="仿宋" w:eastAsia="仿宋" w:cs="仿宋"/>
                <w:sz w:val="24"/>
                <w:szCs w:val="24"/>
              </w:rPr>
              <w:t>元/人/月）；以平均工资报。</w:t>
            </w:r>
          </w:p>
          <w:p>
            <w:pPr>
              <w:pStyle w:val="12"/>
              <w:spacing w:after="0"/>
              <w:rPr>
                <w:rFonts w:ascii="仿宋" w:hAnsi="仿宋" w:eastAsia="仿宋" w:cs="仿宋"/>
                <w:sz w:val="24"/>
                <w:szCs w:val="24"/>
              </w:rPr>
            </w:pPr>
            <w:r>
              <w:rPr>
                <w:rFonts w:hint="eastAsia" w:ascii="仿宋" w:hAnsi="仿宋" w:eastAsia="仿宋" w:cs="仿宋"/>
                <w:sz w:val="24"/>
                <w:szCs w:val="24"/>
              </w:rPr>
              <w:t>2.按规定缴纳的各类社会保险投保率不得低于70%</w:t>
            </w:r>
          </w:p>
          <w:p>
            <w:pPr>
              <w:pStyle w:val="12"/>
              <w:spacing w:after="0"/>
              <w:rPr>
                <w:rFonts w:ascii="仿宋" w:hAnsi="仿宋" w:eastAsia="仿宋" w:cs="仿宋"/>
                <w:sz w:val="24"/>
                <w:szCs w:val="24"/>
              </w:rPr>
            </w:pPr>
            <w:r>
              <w:rPr>
                <w:rFonts w:hint="eastAsia" w:ascii="仿宋" w:hAnsi="仿宋" w:eastAsia="仿宋" w:cs="仿宋"/>
                <w:sz w:val="24"/>
                <w:szCs w:val="24"/>
              </w:rPr>
              <w:t>3.法定节假日加班费；</w:t>
            </w:r>
          </w:p>
          <w:p>
            <w:pPr>
              <w:pStyle w:val="12"/>
              <w:spacing w:after="0"/>
              <w:rPr>
                <w:rFonts w:ascii="仿宋" w:hAnsi="仿宋" w:eastAsia="仿宋" w:cs="仿宋"/>
                <w:sz w:val="24"/>
                <w:szCs w:val="24"/>
              </w:rPr>
            </w:pPr>
            <w:r>
              <w:rPr>
                <w:rFonts w:hint="eastAsia" w:ascii="仿宋" w:hAnsi="仿宋" w:eastAsia="仿宋" w:cs="仿宋"/>
                <w:sz w:val="24"/>
                <w:szCs w:val="24"/>
              </w:rPr>
              <w:t>4.休息日加班费；5.临时加班费；6.管理费用；7.税费；</w:t>
            </w:r>
          </w:p>
          <w:p>
            <w:pPr>
              <w:pStyle w:val="12"/>
              <w:spacing w:after="0"/>
              <w:rPr>
                <w:rFonts w:ascii="仿宋" w:hAnsi="仿宋" w:eastAsia="仿宋" w:cs="仿宋"/>
                <w:sz w:val="24"/>
                <w:szCs w:val="24"/>
              </w:rPr>
            </w:pPr>
            <w:r>
              <w:rPr>
                <w:rFonts w:hint="eastAsia" w:ascii="仿宋" w:hAnsi="仿宋" w:eastAsia="仿宋" w:cs="仿宋"/>
                <w:sz w:val="24"/>
                <w:szCs w:val="24"/>
              </w:rPr>
              <w:t>8.企业固定资产折旧费；</w:t>
            </w:r>
          </w:p>
          <w:p>
            <w:pPr>
              <w:pStyle w:val="12"/>
              <w:spacing w:after="0"/>
              <w:rPr>
                <w:rFonts w:ascii="仿宋" w:hAnsi="仿宋" w:eastAsia="仿宋" w:cs="仿宋"/>
                <w:sz w:val="24"/>
                <w:szCs w:val="24"/>
              </w:rPr>
            </w:pPr>
            <w:r>
              <w:rPr>
                <w:rFonts w:hint="eastAsia" w:ascii="仿宋" w:hAnsi="仿宋" w:eastAsia="仿宋" w:cs="仿宋"/>
                <w:sz w:val="24"/>
                <w:szCs w:val="24"/>
              </w:rPr>
              <w:t>9.企业提取的费用（利润）；</w:t>
            </w:r>
          </w:p>
          <w:p>
            <w:pPr>
              <w:pStyle w:val="12"/>
              <w:spacing w:after="0"/>
              <w:rPr>
                <w:rFonts w:ascii="仿宋" w:hAnsi="仿宋" w:eastAsia="仿宋" w:cs="仿宋"/>
                <w:sz w:val="24"/>
                <w:szCs w:val="24"/>
              </w:rPr>
            </w:pPr>
            <w:r>
              <w:rPr>
                <w:rFonts w:hint="eastAsia" w:ascii="仿宋" w:hAnsi="仿宋" w:eastAsia="仿宋" w:cs="仿宋"/>
                <w:sz w:val="24"/>
                <w:szCs w:val="24"/>
              </w:rPr>
              <w:t>10.所有保洁材料及易耗品费用；</w:t>
            </w:r>
          </w:p>
          <w:p>
            <w:pPr>
              <w:pStyle w:val="12"/>
              <w:spacing w:after="0"/>
              <w:rPr>
                <w:rFonts w:ascii="仿宋" w:hAnsi="仿宋" w:eastAsia="仿宋" w:cs="仿宋"/>
                <w:sz w:val="24"/>
                <w:szCs w:val="24"/>
              </w:rPr>
            </w:pPr>
            <w:r>
              <w:rPr>
                <w:rFonts w:hint="eastAsia" w:ascii="仿宋" w:hAnsi="仿宋" w:eastAsia="仿宋" w:cs="仿宋"/>
                <w:sz w:val="24"/>
                <w:szCs w:val="24"/>
              </w:rPr>
              <w:t>11.保洁工具及维修费；12.福利费；13.培训费；14.房租费；15.服装费；16.夜班费；17.过节费；18.先进奖励费；19.劳保费；20.员工健康体检费；</w:t>
            </w:r>
          </w:p>
          <w:p>
            <w:pPr>
              <w:pStyle w:val="12"/>
              <w:spacing w:after="0"/>
              <w:rPr>
                <w:rFonts w:ascii="仿宋" w:hAnsi="仿宋" w:eastAsia="仿宋" w:cs="仿宋"/>
                <w:sz w:val="24"/>
                <w:szCs w:val="24"/>
              </w:rPr>
            </w:pPr>
            <w:r>
              <w:rPr>
                <w:rFonts w:hint="eastAsia" w:ascii="仿宋" w:hAnsi="仿宋" w:eastAsia="仿宋" w:cs="仿宋"/>
                <w:sz w:val="24"/>
                <w:szCs w:val="24"/>
              </w:rPr>
              <w:t>21.高温费；22.按规定提取的福利费；</w:t>
            </w:r>
          </w:p>
          <w:p>
            <w:pPr>
              <w:pStyle w:val="12"/>
              <w:spacing w:after="0"/>
              <w:rPr>
                <w:rFonts w:ascii="仿宋" w:hAnsi="仿宋" w:eastAsia="仿宋" w:cs="仿宋"/>
                <w:sz w:val="24"/>
                <w:szCs w:val="24"/>
              </w:rPr>
            </w:pPr>
            <w:r>
              <w:rPr>
                <w:rFonts w:hint="eastAsia" w:ascii="仿宋" w:hAnsi="仿宋" w:eastAsia="仿宋" w:cs="仿宋"/>
                <w:sz w:val="24"/>
                <w:szCs w:val="24"/>
              </w:rPr>
              <w:t>23.离职补偿金；24.其它一切费用</w:t>
            </w:r>
          </w:p>
          <w:p>
            <w:pPr>
              <w:pStyle w:val="12"/>
              <w:spacing w:after="0"/>
              <w:rPr>
                <w:rFonts w:ascii="仿宋" w:hAnsi="仿宋" w:eastAsia="仿宋" w:cs="仿宋"/>
                <w:sz w:val="24"/>
                <w:szCs w:val="24"/>
              </w:rPr>
            </w:pPr>
            <w:r>
              <w:rPr>
                <w:rFonts w:hint="eastAsia" w:ascii="仿宋" w:hAnsi="仿宋" w:eastAsia="仿宋" w:cs="仿宋"/>
                <w:sz w:val="24"/>
                <w:szCs w:val="24"/>
              </w:rPr>
              <w:t>25.本费用已包括第一年合同期内浙江省及湖州市员工最低基本工资的增资因素及保险调整因素；</w:t>
            </w:r>
          </w:p>
        </w:tc>
        <w:tc>
          <w:tcPr>
            <w:tcW w:w="1264" w:type="dxa"/>
          </w:tcPr>
          <w:p>
            <w:pPr>
              <w:rPr>
                <w:rFonts w:ascii="仿宋" w:hAnsi="仿宋" w:eastAsia="仿宋" w:cs="仿宋"/>
                <w:sz w:val="24"/>
                <w:szCs w:val="24"/>
              </w:rPr>
            </w:pPr>
            <w:r>
              <w:rPr>
                <w:rFonts w:hint="eastAsia" w:ascii="仿宋" w:hAnsi="仿宋" w:eastAsia="仿宋" w:cs="仿宋"/>
                <w:sz w:val="24"/>
                <w:szCs w:val="24"/>
              </w:rPr>
              <w:t>1.</w:t>
            </w:r>
          </w:p>
        </w:tc>
        <w:tc>
          <w:tcPr>
            <w:tcW w:w="1137" w:type="dxa"/>
          </w:tcPr>
          <w:p>
            <w:pPr>
              <w:rPr>
                <w:rFonts w:ascii="仿宋" w:hAnsi="仿宋" w:eastAsia="仿宋" w:cs="仿宋"/>
                <w:sz w:val="24"/>
                <w:szCs w:val="24"/>
              </w:rPr>
            </w:pPr>
            <w:r>
              <w:rPr>
                <w:rFonts w:hint="eastAsia" w:ascii="仿宋" w:hAnsi="仿宋" w:eastAsia="仿宋" w:cs="仿宋"/>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2．</w:t>
            </w:r>
          </w:p>
        </w:tc>
        <w:tc>
          <w:tcPr>
            <w:tcW w:w="1137" w:type="dxa"/>
          </w:tcPr>
          <w:p>
            <w:pP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3．</w:t>
            </w:r>
          </w:p>
        </w:tc>
        <w:tc>
          <w:tcPr>
            <w:tcW w:w="1137" w:type="dxa"/>
          </w:tcPr>
          <w:p>
            <w:pP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4．</w:t>
            </w:r>
          </w:p>
        </w:tc>
        <w:tc>
          <w:tcPr>
            <w:tcW w:w="1137" w:type="dxa"/>
          </w:tcPr>
          <w:p>
            <w:pPr>
              <w:rPr>
                <w:rFonts w:ascii="仿宋" w:hAnsi="仿宋" w:eastAsia="仿宋" w:cs="仿宋"/>
                <w:sz w:val="24"/>
                <w:szCs w:val="24"/>
              </w:rPr>
            </w:pPr>
            <w:r>
              <w:rPr>
                <w:rFonts w:hint="eastAsia" w:ascii="仿宋" w:hAnsi="仿宋" w:eastAsia="仿宋" w:cs="仿宋"/>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5．</w:t>
            </w:r>
          </w:p>
        </w:tc>
        <w:tc>
          <w:tcPr>
            <w:tcW w:w="1137" w:type="dxa"/>
          </w:tcPr>
          <w:p>
            <w:pPr>
              <w:rPr>
                <w:rFonts w:ascii="仿宋" w:hAnsi="仿宋" w:eastAsia="仿宋" w:cs="仿宋"/>
                <w:sz w:val="24"/>
                <w:szCs w:val="24"/>
              </w:rPr>
            </w:pPr>
            <w:r>
              <w:rPr>
                <w:rFonts w:hint="eastAsia" w:ascii="仿宋" w:hAnsi="仿宋" w:eastAsia="仿宋" w:cs="仿宋"/>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6．</w:t>
            </w:r>
          </w:p>
        </w:tc>
        <w:tc>
          <w:tcPr>
            <w:tcW w:w="1137" w:type="dxa"/>
          </w:tcPr>
          <w:p>
            <w:pPr>
              <w:rPr>
                <w:rFonts w:ascii="仿宋" w:hAnsi="仿宋" w:eastAsia="仿宋" w:cs="仿宋"/>
                <w:sz w:val="24"/>
                <w:szCs w:val="24"/>
              </w:rPr>
            </w:pPr>
            <w:r>
              <w:rPr>
                <w:rFonts w:hint="eastAsia" w:ascii="仿宋" w:hAnsi="仿宋" w:eastAsia="仿宋" w:cs="仿宋"/>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7．</w:t>
            </w:r>
          </w:p>
        </w:tc>
        <w:tc>
          <w:tcPr>
            <w:tcW w:w="1137" w:type="dxa"/>
          </w:tcPr>
          <w:p>
            <w:pPr>
              <w:rPr>
                <w:rFonts w:ascii="仿宋" w:hAnsi="仿宋" w:eastAsia="仿宋" w:cs="仿宋"/>
                <w:sz w:val="24"/>
                <w:szCs w:val="24"/>
              </w:rPr>
            </w:pPr>
            <w:r>
              <w:rPr>
                <w:rFonts w:hint="eastAsia" w:ascii="仿宋" w:hAnsi="仿宋" w:eastAsia="仿宋" w:cs="仿宋"/>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8．</w:t>
            </w:r>
          </w:p>
        </w:tc>
        <w:tc>
          <w:tcPr>
            <w:tcW w:w="1137" w:type="dxa"/>
          </w:tcPr>
          <w:p>
            <w:pP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9．</w:t>
            </w:r>
          </w:p>
        </w:tc>
        <w:tc>
          <w:tcPr>
            <w:tcW w:w="1137" w:type="dxa"/>
          </w:tcPr>
          <w:p>
            <w:pPr>
              <w:rPr>
                <w:rFonts w:ascii="仿宋" w:hAnsi="仿宋" w:eastAsia="仿宋" w:cs="仿宋"/>
                <w:sz w:val="24"/>
                <w:szCs w:val="24"/>
              </w:rPr>
            </w:pPr>
            <w:r>
              <w:rPr>
                <w:rFonts w:hint="eastAsia" w:ascii="仿宋" w:hAnsi="仿宋" w:eastAsia="仿宋" w:cs="仿宋"/>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10．</w:t>
            </w:r>
          </w:p>
        </w:tc>
        <w:tc>
          <w:tcPr>
            <w:tcW w:w="1137" w:type="dxa"/>
          </w:tcPr>
          <w:p>
            <w:pPr>
              <w:rPr>
                <w:rFonts w:ascii="仿宋" w:hAnsi="仿宋" w:eastAsia="仿宋" w:cs="仿宋"/>
                <w:sz w:val="24"/>
                <w:szCs w:val="24"/>
              </w:rPr>
            </w:pPr>
            <w:r>
              <w:rPr>
                <w:rFonts w:hint="eastAsia" w:ascii="仿宋" w:hAnsi="仿宋" w:eastAsia="仿宋" w:cs="仿宋"/>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11．</w:t>
            </w:r>
          </w:p>
        </w:tc>
        <w:tc>
          <w:tcPr>
            <w:tcW w:w="1137" w:type="dxa"/>
          </w:tcPr>
          <w:p>
            <w:pPr>
              <w:rPr>
                <w:rFonts w:ascii="仿宋" w:hAnsi="仿宋" w:eastAsia="仿宋" w:cs="仿宋"/>
                <w:sz w:val="24"/>
                <w:szCs w:val="24"/>
              </w:rPr>
            </w:pPr>
            <w:r>
              <w:rPr>
                <w:rFonts w:hint="eastAsia" w:ascii="仿宋" w:hAnsi="仿宋" w:eastAsia="仿宋" w:cs="仿宋"/>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12.</w:t>
            </w:r>
          </w:p>
        </w:tc>
        <w:tc>
          <w:tcPr>
            <w:tcW w:w="1137" w:type="dxa"/>
          </w:tcPr>
          <w:p>
            <w:pPr>
              <w:rPr>
                <w:rFonts w:ascii="仿宋" w:hAnsi="仿宋" w:eastAsia="仿宋" w:cs="仿宋"/>
                <w:sz w:val="24"/>
                <w:szCs w:val="24"/>
              </w:rPr>
            </w:pPr>
            <w:r>
              <w:rPr>
                <w:rFonts w:hint="eastAsia" w:ascii="仿宋" w:hAnsi="仿宋" w:eastAsia="仿宋" w:cs="仿宋"/>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exact"/>
        </w:trPr>
        <w:tc>
          <w:tcPr>
            <w:tcW w:w="6698" w:type="dxa"/>
            <w:gridSpan w:val="4"/>
            <w:vMerge w:val="continue"/>
          </w:tcPr>
          <w:p>
            <w:pPr>
              <w:pStyle w:val="12"/>
              <w:spacing w:line="360" w:lineRule="auto"/>
              <w:jc w:val="left"/>
              <w:rPr>
                <w:rFonts w:ascii="仿宋" w:hAnsi="仿宋" w:eastAsia="仿宋" w:cs="仿宋"/>
                <w:spacing w:val="-20"/>
                <w:sz w:val="24"/>
                <w:szCs w:val="24"/>
              </w:rPr>
            </w:pPr>
          </w:p>
        </w:tc>
        <w:tc>
          <w:tcPr>
            <w:tcW w:w="1264" w:type="dxa"/>
          </w:tcPr>
          <w:p>
            <w:pPr>
              <w:rPr>
                <w:rFonts w:ascii="仿宋" w:hAnsi="仿宋" w:eastAsia="仿宋" w:cs="仿宋"/>
                <w:sz w:val="24"/>
                <w:szCs w:val="24"/>
              </w:rPr>
            </w:pPr>
            <w:r>
              <w:rPr>
                <w:rFonts w:hint="eastAsia" w:ascii="仿宋" w:hAnsi="仿宋" w:eastAsia="仿宋" w:cs="仿宋"/>
                <w:sz w:val="24"/>
                <w:szCs w:val="24"/>
              </w:rPr>
              <w:t>25.</w:t>
            </w:r>
          </w:p>
        </w:tc>
        <w:tc>
          <w:tcPr>
            <w:tcW w:w="1137"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099" w:type="dxa"/>
            <w:gridSpan w:val="6"/>
            <w:vAlign w:val="center"/>
          </w:tcPr>
          <w:p>
            <w:pP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3191" w:type="dxa"/>
          </w:tcPr>
          <w:p>
            <w:pPr>
              <w:jc w:val="center"/>
              <w:rPr>
                <w:rFonts w:ascii="仿宋" w:hAnsi="仿宋" w:eastAsia="仿宋" w:cs="仿宋"/>
                <w:b/>
                <w:sz w:val="24"/>
                <w:szCs w:val="24"/>
              </w:rPr>
            </w:pPr>
          </w:p>
        </w:tc>
        <w:tc>
          <w:tcPr>
            <w:tcW w:w="97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其它费用</w:t>
            </w:r>
          </w:p>
        </w:tc>
        <w:tc>
          <w:tcPr>
            <w:tcW w:w="2401" w:type="dxa"/>
          </w:tcPr>
          <w:p>
            <w:pPr>
              <w:jc w:val="center"/>
              <w:rPr>
                <w:rFonts w:ascii="仿宋" w:hAnsi="仿宋" w:eastAsia="仿宋" w:cs="仿宋"/>
                <w:b/>
                <w:sz w:val="24"/>
                <w:szCs w:val="24"/>
              </w:rPr>
            </w:pPr>
          </w:p>
        </w:tc>
        <w:tc>
          <w:tcPr>
            <w:tcW w:w="1391" w:type="dxa"/>
            <w:gridSpan w:val="2"/>
          </w:tcPr>
          <w:p>
            <w:pPr>
              <w:jc w:val="center"/>
              <w:rPr>
                <w:rFonts w:ascii="仿宋" w:hAnsi="仿宋" w:eastAsia="仿宋" w:cs="仿宋"/>
                <w:b/>
                <w:sz w:val="24"/>
                <w:szCs w:val="24"/>
              </w:rPr>
            </w:pPr>
          </w:p>
        </w:tc>
        <w:tc>
          <w:tcPr>
            <w:tcW w:w="1137" w:type="dxa"/>
          </w:tcPr>
          <w:p>
            <w:pPr>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191" w:type="dxa"/>
          </w:tcPr>
          <w:p>
            <w:pPr>
              <w:jc w:val="center"/>
              <w:rPr>
                <w:rFonts w:ascii="仿宋" w:hAnsi="仿宋" w:eastAsia="仿宋" w:cs="仿宋"/>
                <w:b/>
                <w:sz w:val="24"/>
                <w:szCs w:val="24"/>
              </w:rPr>
            </w:pPr>
          </w:p>
        </w:tc>
        <w:tc>
          <w:tcPr>
            <w:tcW w:w="979" w:type="dxa"/>
            <w:vMerge w:val="continue"/>
          </w:tcPr>
          <w:p>
            <w:pPr>
              <w:jc w:val="center"/>
              <w:rPr>
                <w:rFonts w:ascii="仿宋" w:hAnsi="仿宋" w:eastAsia="仿宋" w:cs="仿宋"/>
                <w:sz w:val="24"/>
                <w:szCs w:val="24"/>
              </w:rPr>
            </w:pPr>
          </w:p>
        </w:tc>
        <w:tc>
          <w:tcPr>
            <w:tcW w:w="2401" w:type="dxa"/>
          </w:tcPr>
          <w:p>
            <w:pPr>
              <w:jc w:val="center"/>
              <w:rPr>
                <w:rFonts w:ascii="仿宋" w:hAnsi="仿宋" w:eastAsia="仿宋" w:cs="仿宋"/>
                <w:sz w:val="24"/>
                <w:szCs w:val="24"/>
              </w:rPr>
            </w:pPr>
          </w:p>
        </w:tc>
        <w:tc>
          <w:tcPr>
            <w:tcW w:w="1391" w:type="dxa"/>
            <w:gridSpan w:val="2"/>
          </w:tcPr>
          <w:p>
            <w:pPr>
              <w:jc w:val="center"/>
              <w:rPr>
                <w:rFonts w:ascii="仿宋" w:hAnsi="仿宋" w:eastAsia="仿宋" w:cs="仿宋"/>
                <w:sz w:val="24"/>
                <w:szCs w:val="24"/>
              </w:rPr>
            </w:pPr>
          </w:p>
        </w:tc>
        <w:tc>
          <w:tcPr>
            <w:tcW w:w="1137" w:type="dxa"/>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3191" w:type="dxa"/>
          </w:tcPr>
          <w:p>
            <w:pPr>
              <w:jc w:val="center"/>
              <w:rPr>
                <w:rFonts w:ascii="仿宋" w:hAnsi="仿宋" w:eastAsia="仿宋" w:cs="仿宋"/>
                <w:b/>
                <w:sz w:val="24"/>
                <w:szCs w:val="24"/>
              </w:rPr>
            </w:pPr>
          </w:p>
        </w:tc>
        <w:tc>
          <w:tcPr>
            <w:tcW w:w="979" w:type="dxa"/>
            <w:vMerge w:val="continue"/>
          </w:tcPr>
          <w:p>
            <w:pPr>
              <w:jc w:val="center"/>
              <w:rPr>
                <w:rFonts w:ascii="仿宋" w:hAnsi="仿宋" w:eastAsia="仿宋" w:cs="仿宋"/>
                <w:sz w:val="24"/>
                <w:szCs w:val="24"/>
              </w:rPr>
            </w:pPr>
          </w:p>
        </w:tc>
        <w:tc>
          <w:tcPr>
            <w:tcW w:w="2401" w:type="dxa"/>
          </w:tcPr>
          <w:p>
            <w:pPr>
              <w:jc w:val="center"/>
              <w:rPr>
                <w:rFonts w:ascii="仿宋" w:hAnsi="仿宋" w:eastAsia="仿宋" w:cs="仿宋"/>
                <w:sz w:val="24"/>
                <w:szCs w:val="24"/>
              </w:rPr>
            </w:pPr>
          </w:p>
        </w:tc>
        <w:tc>
          <w:tcPr>
            <w:tcW w:w="1391" w:type="dxa"/>
            <w:gridSpan w:val="2"/>
          </w:tcPr>
          <w:p>
            <w:pPr>
              <w:jc w:val="center"/>
              <w:rPr>
                <w:rFonts w:ascii="仿宋" w:hAnsi="仿宋" w:eastAsia="仿宋" w:cs="仿宋"/>
                <w:sz w:val="24"/>
                <w:szCs w:val="24"/>
              </w:rPr>
            </w:pPr>
          </w:p>
        </w:tc>
        <w:tc>
          <w:tcPr>
            <w:tcW w:w="1137" w:type="dxa"/>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099" w:type="dxa"/>
            <w:gridSpan w:val="6"/>
          </w:tcPr>
          <w:p>
            <w:pP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3191" w:type="dxa"/>
            <w:vAlign w:val="center"/>
          </w:tcPr>
          <w:p>
            <w:pPr>
              <w:jc w:val="center"/>
              <w:rPr>
                <w:rFonts w:ascii="仿宋" w:hAnsi="仿宋" w:eastAsia="仿宋" w:cs="仿宋"/>
                <w:b/>
                <w:sz w:val="24"/>
                <w:szCs w:val="24"/>
              </w:rPr>
            </w:pPr>
            <w:r>
              <w:rPr>
                <w:rFonts w:hint="eastAsia" w:ascii="仿宋" w:hAnsi="仿宋" w:eastAsia="仿宋" w:cs="仿宋"/>
                <w:bCs/>
                <w:sz w:val="24"/>
                <w:szCs w:val="24"/>
              </w:rPr>
              <w:t>总价</w:t>
            </w:r>
          </w:p>
        </w:tc>
        <w:tc>
          <w:tcPr>
            <w:tcW w:w="5908" w:type="dxa"/>
            <w:gridSpan w:val="5"/>
            <w:vAlign w:val="center"/>
          </w:tcPr>
          <w:p>
            <w:pPr>
              <w:spacing w:line="360" w:lineRule="auto"/>
              <w:ind w:firstLine="960" w:firstLineChars="400"/>
              <w:jc w:val="center"/>
              <w:rPr>
                <w:rFonts w:ascii="仿宋" w:hAnsi="仿宋" w:eastAsia="仿宋" w:cs="仿宋"/>
                <w:sz w:val="24"/>
                <w:szCs w:val="24"/>
              </w:rPr>
            </w:pPr>
          </w:p>
          <w:p>
            <w:pPr>
              <w:spacing w:line="360" w:lineRule="auto"/>
              <w:ind w:firstLine="960" w:firstLineChars="400"/>
              <w:jc w:val="center"/>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rPr>
                <w:rFonts w:ascii="仿宋" w:hAnsi="仿宋" w:eastAsia="仿宋" w:cs="仿宋"/>
                <w:sz w:val="24"/>
                <w:szCs w:val="24"/>
              </w:rPr>
            </w:pPr>
          </w:p>
        </w:tc>
      </w:tr>
    </w:tbl>
    <w:p>
      <w:pPr>
        <w:rPr>
          <w:rFonts w:ascii="仿宋" w:hAnsi="仿宋" w:eastAsia="仿宋" w:cs="仿宋"/>
          <w:sz w:val="24"/>
          <w:szCs w:val="24"/>
        </w:rPr>
      </w:pPr>
      <w:r>
        <w:rPr>
          <w:rFonts w:hint="eastAsia" w:ascii="仿宋" w:hAnsi="仿宋" w:eastAsia="仿宋" w:cs="仿宋"/>
          <w:sz w:val="24"/>
          <w:szCs w:val="24"/>
        </w:rPr>
        <w:t>投标人名称（盖章）：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投标人授权代表签字：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 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日 期：</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注：1、本表所列的明细是对应报价一览表中项目的情况填写；</w:t>
      </w:r>
    </w:p>
    <w:p>
      <w:pPr>
        <w:spacing w:line="360" w:lineRule="auto"/>
        <w:ind w:firstLine="480"/>
        <w:rPr>
          <w:rFonts w:ascii="仿宋" w:hAnsi="仿宋" w:eastAsia="仿宋" w:cs="仿宋"/>
          <w:b/>
          <w:color w:val="000000"/>
          <w:sz w:val="24"/>
          <w:szCs w:val="24"/>
        </w:rPr>
      </w:pPr>
      <w:r>
        <w:rPr>
          <w:rFonts w:hint="eastAsia" w:ascii="仿宋" w:hAnsi="仿宋" w:eastAsia="仿宋" w:cs="仿宋"/>
          <w:sz w:val="24"/>
          <w:szCs w:val="24"/>
        </w:rPr>
        <w:t>2、本表所列的产生价格的内容计入报价总价；</w:t>
      </w:r>
    </w:p>
    <w:p>
      <w:pPr>
        <w:rPr>
          <w:rFonts w:ascii="仿宋" w:hAnsi="仿宋" w:eastAsia="仿宋" w:cs="仿宋"/>
          <w:b/>
          <w:color w:val="000000"/>
          <w:sz w:val="24"/>
          <w:szCs w:val="24"/>
        </w:rPr>
      </w:pPr>
      <w:r>
        <w:rPr>
          <w:rFonts w:hint="eastAsia" w:ascii="仿宋" w:hAnsi="仿宋" w:eastAsia="仿宋" w:cs="仿宋"/>
          <w:b/>
          <w:color w:val="000000"/>
          <w:sz w:val="24"/>
          <w:szCs w:val="24"/>
        </w:rPr>
        <w:br w:type="page"/>
      </w:r>
    </w:p>
    <w:p>
      <w:pPr>
        <w:jc w:val="center"/>
        <w:rPr>
          <w:rFonts w:ascii="仿宋" w:hAnsi="仿宋" w:eastAsia="仿宋" w:cs="仿宋"/>
          <w:b/>
          <w:color w:val="000000"/>
          <w:sz w:val="24"/>
          <w:szCs w:val="24"/>
        </w:rPr>
      </w:pPr>
      <w:r>
        <w:rPr>
          <w:rFonts w:hint="eastAsia" w:ascii="仿宋" w:hAnsi="仿宋" w:eastAsia="仿宋" w:cs="仿宋"/>
          <w:b/>
          <w:color w:val="000000"/>
          <w:sz w:val="24"/>
          <w:szCs w:val="24"/>
        </w:rPr>
        <w:t>投标需要的其他资料</w:t>
      </w:r>
    </w:p>
    <w:p>
      <w:pPr>
        <w:jc w:val="center"/>
        <w:rPr>
          <w:rFonts w:ascii="仿宋" w:hAnsi="仿宋" w:eastAsia="仿宋" w:cs="仿宋"/>
          <w:b/>
          <w:color w:val="000000"/>
          <w:sz w:val="24"/>
          <w:szCs w:val="24"/>
        </w:rPr>
      </w:pPr>
      <w:r>
        <w:rPr>
          <w:rFonts w:hint="eastAsia" w:ascii="仿宋" w:hAnsi="仿宋" w:eastAsia="仿宋" w:cs="仿宋"/>
          <w:b/>
          <w:color w:val="000000"/>
          <w:sz w:val="24"/>
          <w:szCs w:val="24"/>
        </w:rPr>
        <w:t>（招标人要求提供的或投标人认为需要提供的其他资料）</w:t>
      </w:r>
    </w:p>
    <w:p>
      <w:pPr>
        <w:rPr>
          <w:rFonts w:ascii="仿宋" w:hAnsi="仿宋" w:eastAsia="仿宋" w:cs="仿宋"/>
          <w:b/>
          <w:color w:val="000000"/>
          <w:sz w:val="24"/>
          <w:szCs w:val="24"/>
        </w:rPr>
      </w:pPr>
      <w:r>
        <w:rPr>
          <w:rFonts w:hint="eastAsia" w:ascii="仿宋" w:hAnsi="仿宋" w:eastAsia="仿宋" w:cs="仿宋"/>
          <w:b/>
          <w:color w:val="000000"/>
          <w:sz w:val="24"/>
          <w:szCs w:val="24"/>
        </w:rPr>
        <w:br w:type="page"/>
      </w:r>
    </w:p>
    <w:p>
      <w:pPr>
        <w:pStyle w:val="49"/>
        <w:snapToGrid w:val="0"/>
        <w:spacing w:line="360" w:lineRule="auto"/>
        <w:ind w:left="1606" w:hanging="1606" w:hangingChars="500"/>
        <w:jc w:val="center"/>
        <w:rPr>
          <w:rFonts w:ascii="宋体" w:hAnsi="宋体"/>
          <w:b/>
          <w:color w:val="000000"/>
          <w:sz w:val="32"/>
          <w:szCs w:val="32"/>
        </w:rPr>
      </w:pPr>
      <w:r>
        <w:rPr>
          <w:rFonts w:hint="eastAsia" w:ascii="宋体" w:hAnsi="宋体"/>
          <w:b/>
          <w:color w:val="000000"/>
          <w:sz w:val="32"/>
          <w:szCs w:val="32"/>
        </w:rPr>
        <w:t>西湖漾家园一期、二期小区物业管理招标需求</w:t>
      </w:r>
    </w:p>
    <w:p>
      <w:pPr>
        <w:spacing w:line="360" w:lineRule="auto"/>
        <w:rPr>
          <w:rFonts w:ascii="宋体" w:hAnsi="宋体"/>
          <w:b/>
          <w:color w:val="000000"/>
          <w:sz w:val="24"/>
        </w:rPr>
      </w:pPr>
      <w:r>
        <w:rPr>
          <w:rFonts w:hint="eastAsia" w:ascii="宋体" w:hAnsi="宋体"/>
          <w:b/>
          <w:color w:val="000000"/>
          <w:sz w:val="24"/>
        </w:rPr>
        <w:t>一、基本概况和管理服务内容</w:t>
      </w:r>
    </w:p>
    <w:p>
      <w:pPr>
        <w:spacing w:line="360" w:lineRule="auto"/>
        <w:ind w:right="480"/>
        <w:rPr>
          <w:rFonts w:ascii="宋体" w:hAnsi="宋体"/>
          <w:b/>
          <w:color w:val="000000"/>
          <w:sz w:val="24"/>
          <w:szCs w:val="24"/>
        </w:rPr>
      </w:pPr>
      <w:r>
        <w:rPr>
          <w:rFonts w:hint="eastAsia" w:ascii="宋体" w:hAnsi="宋体"/>
          <w:color w:val="000000"/>
          <w:sz w:val="24"/>
          <w:szCs w:val="24"/>
        </w:rPr>
        <w:t>(一) 基本概况:西湖漾家园包含西湖漾家园一期、二期两个小区，项目总建筑面积为344513</w:t>
      </w:r>
      <w:r>
        <w:rPr>
          <w:rFonts w:ascii="宋体" w:hAnsi="宋体"/>
          <w:sz w:val="24"/>
          <w:szCs w:val="24"/>
        </w:rPr>
        <w:t>平方米</w:t>
      </w:r>
      <w:r>
        <w:rPr>
          <w:rFonts w:hint="eastAsia" w:ascii="宋体" w:hAnsi="宋体"/>
          <w:sz w:val="24"/>
          <w:szCs w:val="24"/>
        </w:rPr>
        <w:t>，管理服务等级标准为一级以上。两个小区中间相互连通。一期为多层建筑，二期为高层建筑。</w:t>
      </w:r>
    </w:p>
    <w:p>
      <w:pPr>
        <w:spacing w:line="288" w:lineRule="auto"/>
        <w:rPr>
          <w:rFonts w:ascii="宋体" w:hAnsi="宋体"/>
          <w:color w:val="000000"/>
          <w:sz w:val="24"/>
          <w:szCs w:val="24"/>
        </w:rPr>
      </w:pPr>
      <w:r>
        <w:rPr>
          <w:rFonts w:hint="eastAsia" w:ascii="宋体" w:hAnsi="宋体"/>
          <w:sz w:val="24"/>
          <w:szCs w:val="24"/>
        </w:rPr>
        <w:t>1、西湖漾家园一期：1）</w:t>
      </w:r>
      <w:r>
        <w:rPr>
          <w:rFonts w:ascii="宋体" w:hAnsi="宋体"/>
          <w:sz w:val="24"/>
          <w:szCs w:val="24"/>
        </w:rPr>
        <w:t>总建筑面积</w:t>
      </w:r>
      <w:r>
        <w:rPr>
          <w:rFonts w:hint="eastAsia" w:ascii="宋体" w:hAnsi="宋体"/>
          <w:bCs/>
          <w:snapToGrid w:val="0"/>
          <w:sz w:val="24"/>
          <w:szCs w:val="24"/>
          <w:u w:val="single"/>
        </w:rPr>
        <w:t>163096</w:t>
      </w:r>
      <w:r>
        <w:rPr>
          <w:rFonts w:ascii="宋体" w:hAnsi="宋体"/>
          <w:sz w:val="24"/>
          <w:szCs w:val="24"/>
        </w:rPr>
        <w:t>平方米</w:t>
      </w:r>
      <w:r>
        <w:rPr>
          <w:rFonts w:hint="eastAsia" w:ascii="宋体" w:hAnsi="宋体"/>
          <w:sz w:val="24"/>
          <w:szCs w:val="24"/>
        </w:rPr>
        <w:t>；包括：多层46幢，多层</w:t>
      </w:r>
      <w:r>
        <w:rPr>
          <w:rFonts w:ascii="宋体" w:hAnsi="宋体"/>
          <w:sz w:val="24"/>
          <w:szCs w:val="24"/>
        </w:rPr>
        <w:t>住宅建筑面积</w:t>
      </w:r>
      <w:r>
        <w:rPr>
          <w:rFonts w:hint="eastAsia" w:ascii="宋体" w:hAnsi="宋体"/>
          <w:b/>
          <w:sz w:val="24"/>
          <w:szCs w:val="24"/>
          <w:u w:val="single"/>
        </w:rPr>
        <w:t>155674</w:t>
      </w:r>
      <w:r>
        <w:rPr>
          <w:rFonts w:ascii="宋体" w:hAnsi="宋体"/>
          <w:sz w:val="24"/>
          <w:szCs w:val="24"/>
        </w:rPr>
        <w:t>平方米</w:t>
      </w:r>
      <w:r>
        <w:rPr>
          <w:rFonts w:hint="eastAsia" w:ascii="宋体" w:hAnsi="宋体"/>
          <w:sz w:val="24"/>
          <w:szCs w:val="24"/>
        </w:rPr>
        <w:t>，户数</w:t>
      </w:r>
      <w:r>
        <w:rPr>
          <w:rFonts w:hint="eastAsia" w:ascii="宋体" w:hAnsi="宋体"/>
          <w:bCs/>
          <w:snapToGrid w:val="0"/>
          <w:sz w:val="24"/>
          <w:szCs w:val="24"/>
          <w:u w:val="single"/>
        </w:rPr>
        <w:t>1246</w:t>
      </w:r>
      <w:r>
        <w:rPr>
          <w:rFonts w:hint="eastAsia" w:ascii="宋体" w:hAnsi="宋体"/>
          <w:sz w:val="24"/>
          <w:szCs w:val="24"/>
        </w:rPr>
        <w:t>户。公建3幢、沿街商铺用房共建筑面积</w:t>
      </w:r>
      <w:r>
        <w:rPr>
          <w:rFonts w:hint="eastAsia" w:ascii="宋体" w:hAnsi="宋体"/>
          <w:sz w:val="24"/>
          <w:szCs w:val="24"/>
          <w:u w:val="single"/>
        </w:rPr>
        <w:t>7422</w:t>
      </w:r>
      <w:r>
        <w:rPr>
          <w:rFonts w:ascii="宋体" w:hAnsi="宋体"/>
          <w:sz w:val="24"/>
          <w:szCs w:val="24"/>
        </w:rPr>
        <w:t>平方米</w:t>
      </w:r>
      <w:r>
        <w:rPr>
          <w:rFonts w:hint="eastAsia" w:ascii="宋体" w:hAnsi="宋体"/>
          <w:sz w:val="24"/>
          <w:szCs w:val="24"/>
        </w:rPr>
        <w:t>:（含公共用房2幢、村委办公场所1幢、沿街商铺等）。南至叶堤漾路（包括商铺），东至升山路围墙，西至河道。</w:t>
      </w:r>
    </w:p>
    <w:p>
      <w:pPr>
        <w:spacing w:line="288" w:lineRule="auto"/>
        <w:rPr>
          <w:rFonts w:ascii="宋体" w:hAnsi="宋体"/>
          <w:sz w:val="24"/>
          <w:szCs w:val="24"/>
        </w:rPr>
      </w:pPr>
      <w:r>
        <w:rPr>
          <w:rFonts w:hint="eastAsia" w:ascii="宋体" w:hAnsi="宋体"/>
          <w:sz w:val="24"/>
          <w:szCs w:val="24"/>
        </w:rPr>
        <w:t>2、西湖漾家园二期：1）、</w:t>
      </w:r>
      <w:r>
        <w:rPr>
          <w:rFonts w:ascii="宋体" w:hAnsi="宋体"/>
          <w:sz w:val="24"/>
          <w:szCs w:val="24"/>
        </w:rPr>
        <w:t>总建筑面积</w:t>
      </w:r>
      <w:r>
        <w:rPr>
          <w:rFonts w:hint="eastAsia" w:ascii="宋体" w:hAnsi="宋体"/>
          <w:bCs/>
          <w:snapToGrid w:val="0"/>
          <w:sz w:val="24"/>
          <w:szCs w:val="24"/>
          <w:u w:val="single"/>
        </w:rPr>
        <w:t>181417</w:t>
      </w:r>
      <w:r>
        <w:rPr>
          <w:rFonts w:ascii="宋体" w:hAnsi="宋体"/>
          <w:sz w:val="24"/>
          <w:szCs w:val="24"/>
        </w:rPr>
        <w:t>平方米。其中</w:t>
      </w:r>
      <w:r>
        <w:rPr>
          <w:rFonts w:hint="eastAsia" w:ascii="宋体" w:hAnsi="宋体"/>
          <w:sz w:val="24"/>
          <w:szCs w:val="24"/>
        </w:rPr>
        <w:t>：①</w:t>
      </w:r>
      <w:r>
        <w:rPr>
          <w:rFonts w:ascii="宋体" w:hAnsi="宋体"/>
          <w:sz w:val="24"/>
          <w:szCs w:val="24"/>
        </w:rPr>
        <w:t>地</w:t>
      </w:r>
      <w:r>
        <w:rPr>
          <w:rFonts w:hint="eastAsia" w:ascii="宋体" w:hAnsi="宋体"/>
          <w:sz w:val="24"/>
          <w:szCs w:val="24"/>
        </w:rPr>
        <w:t>上</w:t>
      </w:r>
      <w:r>
        <w:rPr>
          <w:rFonts w:ascii="宋体" w:hAnsi="宋体"/>
          <w:sz w:val="24"/>
          <w:szCs w:val="24"/>
        </w:rPr>
        <w:t>总建筑面积</w:t>
      </w:r>
      <w:r>
        <w:rPr>
          <w:rFonts w:hint="eastAsia" w:ascii="宋体" w:hAnsi="宋体"/>
          <w:bCs/>
          <w:snapToGrid w:val="0"/>
          <w:sz w:val="24"/>
          <w:szCs w:val="24"/>
          <w:u w:val="single"/>
        </w:rPr>
        <w:t>149794</w:t>
      </w:r>
      <w:r>
        <w:rPr>
          <w:rFonts w:ascii="宋体" w:hAnsi="宋体"/>
          <w:sz w:val="24"/>
          <w:szCs w:val="24"/>
        </w:rPr>
        <w:t>平方米</w:t>
      </w:r>
      <w:r>
        <w:rPr>
          <w:rFonts w:hint="eastAsia" w:ascii="宋体" w:hAnsi="宋体"/>
          <w:sz w:val="24"/>
          <w:szCs w:val="24"/>
        </w:rPr>
        <w:t>；②</w:t>
      </w:r>
      <w:r>
        <w:rPr>
          <w:rFonts w:ascii="宋体" w:hAnsi="宋体"/>
          <w:sz w:val="24"/>
          <w:szCs w:val="24"/>
        </w:rPr>
        <w:t>地</w:t>
      </w:r>
      <w:r>
        <w:rPr>
          <w:rFonts w:hint="eastAsia" w:ascii="宋体" w:hAnsi="宋体"/>
          <w:sz w:val="24"/>
          <w:szCs w:val="24"/>
        </w:rPr>
        <w:t>下</w:t>
      </w:r>
      <w:r>
        <w:rPr>
          <w:rFonts w:ascii="宋体" w:hAnsi="宋体"/>
          <w:sz w:val="24"/>
          <w:szCs w:val="24"/>
        </w:rPr>
        <w:t>总建筑面积</w:t>
      </w:r>
      <w:r>
        <w:rPr>
          <w:rFonts w:hint="eastAsia" w:ascii="宋体" w:hAnsi="宋体"/>
          <w:bCs/>
          <w:snapToGrid w:val="0"/>
          <w:sz w:val="24"/>
          <w:szCs w:val="24"/>
          <w:u w:val="single"/>
        </w:rPr>
        <w:t>31623</w:t>
      </w:r>
      <w:r>
        <w:rPr>
          <w:rFonts w:ascii="宋体" w:hAnsi="宋体"/>
          <w:sz w:val="24"/>
          <w:szCs w:val="24"/>
        </w:rPr>
        <w:t>平方米</w:t>
      </w:r>
      <w:r>
        <w:rPr>
          <w:rFonts w:hint="eastAsia" w:ascii="宋体" w:hAnsi="宋体"/>
          <w:sz w:val="24"/>
          <w:szCs w:val="24"/>
        </w:rPr>
        <w:t>，地下停车位约698个，地上总建筑面积包括：高层15幢，高层</w:t>
      </w:r>
      <w:r>
        <w:rPr>
          <w:rFonts w:ascii="宋体" w:hAnsi="宋体"/>
          <w:sz w:val="24"/>
          <w:szCs w:val="24"/>
        </w:rPr>
        <w:t>住宅建筑面积</w:t>
      </w:r>
      <w:r>
        <w:rPr>
          <w:rFonts w:hint="eastAsia" w:ascii="宋体" w:hAnsi="宋体"/>
          <w:b/>
          <w:sz w:val="24"/>
          <w:szCs w:val="24"/>
          <w:u w:val="single"/>
        </w:rPr>
        <w:t>135697</w:t>
      </w:r>
      <w:r>
        <w:rPr>
          <w:rFonts w:ascii="宋体" w:hAnsi="宋体"/>
          <w:sz w:val="24"/>
          <w:szCs w:val="24"/>
        </w:rPr>
        <w:t>平方米</w:t>
      </w:r>
      <w:r>
        <w:rPr>
          <w:rFonts w:hint="eastAsia" w:ascii="宋体" w:hAnsi="宋体"/>
          <w:sz w:val="24"/>
          <w:szCs w:val="24"/>
        </w:rPr>
        <w:t>，户数</w:t>
      </w:r>
      <w:r>
        <w:rPr>
          <w:rFonts w:hint="eastAsia" w:ascii="宋体" w:hAnsi="宋体"/>
          <w:bCs/>
          <w:snapToGrid w:val="0"/>
          <w:sz w:val="24"/>
          <w:szCs w:val="24"/>
          <w:u w:val="single"/>
        </w:rPr>
        <w:t>1071</w:t>
      </w:r>
      <w:r>
        <w:rPr>
          <w:rFonts w:hint="eastAsia" w:ascii="宋体" w:hAnsi="宋体"/>
          <w:sz w:val="24"/>
          <w:szCs w:val="24"/>
        </w:rPr>
        <w:t>户。公建用房建筑面积</w:t>
      </w:r>
      <w:r>
        <w:rPr>
          <w:rFonts w:hint="eastAsia" w:ascii="宋体" w:hAnsi="宋体"/>
          <w:sz w:val="24"/>
          <w:szCs w:val="24"/>
          <w:u w:val="single"/>
        </w:rPr>
        <w:t>14097</w:t>
      </w:r>
      <w:r>
        <w:rPr>
          <w:rFonts w:ascii="宋体" w:hAnsi="宋体"/>
          <w:sz w:val="24"/>
          <w:szCs w:val="24"/>
        </w:rPr>
        <w:t>平方米</w:t>
      </w:r>
      <w:r>
        <w:rPr>
          <w:rFonts w:hint="eastAsia" w:ascii="宋体" w:hAnsi="宋体"/>
          <w:sz w:val="24"/>
          <w:szCs w:val="24"/>
        </w:rPr>
        <w:t>:（含幼儿园1幢、成校1幢等）。</w:t>
      </w:r>
      <w:r>
        <w:rPr>
          <w:rFonts w:hint="eastAsia" w:ascii="宋体" w:hAnsi="宋体"/>
          <w:color w:val="000000"/>
          <w:sz w:val="24"/>
          <w:szCs w:val="24"/>
        </w:rPr>
        <w:t>出入口分布：北门主入口1个-设有门岗。消防出入口东门1个-农贸市场旁。电梯60台。</w:t>
      </w:r>
      <w:r>
        <w:rPr>
          <w:rFonts w:hint="eastAsia" w:ascii="宋体" w:hAnsi="宋体"/>
          <w:sz w:val="24"/>
          <w:szCs w:val="24"/>
        </w:rPr>
        <w:t>东至升山路围墙（不含农贸市场），西至河道，北至草荡漾路围墙。</w:t>
      </w:r>
    </w:p>
    <w:p>
      <w:pPr>
        <w:pStyle w:val="10"/>
        <w:rPr>
          <w:rFonts w:ascii="宋体" w:hAnsi="宋体"/>
          <w:szCs w:val="24"/>
        </w:rPr>
      </w:pPr>
      <w:r>
        <w:rPr>
          <w:rFonts w:hint="eastAsia" w:ascii="宋体" w:hAnsi="宋体"/>
          <w:szCs w:val="24"/>
        </w:rPr>
        <w:t>3、物业管理用房：提供西湖漾家园二期2间物业管理用房，作为存放工具和办公的用途。管理用房暂定为现物业公司办公场所，中标人进场后前后物业相互移交。中标人如要进行重新装修，费用由中标人自行承担，合同到期后，无条件退出，装修费用招标人不予补偿。</w:t>
      </w:r>
    </w:p>
    <w:p>
      <w:pPr>
        <w:spacing w:line="360" w:lineRule="auto"/>
        <w:rPr>
          <w:rFonts w:ascii="宋体" w:hAnsi="宋体"/>
          <w:color w:val="000000"/>
          <w:sz w:val="24"/>
          <w:szCs w:val="24"/>
        </w:rPr>
      </w:pPr>
      <w:r>
        <w:rPr>
          <w:rFonts w:hint="eastAsia" w:ascii="宋体" w:hAnsi="宋体"/>
          <w:color w:val="000000"/>
          <w:sz w:val="24"/>
          <w:szCs w:val="24"/>
        </w:rPr>
        <w:t>4、本次招标费用包含生活垃圾清运处理费用以及大件垃圾、园林垃圾、装修垃圾等。现生活垃圾清运处理由区住建局公用事业中心负责处理，投标人中标后自行与相关部门签订合同，目前小区已经实行生活垃圾精准分类，生活垃圾日处理量在（90）桶左右（</w:t>
      </w:r>
      <w:r>
        <w:rPr>
          <w:rFonts w:hint="eastAsia" w:ascii="宋体" w:hAnsi="宋体"/>
          <w:b/>
          <w:color w:val="000000"/>
          <w:sz w:val="24"/>
          <w:szCs w:val="24"/>
        </w:rPr>
        <w:t>此数据供成本测算参考，目前生活垃圾按桶计算，后期可能试点执行按吨计算的标准</w:t>
      </w:r>
      <w:r>
        <w:rPr>
          <w:rFonts w:hint="eastAsia" w:ascii="宋体" w:hAnsi="宋体"/>
          <w:color w:val="000000"/>
          <w:sz w:val="24"/>
          <w:szCs w:val="24"/>
        </w:rPr>
        <w:t>）。大件垃圾、装修垃圾、园林垃圾由中标人自行合法处置（包含装修垃圾箱体清运模式），费用由中标人承担。</w:t>
      </w:r>
    </w:p>
    <w:p>
      <w:pPr>
        <w:spacing w:line="360" w:lineRule="auto"/>
        <w:rPr>
          <w:rFonts w:ascii="宋体" w:hAnsi="宋体"/>
          <w:b/>
          <w:color w:val="000000"/>
          <w:sz w:val="24"/>
          <w:szCs w:val="24"/>
        </w:rPr>
      </w:pPr>
      <w:r>
        <w:rPr>
          <w:rFonts w:hint="eastAsia" w:ascii="宋体" w:hAnsi="宋体"/>
          <w:b/>
          <w:color w:val="000000"/>
          <w:sz w:val="24"/>
          <w:szCs w:val="24"/>
        </w:rPr>
        <w:t>（二）物业管理服务内容</w:t>
      </w:r>
    </w:p>
    <w:p>
      <w:pPr>
        <w:spacing w:line="360" w:lineRule="auto"/>
        <w:ind w:firstLine="480"/>
        <w:rPr>
          <w:rFonts w:ascii="宋体" w:hAnsi="宋体"/>
          <w:color w:val="000000"/>
          <w:sz w:val="24"/>
          <w:szCs w:val="24"/>
        </w:rPr>
      </w:pPr>
      <w:r>
        <w:rPr>
          <w:rFonts w:hint="eastAsia" w:ascii="宋体" w:hAnsi="宋体"/>
          <w:color w:val="000000"/>
          <w:sz w:val="24"/>
          <w:szCs w:val="24"/>
        </w:rPr>
        <w:t>1、物业管理区域内物业共用部位、共用设施设备的日常管理及维修；</w:t>
      </w:r>
    </w:p>
    <w:p>
      <w:pPr>
        <w:spacing w:line="360" w:lineRule="auto"/>
        <w:ind w:firstLine="480"/>
        <w:rPr>
          <w:rFonts w:ascii="宋体" w:hAnsi="宋体"/>
          <w:color w:val="000000"/>
          <w:sz w:val="24"/>
          <w:szCs w:val="24"/>
        </w:rPr>
      </w:pPr>
      <w:r>
        <w:rPr>
          <w:rFonts w:hint="eastAsia" w:ascii="宋体" w:hAnsi="宋体"/>
          <w:color w:val="000000"/>
          <w:sz w:val="24"/>
          <w:szCs w:val="24"/>
        </w:rPr>
        <w:t>2、物业管理区域内公共秩序和环境卫生的维护、生活垃圾精准分类、生活垃圾处置、装修垃圾大件垃圾园林垃圾清理处置、八乱整治等；</w:t>
      </w:r>
    </w:p>
    <w:p>
      <w:pPr>
        <w:spacing w:line="360" w:lineRule="auto"/>
        <w:ind w:firstLine="480"/>
        <w:rPr>
          <w:rFonts w:ascii="宋体" w:hAnsi="宋体"/>
          <w:color w:val="000000"/>
          <w:sz w:val="24"/>
          <w:szCs w:val="24"/>
        </w:rPr>
      </w:pPr>
      <w:r>
        <w:rPr>
          <w:rFonts w:hint="eastAsia" w:ascii="宋体" w:hAnsi="宋体"/>
          <w:color w:val="000000"/>
          <w:sz w:val="24"/>
          <w:szCs w:val="24"/>
        </w:rPr>
        <w:t>3、物业管理区域内的绿化养护和管理；</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4、物业管理区域内车辆（机动车和非机动车）行驶、停放及场所管理；</w:t>
      </w:r>
    </w:p>
    <w:p>
      <w:pPr>
        <w:spacing w:line="360" w:lineRule="auto"/>
        <w:ind w:firstLine="480"/>
        <w:rPr>
          <w:rFonts w:ascii="宋体" w:hAnsi="宋体"/>
          <w:color w:val="000000"/>
          <w:sz w:val="24"/>
          <w:szCs w:val="24"/>
        </w:rPr>
      </w:pPr>
      <w:r>
        <w:rPr>
          <w:rFonts w:hint="eastAsia" w:ascii="宋体" w:hAnsi="宋体"/>
          <w:color w:val="000000"/>
          <w:sz w:val="24"/>
          <w:szCs w:val="24"/>
        </w:rPr>
        <w:t>5、负责供水 、供电、供气、通讯等专业单位在物业管理区域内对相关管线、设施维修养护时，进行协调和管理；</w:t>
      </w:r>
    </w:p>
    <w:p>
      <w:pPr>
        <w:spacing w:line="360" w:lineRule="auto"/>
        <w:ind w:firstLine="480"/>
        <w:rPr>
          <w:rFonts w:ascii="宋体" w:hAnsi="宋体"/>
          <w:color w:val="000000"/>
          <w:sz w:val="24"/>
          <w:szCs w:val="24"/>
        </w:rPr>
      </w:pPr>
      <w:r>
        <w:rPr>
          <w:rFonts w:hint="eastAsia" w:ascii="宋体" w:hAnsi="宋体"/>
          <w:color w:val="000000"/>
          <w:sz w:val="24"/>
          <w:szCs w:val="24"/>
        </w:rPr>
        <w:t>6、物业管理区域的日常安全巡查服务；</w:t>
      </w:r>
    </w:p>
    <w:p>
      <w:pPr>
        <w:spacing w:line="360" w:lineRule="auto"/>
        <w:ind w:firstLine="480"/>
        <w:rPr>
          <w:rFonts w:ascii="宋体" w:hAnsi="宋体"/>
          <w:color w:val="000000"/>
          <w:sz w:val="24"/>
          <w:szCs w:val="24"/>
        </w:rPr>
      </w:pPr>
      <w:r>
        <w:rPr>
          <w:rFonts w:hint="eastAsia" w:ascii="宋体" w:hAnsi="宋体"/>
          <w:color w:val="000000"/>
          <w:sz w:val="24"/>
          <w:szCs w:val="24"/>
        </w:rPr>
        <w:t xml:space="preserve">7、物业档案资料的建立和保管； </w:t>
      </w:r>
    </w:p>
    <w:p>
      <w:pPr>
        <w:spacing w:line="360" w:lineRule="auto"/>
        <w:ind w:firstLine="480"/>
        <w:rPr>
          <w:rFonts w:ascii="宋体" w:hAnsi="宋体"/>
          <w:color w:val="000000"/>
          <w:sz w:val="24"/>
          <w:szCs w:val="24"/>
        </w:rPr>
      </w:pPr>
      <w:r>
        <w:rPr>
          <w:rFonts w:hint="eastAsia" w:ascii="宋体" w:hAnsi="宋体"/>
          <w:color w:val="000000"/>
          <w:sz w:val="24"/>
          <w:szCs w:val="24"/>
        </w:rPr>
        <w:t>8、物业管理区域内业主、使用人装饰装修物业的服务；</w:t>
      </w:r>
    </w:p>
    <w:p>
      <w:pPr>
        <w:spacing w:line="360" w:lineRule="auto"/>
        <w:ind w:firstLine="480"/>
        <w:rPr>
          <w:rFonts w:ascii="宋体" w:hAnsi="宋体"/>
          <w:color w:val="000000"/>
          <w:sz w:val="24"/>
          <w:szCs w:val="24"/>
        </w:rPr>
      </w:pPr>
      <w:r>
        <w:rPr>
          <w:rFonts w:hint="eastAsia" w:ascii="宋体" w:hAnsi="宋体"/>
          <w:color w:val="000000"/>
          <w:sz w:val="24"/>
          <w:szCs w:val="24"/>
        </w:rPr>
        <w:t>9、物业管理区域的房屋管理；</w:t>
      </w:r>
    </w:p>
    <w:p>
      <w:pPr>
        <w:spacing w:line="360" w:lineRule="auto"/>
        <w:ind w:firstLine="480"/>
        <w:rPr>
          <w:rFonts w:ascii="宋体" w:hAnsi="宋体"/>
          <w:color w:val="000000"/>
          <w:sz w:val="24"/>
          <w:szCs w:val="24"/>
        </w:rPr>
      </w:pPr>
      <w:r>
        <w:rPr>
          <w:rFonts w:hint="eastAsia" w:ascii="宋体" w:hAnsi="宋体"/>
          <w:color w:val="000000"/>
          <w:sz w:val="24"/>
          <w:szCs w:val="24"/>
        </w:rPr>
        <w:t>10、招标人约定的零星维修；</w:t>
      </w:r>
    </w:p>
    <w:p>
      <w:pPr>
        <w:spacing w:line="360" w:lineRule="auto"/>
        <w:ind w:firstLine="480"/>
        <w:rPr>
          <w:rFonts w:ascii="宋体" w:hAnsi="宋体"/>
          <w:color w:val="000000"/>
          <w:sz w:val="24"/>
          <w:szCs w:val="24"/>
        </w:rPr>
      </w:pPr>
      <w:r>
        <w:rPr>
          <w:rFonts w:hint="eastAsia" w:ascii="宋体" w:hAnsi="宋体"/>
          <w:color w:val="000000"/>
          <w:sz w:val="24"/>
          <w:szCs w:val="24"/>
        </w:rPr>
        <w:t>11、招标人约定的其他服务内容（后期收缴物业费、充电设备的管理等）</w:t>
      </w:r>
    </w:p>
    <w:p>
      <w:pPr>
        <w:spacing w:line="360" w:lineRule="auto"/>
        <w:jc w:val="left"/>
        <w:rPr>
          <w:rFonts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物业管理服务的要求</w:t>
      </w:r>
    </w:p>
    <w:p>
      <w:pPr>
        <w:spacing w:line="360" w:lineRule="auto"/>
        <w:ind w:firstLine="480"/>
        <w:jc w:val="left"/>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按专业化的要求配置管理服务人员；</w:t>
      </w:r>
    </w:p>
    <w:p>
      <w:pPr>
        <w:spacing w:line="360" w:lineRule="auto"/>
        <w:ind w:firstLine="480"/>
        <w:jc w:val="left"/>
        <w:rPr>
          <w:rFonts w:ascii="宋体" w:hAnsi="宋体"/>
          <w:color w:val="000000"/>
          <w:sz w:val="24"/>
          <w:szCs w:val="24"/>
        </w:rPr>
      </w:pPr>
      <w:r>
        <w:rPr>
          <w:rFonts w:hint="eastAsia" w:ascii="宋体" w:hAnsi="宋体"/>
          <w:color w:val="000000"/>
          <w:sz w:val="24"/>
          <w:szCs w:val="24"/>
        </w:rPr>
        <w:t>2、根据招标人的要求执行</w:t>
      </w:r>
      <w:r>
        <w:rPr>
          <w:rFonts w:ascii="宋体" w:hAnsi="宋体"/>
          <w:color w:val="000000"/>
          <w:sz w:val="24"/>
          <w:szCs w:val="24"/>
        </w:rPr>
        <w:t>；</w:t>
      </w:r>
    </w:p>
    <w:p>
      <w:pPr>
        <w:spacing w:line="360" w:lineRule="auto"/>
        <w:jc w:val="left"/>
        <w:rPr>
          <w:rFonts w:ascii="宋体" w:hAnsi="宋体"/>
          <w:color w:val="000000"/>
          <w:sz w:val="24"/>
        </w:rPr>
      </w:pPr>
      <w:r>
        <w:rPr>
          <w:rFonts w:hint="eastAsia" w:ascii="宋体" w:hAnsi="宋体"/>
          <w:color w:val="000000"/>
          <w:sz w:val="24"/>
        </w:rPr>
        <w:t>二、</w:t>
      </w:r>
      <w:r>
        <w:rPr>
          <w:rFonts w:asciiTheme="minorEastAsia" w:hAnsiTheme="minorEastAsia" w:eastAsiaTheme="minorEastAsia"/>
          <w:b/>
          <w:bCs/>
          <w:snapToGrid w:val="0"/>
          <w:kern w:val="32"/>
          <w:szCs w:val="32"/>
        </w:rPr>
        <w:t>物业管理服务标准</w:t>
      </w:r>
      <w:r>
        <w:rPr>
          <w:rFonts w:hint="eastAsia" w:asciiTheme="minorEastAsia" w:hAnsiTheme="minorEastAsia" w:eastAsiaTheme="minorEastAsia"/>
          <w:b/>
          <w:bCs/>
          <w:snapToGrid w:val="0"/>
          <w:kern w:val="32"/>
          <w:szCs w:val="32"/>
        </w:rPr>
        <w:t>及约定内容</w:t>
      </w:r>
    </w:p>
    <w:p>
      <w:pPr>
        <w:spacing w:line="360" w:lineRule="auto"/>
        <w:ind w:firstLine="482" w:firstLineChars="200"/>
        <w:rPr>
          <w:rFonts w:ascii="宋体" w:hAnsi="宋体"/>
          <w:b/>
          <w:color w:val="000000"/>
          <w:sz w:val="24"/>
        </w:rPr>
      </w:pPr>
      <w:r>
        <w:rPr>
          <w:rFonts w:hint="eastAsia" w:ascii="宋体" w:hAnsi="宋体"/>
          <w:b/>
          <w:color w:val="000000"/>
          <w:sz w:val="24"/>
        </w:rPr>
        <w:t>1、基本要求及约定内容</w:t>
      </w:r>
    </w:p>
    <w:p>
      <w:pPr>
        <w:spacing w:line="360" w:lineRule="auto"/>
        <w:ind w:firstLine="500"/>
        <w:rPr>
          <w:rFonts w:ascii="宋体" w:hAnsi="宋体"/>
          <w:color w:val="000000"/>
          <w:sz w:val="24"/>
        </w:rPr>
      </w:pPr>
      <w:r>
        <w:rPr>
          <w:rFonts w:hint="eastAsia" w:ascii="宋体" w:hAnsi="宋体"/>
          <w:color w:val="000000"/>
          <w:sz w:val="24"/>
        </w:rPr>
        <w:t>1.1有专门的管理处办公体系，办公设施设备较先进完备，应用计算机等现代化管理手段进行科学管理，办公场所整洁有序；</w:t>
      </w:r>
    </w:p>
    <w:p>
      <w:pPr>
        <w:spacing w:line="360" w:lineRule="auto"/>
        <w:ind w:firstLine="500"/>
        <w:rPr>
          <w:rFonts w:ascii="宋体" w:hAnsi="宋体"/>
          <w:color w:val="000000"/>
          <w:sz w:val="24"/>
        </w:rPr>
      </w:pPr>
      <w:r>
        <w:rPr>
          <w:rFonts w:hint="eastAsia" w:ascii="宋体" w:hAnsi="宋体"/>
          <w:color w:val="000000"/>
          <w:sz w:val="24"/>
        </w:rPr>
        <w:t>1.2签订规范的物业服务合同，权利义务关系明确；</w:t>
      </w:r>
    </w:p>
    <w:p>
      <w:pPr>
        <w:spacing w:line="360" w:lineRule="auto"/>
        <w:ind w:firstLine="500"/>
        <w:rPr>
          <w:rFonts w:ascii="宋体" w:hAnsi="宋体"/>
          <w:color w:val="000000"/>
          <w:sz w:val="24"/>
        </w:rPr>
      </w:pPr>
      <w:r>
        <w:rPr>
          <w:rFonts w:hint="eastAsia" w:ascii="宋体" w:hAnsi="宋体"/>
          <w:color w:val="000000"/>
          <w:sz w:val="24"/>
        </w:rPr>
        <w:t>1.3承接标项时，对物业管理区域内公共部位、公共设施设备进行认真查验，验收手续齐全；</w:t>
      </w:r>
    </w:p>
    <w:p>
      <w:pPr>
        <w:spacing w:line="360" w:lineRule="auto"/>
        <w:ind w:firstLine="500"/>
        <w:rPr>
          <w:rFonts w:ascii="宋体" w:hAnsi="宋体"/>
          <w:color w:val="000000"/>
          <w:sz w:val="24"/>
        </w:rPr>
      </w:pPr>
      <w:r>
        <w:rPr>
          <w:rFonts w:hint="eastAsia" w:ascii="宋体" w:hAnsi="宋体"/>
          <w:color w:val="000000"/>
          <w:sz w:val="24"/>
        </w:rPr>
        <w:t>1.4有完善的物业管理方案，质量管理、财务管理、档案管理等制度健全；</w:t>
      </w:r>
    </w:p>
    <w:p>
      <w:pPr>
        <w:spacing w:line="360" w:lineRule="auto"/>
        <w:ind w:firstLine="500"/>
        <w:rPr>
          <w:rFonts w:ascii="宋体" w:hAnsi="宋体"/>
          <w:color w:val="000000"/>
          <w:sz w:val="24"/>
        </w:rPr>
      </w:pPr>
      <w:r>
        <w:rPr>
          <w:rFonts w:hint="eastAsia" w:ascii="宋体" w:hAnsi="宋体"/>
          <w:color w:val="000000"/>
          <w:sz w:val="24"/>
        </w:rPr>
        <w:t>1.5管理服务人员着装统一、佩戴标志，行为规范，服务主动、热情；</w:t>
      </w:r>
    </w:p>
    <w:p>
      <w:pPr>
        <w:spacing w:line="360" w:lineRule="auto"/>
        <w:ind w:firstLine="500"/>
        <w:rPr>
          <w:rFonts w:ascii="宋体" w:hAnsi="宋体"/>
          <w:color w:val="000000"/>
          <w:sz w:val="24"/>
        </w:rPr>
      </w:pPr>
      <w:r>
        <w:rPr>
          <w:rFonts w:hint="eastAsia" w:ascii="宋体" w:hAnsi="宋体"/>
          <w:color w:val="000000"/>
          <w:sz w:val="24"/>
        </w:rPr>
        <w:t>1.6设有服务接待中心，公示24小时服务电话。急修半小时内到达，其它报修2小时内到达现场，有完整的报修、维修记录和回访记录。遇紧急意外事件应5分钟内到达现场；</w:t>
      </w:r>
    </w:p>
    <w:p>
      <w:pPr>
        <w:spacing w:line="360" w:lineRule="auto"/>
        <w:ind w:firstLine="500"/>
        <w:rPr>
          <w:rFonts w:ascii="宋体" w:hAnsi="宋体"/>
          <w:color w:val="000000"/>
          <w:sz w:val="24"/>
        </w:rPr>
      </w:pPr>
      <w:r>
        <w:rPr>
          <w:rFonts w:hint="eastAsia" w:ascii="宋体" w:hAnsi="宋体"/>
          <w:color w:val="000000"/>
          <w:sz w:val="24"/>
        </w:rPr>
        <w:t>1.7定期开展健康有益的文体活动；开展多项便民服务，积极协助做好社区文化建设。每年至少2次征询所属片区部门对物业服务的意见，满意率90%以上，对正当、合理意见及时采纳；</w:t>
      </w:r>
    </w:p>
    <w:p>
      <w:pPr>
        <w:spacing w:line="360" w:lineRule="auto"/>
        <w:ind w:firstLine="500"/>
        <w:rPr>
          <w:rFonts w:ascii="宋体" w:hAnsi="宋体"/>
          <w:color w:val="000000"/>
          <w:sz w:val="24"/>
        </w:rPr>
      </w:pPr>
      <w:r>
        <w:rPr>
          <w:rFonts w:hint="eastAsia" w:ascii="宋体" w:hAnsi="宋体"/>
          <w:color w:val="000000"/>
          <w:sz w:val="24"/>
        </w:rPr>
        <w:t>1.8管理人员、专业人员按照国家有关规定取得物业管理职业资格证书或岗位证书；</w:t>
      </w:r>
    </w:p>
    <w:p>
      <w:pPr>
        <w:spacing w:line="360" w:lineRule="auto"/>
        <w:rPr>
          <w:rFonts w:ascii="宋体" w:hAnsi="宋体"/>
          <w:b/>
          <w:color w:val="000000"/>
          <w:sz w:val="24"/>
        </w:rPr>
      </w:pPr>
      <w:r>
        <w:rPr>
          <w:rFonts w:hint="eastAsia" w:ascii="宋体" w:hAnsi="宋体"/>
          <w:b/>
          <w:color w:val="000000"/>
          <w:sz w:val="24"/>
        </w:rPr>
        <w:t>2、房屋管理</w:t>
      </w:r>
    </w:p>
    <w:p>
      <w:pPr>
        <w:spacing w:line="360" w:lineRule="auto"/>
        <w:ind w:firstLine="480"/>
        <w:rPr>
          <w:rFonts w:ascii="宋体" w:hAnsi="宋体"/>
          <w:color w:val="000000"/>
          <w:sz w:val="24"/>
          <w:szCs w:val="22"/>
        </w:rPr>
      </w:pPr>
      <w:r>
        <w:rPr>
          <w:rFonts w:hint="eastAsia" w:ascii="宋体" w:hAnsi="宋体"/>
          <w:color w:val="000000"/>
          <w:sz w:val="24"/>
        </w:rPr>
        <w:t>2.1对空置房每星期至少查验两次，对其他房屋共用部位进行日常管理和维修养护，检修记录和保养记录齐全，移交</w:t>
      </w:r>
      <w:r>
        <w:rPr>
          <w:rFonts w:hint="eastAsia" w:ascii="宋体" w:hAnsi="宋体"/>
          <w:color w:val="000000"/>
          <w:sz w:val="24"/>
          <w:szCs w:val="22"/>
        </w:rPr>
        <w:t>的空置房管理不到位，服务期内发生总线被盗、玻璃破损、门锁被撬、锁芯更换等由中标人负责维修。</w:t>
      </w:r>
    </w:p>
    <w:p>
      <w:pPr>
        <w:spacing w:line="360" w:lineRule="auto"/>
        <w:ind w:firstLine="480"/>
        <w:rPr>
          <w:rFonts w:ascii="宋体" w:hAnsi="宋体"/>
          <w:color w:val="000000"/>
          <w:sz w:val="24"/>
        </w:rPr>
      </w:pPr>
      <w:r>
        <w:rPr>
          <w:rFonts w:hint="eastAsia" w:ascii="宋体" w:hAnsi="宋体"/>
          <w:color w:val="000000"/>
          <w:sz w:val="24"/>
          <w:szCs w:val="22"/>
        </w:rPr>
        <w:t>2.2根据房屋实际使用年限，适时检查房屋共用部位的使用状</w:t>
      </w:r>
      <w:r>
        <w:rPr>
          <w:rFonts w:hint="eastAsia" w:ascii="宋体" w:hAnsi="宋体"/>
          <w:color w:val="000000"/>
          <w:sz w:val="24"/>
        </w:rPr>
        <w:t>况，需要维修，属于约定范围的维修，中标人及时组织修复；不属于约定维修范围的，及时上报、跟踪，回访。</w:t>
      </w:r>
    </w:p>
    <w:p>
      <w:pPr>
        <w:spacing w:line="360" w:lineRule="auto"/>
        <w:ind w:firstLine="480"/>
        <w:rPr>
          <w:rFonts w:ascii="宋体" w:hAnsi="宋体"/>
          <w:color w:val="000000"/>
          <w:sz w:val="24"/>
        </w:rPr>
      </w:pPr>
      <w:r>
        <w:rPr>
          <w:rFonts w:hint="eastAsia" w:ascii="宋体" w:hAnsi="宋体"/>
          <w:color w:val="000000"/>
          <w:sz w:val="24"/>
        </w:rPr>
        <w:t xml:space="preserve">2.3每日巡查 1 次小区房屋单元门、楼梯通道以及其他共用部位的门窗、玻璃等，做好巡查记录，并及时维修养护。 </w:t>
      </w:r>
    </w:p>
    <w:p>
      <w:pPr>
        <w:spacing w:line="360" w:lineRule="auto"/>
        <w:ind w:firstLine="480"/>
        <w:rPr>
          <w:rFonts w:ascii="宋体" w:hAnsi="宋体"/>
          <w:color w:val="000000"/>
          <w:sz w:val="24"/>
          <w:szCs w:val="22"/>
        </w:rPr>
      </w:pPr>
      <w:r>
        <w:rPr>
          <w:rFonts w:hint="eastAsia" w:ascii="宋体" w:hAnsi="宋体"/>
          <w:color w:val="000000"/>
          <w:sz w:val="24"/>
        </w:rPr>
        <w:t>2.4按照住宅装饰装修管理有关规定要求，建立完善的住宅装饰装修管理制度。装修前，依规定审核业主（使用人）的装修方案，告知装修人有关装饰装修的禁止行为和注意事项。每日至少巡查2次装修施工现场，发现影响房屋外观、危及房屋结构安全及拆改共用管线、破坏公共烟道、占用公共面积等损害公共利益现象的，及时劝阻、制止、跟进，并根据相关规定执行和告知有关主管部门。控制新增，存量配</w:t>
      </w:r>
      <w:r>
        <w:rPr>
          <w:rFonts w:hint="eastAsia" w:ascii="宋体" w:hAnsi="宋体"/>
          <w:color w:val="000000"/>
          <w:sz w:val="24"/>
          <w:szCs w:val="22"/>
        </w:rPr>
        <w:t xml:space="preserve">合整改。 </w:t>
      </w:r>
    </w:p>
    <w:p>
      <w:pPr>
        <w:spacing w:line="360" w:lineRule="auto"/>
        <w:ind w:firstLine="480"/>
        <w:rPr>
          <w:rFonts w:ascii="宋体" w:hAnsi="宋体"/>
          <w:color w:val="000000"/>
          <w:sz w:val="24"/>
        </w:rPr>
      </w:pPr>
      <w:r>
        <w:rPr>
          <w:rFonts w:hint="eastAsia" w:ascii="宋体" w:hAnsi="宋体"/>
          <w:color w:val="000000"/>
          <w:sz w:val="24"/>
          <w:szCs w:val="22"/>
        </w:rPr>
        <w:t>2.5对违反规划私搭乱建和擅自改变房屋（车库）用途、擅自破墙开门等的行为，对违规侵占房屋、违规侵占商铺，违规侵占车库、车位，私自经营等现象及时劝阻、制止、跟进，并报告有关部门。控制新增，存量配合</w:t>
      </w:r>
      <w:r>
        <w:rPr>
          <w:rFonts w:hint="eastAsia" w:ascii="宋体" w:hAnsi="宋体"/>
          <w:color w:val="000000"/>
          <w:sz w:val="24"/>
        </w:rPr>
        <w:t>整改。</w:t>
      </w:r>
    </w:p>
    <w:p>
      <w:pPr>
        <w:spacing w:line="360" w:lineRule="auto"/>
        <w:ind w:firstLine="570"/>
        <w:rPr>
          <w:rFonts w:ascii="宋体" w:hAnsi="宋体"/>
          <w:color w:val="000000"/>
          <w:sz w:val="24"/>
        </w:rPr>
      </w:pPr>
      <w:r>
        <w:rPr>
          <w:rFonts w:hint="eastAsia" w:ascii="宋体" w:hAnsi="宋体"/>
          <w:color w:val="000000"/>
          <w:sz w:val="24"/>
        </w:rPr>
        <w:t>2.6做好3—10人及10人以上的群租管理和在小区内从事安全隐患的淘宝、衣服加工、食品加工、成人用品无证经营等工作。</w:t>
      </w:r>
    </w:p>
    <w:p>
      <w:pPr>
        <w:spacing w:line="360" w:lineRule="auto"/>
        <w:ind w:firstLine="570"/>
        <w:rPr>
          <w:rFonts w:ascii="宋体" w:hAnsi="宋体"/>
          <w:color w:val="000000"/>
          <w:sz w:val="24"/>
        </w:rPr>
      </w:pPr>
      <w:r>
        <w:rPr>
          <w:rFonts w:hint="eastAsia" w:ascii="宋体" w:hAnsi="宋体"/>
          <w:color w:val="000000"/>
          <w:sz w:val="24"/>
        </w:rPr>
        <w:t>2.7小区主出入口设有小区平面示意图，主要路口设有路标。各组团、栋及单元（门）、户和公共配套设施、场地有明显标志。</w:t>
      </w:r>
    </w:p>
    <w:p>
      <w:pPr>
        <w:spacing w:line="360" w:lineRule="auto"/>
        <w:rPr>
          <w:rFonts w:ascii="宋体" w:hAnsi="宋体"/>
          <w:b/>
          <w:color w:val="000000"/>
          <w:sz w:val="24"/>
        </w:rPr>
      </w:pPr>
      <w:r>
        <w:rPr>
          <w:rFonts w:hint="eastAsia" w:ascii="宋体" w:hAnsi="宋体"/>
          <w:b/>
          <w:color w:val="000000"/>
          <w:sz w:val="24"/>
        </w:rPr>
        <w:t>3、物业共用设施设备的运行、维修、养护和管理</w:t>
      </w:r>
    </w:p>
    <w:p>
      <w:pPr>
        <w:spacing w:line="360" w:lineRule="auto"/>
        <w:ind w:firstLine="480"/>
        <w:rPr>
          <w:rFonts w:ascii="宋体" w:hAnsi="宋体"/>
          <w:b/>
          <w:color w:val="000000"/>
          <w:sz w:val="24"/>
        </w:rPr>
      </w:pPr>
      <w:r>
        <w:rPr>
          <w:rFonts w:hint="eastAsia" w:ascii="宋体" w:hAnsi="宋体"/>
          <w:color w:val="000000"/>
          <w:sz w:val="24"/>
        </w:rPr>
        <w:t>3.1对共用设施设备进行日常管理和维修养护（依法应由专业部门负责的委托专业部门负责）；</w:t>
      </w:r>
    </w:p>
    <w:p>
      <w:pPr>
        <w:spacing w:line="360" w:lineRule="auto"/>
        <w:ind w:firstLine="480"/>
        <w:rPr>
          <w:rFonts w:ascii="宋体" w:hAnsi="宋体"/>
          <w:b/>
          <w:color w:val="000000"/>
          <w:sz w:val="24"/>
        </w:rPr>
      </w:pPr>
      <w:r>
        <w:rPr>
          <w:rFonts w:hint="eastAsia" w:ascii="宋体" w:hAnsi="宋体"/>
          <w:color w:val="000000"/>
          <w:sz w:val="24"/>
        </w:rPr>
        <w:t>3.2建立共用设施设备档案（设备台帐），设施设备的运行、检查、维修、保养等记录齐全；电梯机房、水泵房等重点机房及设施部位，设置电子巡逻点；</w:t>
      </w:r>
    </w:p>
    <w:p>
      <w:pPr>
        <w:spacing w:line="360" w:lineRule="auto"/>
        <w:ind w:firstLine="570"/>
        <w:rPr>
          <w:rFonts w:ascii="宋体" w:hAnsi="宋体"/>
          <w:color w:val="000000"/>
          <w:sz w:val="24"/>
        </w:rPr>
      </w:pPr>
      <w:r>
        <w:rPr>
          <w:rFonts w:hint="eastAsia" w:ascii="宋体" w:hAnsi="宋体"/>
          <w:color w:val="000000"/>
          <w:sz w:val="24"/>
        </w:rPr>
        <w:t>3.3设施设备标志齐全、规范，责任人明确；操作维护人员严格执行设施设备操作规程及保养规范；设施设备运行正常；</w:t>
      </w:r>
    </w:p>
    <w:p>
      <w:pPr>
        <w:spacing w:line="360" w:lineRule="auto"/>
        <w:ind w:firstLine="570"/>
        <w:rPr>
          <w:rFonts w:ascii="宋体" w:hAnsi="宋体"/>
          <w:color w:val="000000"/>
          <w:sz w:val="24"/>
        </w:rPr>
      </w:pPr>
      <w:r>
        <w:rPr>
          <w:rFonts w:hint="eastAsia" w:ascii="宋体" w:hAnsi="宋体"/>
          <w:color w:val="000000"/>
          <w:sz w:val="24"/>
        </w:rPr>
        <w:t>3.4对共用设施设备定期组织巡查，做好巡查记录，需要维修，及时维修；</w:t>
      </w:r>
    </w:p>
    <w:p>
      <w:pPr>
        <w:spacing w:line="360" w:lineRule="auto"/>
        <w:ind w:firstLine="570"/>
        <w:rPr>
          <w:rFonts w:ascii="宋体" w:hAnsi="宋体"/>
          <w:color w:val="000000"/>
          <w:sz w:val="24"/>
        </w:rPr>
      </w:pPr>
      <w:r>
        <w:rPr>
          <w:rFonts w:hint="eastAsia" w:ascii="宋体" w:hAnsi="宋体"/>
          <w:color w:val="000000"/>
          <w:sz w:val="24"/>
        </w:rPr>
        <w:t>3.5小区内消防规范管理，保持消防设施设备完好，可随时启用。消防通道畅通（含室内楼道），无安全隐患；</w:t>
      </w:r>
    </w:p>
    <w:p>
      <w:pPr>
        <w:spacing w:line="360" w:lineRule="auto"/>
        <w:ind w:firstLine="570"/>
        <w:rPr>
          <w:rFonts w:ascii="宋体" w:hAnsi="宋体"/>
          <w:color w:val="000000"/>
          <w:sz w:val="24"/>
        </w:rPr>
      </w:pPr>
      <w:r>
        <w:rPr>
          <w:rFonts w:hint="eastAsia" w:ascii="宋体" w:hAnsi="宋体"/>
          <w:color w:val="000000"/>
          <w:sz w:val="24"/>
        </w:rPr>
        <w:t>3.6设备房保持整洁、通风，设备无跑、冒、滴、漏现象；</w:t>
      </w:r>
    </w:p>
    <w:p>
      <w:pPr>
        <w:spacing w:line="360" w:lineRule="auto"/>
        <w:ind w:firstLine="570"/>
        <w:rPr>
          <w:rFonts w:ascii="宋体" w:hAnsi="宋体"/>
          <w:color w:val="000000"/>
          <w:sz w:val="24"/>
        </w:rPr>
      </w:pPr>
      <w:r>
        <w:rPr>
          <w:rFonts w:hint="eastAsia" w:ascii="宋体" w:hAnsi="宋体"/>
          <w:color w:val="000000"/>
          <w:sz w:val="24"/>
        </w:rPr>
        <w:t>3.7小区道路平整，主要道路及停车场交通标志齐全、规范；</w:t>
      </w:r>
    </w:p>
    <w:p>
      <w:pPr>
        <w:spacing w:line="360" w:lineRule="auto"/>
        <w:ind w:firstLine="570"/>
        <w:rPr>
          <w:rFonts w:ascii="宋体" w:hAnsi="宋体"/>
          <w:color w:val="000000"/>
          <w:sz w:val="24"/>
        </w:rPr>
      </w:pPr>
      <w:r>
        <w:rPr>
          <w:rFonts w:hint="eastAsia" w:ascii="宋体" w:hAnsi="宋体"/>
          <w:color w:val="000000"/>
          <w:sz w:val="24"/>
        </w:rPr>
        <w:t>3.8路灯、楼道灯完好率不低于95%；</w:t>
      </w:r>
    </w:p>
    <w:p>
      <w:pPr>
        <w:spacing w:line="360" w:lineRule="auto"/>
        <w:ind w:firstLine="570"/>
        <w:rPr>
          <w:rFonts w:ascii="宋体" w:hAnsi="宋体"/>
          <w:color w:val="000000"/>
          <w:sz w:val="24"/>
        </w:rPr>
      </w:pPr>
      <w:r>
        <w:rPr>
          <w:rFonts w:hint="eastAsia" w:ascii="宋体" w:hAnsi="宋体"/>
          <w:color w:val="000000"/>
          <w:sz w:val="24"/>
        </w:rPr>
        <w:t>3.9容易危及人身安全的设施设备有明显警示标志和防范措施；对可能发生的各种突发设备故障有应急预案；</w:t>
      </w:r>
    </w:p>
    <w:p>
      <w:pPr>
        <w:spacing w:line="360" w:lineRule="auto"/>
        <w:ind w:firstLine="570"/>
        <w:rPr>
          <w:rFonts w:ascii="宋体" w:hAnsi="宋体"/>
          <w:color w:val="000000"/>
          <w:sz w:val="24"/>
        </w:rPr>
      </w:pPr>
      <w:r>
        <w:rPr>
          <w:rFonts w:hint="eastAsia" w:ascii="宋体" w:hAnsi="宋体"/>
          <w:color w:val="000000"/>
          <w:sz w:val="24"/>
        </w:rPr>
        <w:t>3.10小区内可视监控专人管理，保持设施设备完好，并建立监控电子档案；</w:t>
      </w:r>
    </w:p>
    <w:p>
      <w:pPr>
        <w:spacing w:line="360" w:lineRule="auto"/>
        <w:ind w:firstLine="570"/>
        <w:rPr>
          <w:rFonts w:ascii="宋体" w:hAnsi="宋体"/>
          <w:color w:val="000000"/>
          <w:sz w:val="24"/>
          <w:szCs w:val="22"/>
        </w:rPr>
      </w:pPr>
      <w:r>
        <w:rPr>
          <w:rFonts w:hint="eastAsia" w:ascii="宋体" w:hAnsi="宋体"/>
          <w:color w:val="000000"/>
          <w:sz w:val="24"/>
        </w:rPr>
        <w:t>3.11根据业主需求，提供物业服务合同之外的特约服务和代办服务的，经招标人同意允许在明确位置公示服务项目与收费标准；</w:t>
      </w:r>
      <w:r>
        <w:rPr>
          <w:snapToGrid w:val="0"/>
          <w:kern w:val="32"/>
          <w:sz w:val="24"/>
          <w:szCs w:val="24"/>
        </w:rPr>
        <w:t>利用共用部位、设施设备进行广告或相关场地进行摆摊设点</w:t>
      </w:r>
      <w:r>
        <w:rPr>
          <w:rFonts w:hint="eastAsia"/>
          <w:snapToGrid w:val="0"/>
          <w:kern w:val="32"/>
          <w:sz w:val="24"/>
          <w:szCs w:val="24"/>
        </w:rPr>
        <w:t>、</w:t>
      </w:r>
      <w:r>
        <w:rPr>
          <w:rFonts w:hint="eastAsia" w:ascii="宋体" w:hAnsi="宋体"/>
          <w:color w:val="000000"/>
          <w:sz w:val="24"/>
          <w:szCs w:val="24"/>
        </w:rPr>
        <w:t>快递柜、充电桩</w:t>
      </w:r>
      <w:r>
        <w:rPr>
          <w:snapToGrid w:val="0"/>
          <w:kern w:val="32"/>
          <w:sz w:val="24"/>
          <w:szCs w:val="24"/>
        </w:rPr>
        <w:t>等</w:t>
      </w:r>
      <w:r>
        <w:rPr>
          <w:rFonts w:hint="eastAsia"/>
          <w:snapToGrid w:val="0"/>
          <w:kern w:val="32"/>
          <w:sz w:val="24"/>
          <w:szCs w:val="24"/>
        </w:rPr>
        <w:t>需经招标人确认方可实施；</w:t>
      </w:r>
    </w:p>
    <w:p>
      <w:pPr>
        <w:spacing w:line="360" w:lineRule="auto"/>
        <w:ind w:firstLine="570"/>
        <w:rPr>
          <w:rFonts w:ascii="宋体" w:hAnsi="宋体"/>
          <w:color w:val="000000"/>
          <w:sz w:val="24"/>
          <w:szCs w:val="22"/>
        </w:rPr>
      </w:pPr>
      <w:r>
        <w:rPr>
          <w:rFonts w:hint="eastAsia" w:ascii="宋体" w:hAnsi="宋体"/>
          <w:color w:val="000000"/>
          <w:sz w:val="24"/>
          <w:szCs w:val="22"/>
        </w:rPr>
        <w:t>3.12大门、围墙、健身器材等设施日常维护、保持完好，每年油漆一次，铁质设施（含铁门、消防门、铁栏杆等）每年做一次防锈处理；公共木质凉亭、木质栏杆、木质座椅等木质设施每年做一次防腐保养处理；</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3.13载人电梯24小时正常运行，电梯定期检查和日常巡查，按时年检、维保，有较为详细的电梯报警和故障等应急预案，定期组织开展预案培训。目前项目有</w:t>
      </w:r>
      <w:r>
        <w:rPr>
          <w:rFonts w:hint="eastAsia" w:ascii="宋体" w:hAnsi="宋体"/>
          <w:b/>
          <w:color w:val="000000"/>
          <w:sz w:val="24"/>
          <w:szCs w:val="22"/>
        </w:rPr>
        <w:t>60台</w:t>
      </w:r>
      <w:r>
        <w:rPr>
          <w:rFonts w:hint="eastAsia" w:ascii="宋体" w:hAnsi="宋体"/>
          <w:color w:val="000000"/>
          <w:sz w:val="24"/>
          <w:szCs w:val="22"/>
        </w:rPr>
        <w:t>电梯。维保由原品牌或原品牌授权单位负责。电梯基本数据：迅达品牌，厂方生产时间：2016年，运行速度：≧1.75m/s.载重量：≧800kg,中分式开门。</w:t>
      </w:r>
      <w:r>
        <w:rPr>
          <w:rFonts w:hint="eastAsia" w:ascii="宋体" w:hAnsi="宋体"/>
          <w:color w:val="000000"/>
          <w:sz w:val="24"/>
        </w:rPr>
        <w:t>物业公司应当设置电梯的安全管理机构和配备电梯安全管理人员（代号A4），至少有一名取得《电梯安全管理员（代号A4）》的电梯安全管理人员承担相应的管理职责。物业公司应当根据本单位实际情况，建立以岗位责任制为核心的电梯使用和运营安全管理制度，并且严格执行。保持电梯紧急报警装置（五方通话）能够随时与物业公司安全管理机构或者值班人员实现有效联系，电梯如果存在故障、关人等情况，应第一时间通知维保单位人员到场处理，并立刻派人到电梯旁安抚被困人员。物业公司监督维保单位对电梯按照国家、省、市、相关规定进行维保，维保时派人旁站。</w:t>
      </w:r>
    </w:p>
    <w:p>
      <w:pPr>
        <w:spacing w:line="360" w:lineRule="auto"/>
        <w:ind w:firstLine="500"/>
        <w:rPr>
          <w:rFonts w:ascii="宋体" w:hAnsi="宋体"/>
          <w:b/>
          <w:color w:val="000000"/>
          <w:sz w:val="24"/>
        </w:rPr>
      </w:pPr>
      <w:r>
        <w:rPr>
          <w:rFonts w:hint="eastAsia" w:ascii="宋体" w:hAnsi="宋体"/>
          <w:color w:val="000000"/>
          <w:sz w:val="24"/>
        </w:rPr>
        <w:t>3.14</w:t>
      </w:r>
      <w:r>
        <w:rPr>
          <w:rFonts w:hint="eastAsia" w:ascii="宋体" w:hAnsi="宋体"/>
          <w:color w:val="000000"/>
          <w:sz w:val="24"/>
          <w:szCs w:val="22"/>
        </w:rPr>
        <w:t>消防设施日常巡查，保持设备完好，可随时启用，消防设施损毁或遗失的由中标人负责补齐（消防设施包括消防栓、灭火器等消防器材）。</w:t>
      </w:r>
    </w:p>
    <w:p>
      <w:pPr>
        <w:spacing w:line="360" w:lineRule="auto"/>
        <w:ind w:firstLine="500"/>
        <w:rPr>
          <w:rFonts w:ascii="宋体" w:hAnsi="宋体"/>
          <w:color w:val="000000"/>
          <w:sz w:val="24"/>
        </w:rPr>
      </w:pPr>
      <w:r>
        <w:rPr>
          <w:rFonts w:hint="eastAsia" w:ascii="宋体" w:hAnsi="宋体"/>
          <w:color w:val="000000"/>
          <w:sz w:val="24"/>
        </w:rPr>
        <w:t>3.15招标人在公共部位设置的公共充电设施（充电桩）由中标人进行管理，安全巡查、应急处置、发卡充值、灭火器遗失补齐或更换等由中标人负责，如管理不当造成损失由中标人承担。</w:t>
      </w:r>
    </w:p>
    <w:p>
      <w:pPr>
        <w:spacing w:line="360" w:lineRule="auto"/>
        <w:ind w:firstLine="500"/>
        <w:rPr>
          <w:rFonts w:ascii="宋体" w:hAnsi="宋体"/>
          <w:color w:val="000000"/>
          <w:sz w:val="24"/>
        </w:rPr>
      </w:pPr>
      <w:r>
        <w:rPr>
          <w:rFonts w:hint="eastAsia" w:ascii="宋体" w:hAnsi="宋体"/>
          <w:color w:val="000000"/>
          <w:sz w:val="24"/>
        </w:rPr>
        <w:t>3.16</w:t>
      </w:r>
      <w:r>
        <w:rPr>
          <w:rFonts w:hint="eastAsia"/>
          <w:color w:val="000000"/>
          <w:sz w:val="24"/>
          <w:szCs w:val="22"/>
        </w:rPr>
        <w:t>车辆识别系统由中标人进行管理，维修由中标人负责。</w:t>
      </w:r>
    </w:p>
    <w:p>
      <w:pPr>
        <w:spacing w:line="360" w:lineRule="auto"/>
        <w:rPr>
          <w:rFonts w:ascii="宋体" w:hAnsi="宋体"/>
          <w:b/>
          <w:color w:val="000000"/>
          <w:sz w:val="24"/>
        </w:rPr>
      </w:pPr>
      <w:r>
        <w:rPr>
          <w:rFonts w:hint="eastAsia" w:ascii="宋体" w:hAnsi="宋体"/>
          <w:b/>
          <w:color w:val="000000"/>
          <w:sz w:val="24"/>
        </w:rPr>
        <w:t>4、协助维护公共秩序</w:t>
      </w:r>
    </w:p>
    <w:p>
      <w:pPr>
        <w:spacing w:line="360" w:lineRule="auto"/>
        <w:ind w:firstLine="480"/>
        <w:rPr>
          <w:rFonts w:ascii="宋体" w:hAnsi="宋体"/>
          <w:color w:val="000000"/>
          <w:sz w:val="24"/>
        </w:rPr>
      </w:pPr>
      <w:r>
        <w:rPr>
          <w:rFonts w:hint="eastAsia" w:ascii="宋体" w:hAnsi="宋体"/>
          <w:color w:val="000000"/>
          <w:sz w:val="24"/>
        </w:rPr>
        <w:t>4.1熟悉和掌握小区内的基本情况，小区主出入口24小时值勤，高峰时段站岗值勤不少于6小时；小区主出入口与次出入口开启期间有详细的交接班记录和外来车辆的登记记录。</w:t>
      </w:r>
    </w:p>
    <w:p>
      <w:pPr>
        <w:spacing w:line="360" w:lineRule="auto"/>
        <w:ind w:firstLine="480"/>
        <w:rPr>
          <w:rFonts w:ascii="宋体" w:hAnsi="宋体"/>
          <w:color w:val="000000"/>
          <w:sz w:val="24"/>
        </w:rPr>
      </w:pPr>
      <w:r>
        <w:rPr>
          <w:rFonts w:hint="eastAsia" w:ascii="宋体" w:hAnsi="宋体"/>
          <w:color w:val="000000"/>
          <w:sz w:val="24"/>
        </w:rPr>
        <w:t>4.2每1小时至少巡查1次；配有安全监控设施的，实施24小时监控。</w:t>
      </w:r>
    </w:p>
    <w:p>
      <w:pPr>
        <w:spacing w:line="360" w:lineRule="auto"/>
        <w:ind w:firstLine="480"/>
        <w:rPr>
          <w:rFonts w:ascii="宋体" w:hAnsi="宋体"/>
          <w:color w:val="000000"/>
          <w:sz w:val="24"/>
        </w:rPr>
      </w:pPr>
      <w:r>
        <w:rPr>
          <w:rFonts w:hint="eastAsia" w:ascii="宋体" w:hAnsi="宋体"/>
          <w:color w:val="000000"/>
          <w:sz w:val="24"/>
        </w:rPr>
        <w:t>4.3做好来客来访登记和车辆的进出登记，引导车辆有序通行、规范停放。</w:t>
      </w:r>
    </w:p>
    <w:p>
      <w:pPr>
        <w:spacing w:line="360" w:lineRule="auto"/>
        <w:ind w:firstLine="480"/>
        <w:rPr>
          <w:rFonts w:ascii="宋体" w:hAnsi="宋体"/>
          <w:color w:val="000000"/>
          <w:sz w:val="24"/>
        </w:rPr>
      </w:pPr>
      <w:r>
        <w:rPr>
          <w:rFonts w:hint="eastAsia" w:ascii="宋体" w:hAnsi="宋体"/>
          <w:color w:val="000000"/>
          <w:sz w:val="24"/>
        </w:rPr>
        <w:t>4.4对进出小区的装修、家政等劳务人员实行临时出入证管理，大型物件搬出小区实行登记。</w:t>
      </w:r>
    </w:p>
    <w:p>
      <w:pPr>
        <w:spacing w:line="360" w:lineRule="auto"/>
        <w:ind w:firstLine="480"/>
        <w:rPr>
          <w:rFonts w:ascii="宋体" w:hAnsi="宋体"/>
          <w:color w:val="000000"/>
          <w:sz w:val="24"/>
        </w:rPr>
      </w:pPr>
      <w:r>
        <w:rPr>
          <w:rFonts w:hint="eastAsia" w:ascii="宋体" w:hAnsi="宋体"/>
          <w:color w:val="000000"/>
          <w:sz w:val="24"/>
        </w:rPr>
        <w:t>4.5对火灾、治安、公共卫生（如传染病）等突发事件有应急预案，事发时及时报</w:t>
      </w:r>
      <w:r>
        <w:rPr>
          <w:rFonts w:hint="eastAsia" w:ascii="宋体" w:hAnsi="宋体"/>
          <w:color w:val="000000"/>
          <w:sz w:val="24"/>
          <w:szCs w:val="22"/>
        </w:rPr>
        <w:t>告招标人和</w:t>
      </w:r>
      <w:r>
        <w:rPr>
          <w:rFonts w:hint="eastAsia" w:ascii="宋体" w:hAnsi="宋体"/>
          <w:color w:val="000000"/>
          <w:sz w:val="24"/>
        </w:rPr>
        <w:t>有关部门，并协助采取相应措施。</w:t>
      </w:r>
    </w:p>
    <w:p>
      <w:pPr>
        <w:spacing w:line="360" w:lineRule="auto"/>
        <w:ind w:firstLine="480" w:firstLineChars="200"/>
        <w:rPr>
          <w:rFonts w:ascii="宋体" w:hAnsi="宋体"/>
          <w:color w:val="000000"/>
          <w:sz w:val="24"/>
        </w:rPr>
      </w:pPr>
      <w:r>
        <w:rPr>
          <w:rFonts w:hint="eastAsia" w:ascii="宋体" w:hAnsi="宋体"/>
          <w:color w:val="000000"/>
          <w:sz w:val="24"/>
        </w:rPr>
        <w:t>4.6消防应急通道、消防登高位按小区消防要求进行管理。</w:t>
      </w:r>
    </w:p>
    <w:p>
      <w:pPr>
        <w:spacing w:line="360" w:lineRule="auto"/>
        <w:rPr>
          <w:rFonts w:ascii="宋体" w:hAnsi="宋体"/>
          <w:b/>
          <w:color w:val="000000"/>
          <w:sz w:val="24"/>
        </w:rPr>
      </w:pPr>
      <w:r>
        <w:rPr>
          <w:rFonts w:hint="eastAsia" w:ascii="宋体" w:hAnsi="宋体"/>
          <w:b/>
          <w:color w:val="000000"/>
          <w:sz w:val="24"/>
        </w:rPr>
        <w:t xml:space="preserve">5、保洁服务 </w:t>
      </w:r>
    </w:p>
    <w:p>
      <w:pPr>
        <w:spacing w:line="360" w:lineRule="auto"/>
        <w:ind w:firstLine="480" w:firstLineChars="200"/>
        <w:rPr>
          <w:rFonts w:ascii="宋体" w:hAnsi="宋体"/>
          <w:color w:val="000000"/>
          <w:sz w:val="24"/>
          <w:szCs w:val="22"/>
        </w:rPr>
      </w:pPr>
      <w:r>
        <w:rPr>
          <w:rFonts w:hint="eastAsia" w:ascii="宋体" w:hAnsi="宋体"/>
          <w:color w:val="000000"/>
          <w:sz w:val="24"/>
        </w:rPr>
        <w:t>5.1小区实行精准分类，目前已经设置垃圾投放驿站。非投放时间驿站不得出现垃圾包。非投放时间的水电由中标人负责监管。垃圾桶收集满后及时清运、及时短驳到位，日产日清。垃圾桶每周清洗一次，破损、不符合省级标准的等及时更换，</w:t>
      </w:r>
      <w:r>
        <w:rPr>
          <w:rFonts w:hint="eastAsia" w:ascii="宋体" w:hAnsi="宋体"/>
          <w:color w:val="000000"/>
          <w:sz w:val="24"/>
          <w:szCs w:val="22"/>
        </w:rPr>
        <w:t>中标人配合分类办、片区等落实垃圾分类宣传。</w:t>
      </w:r>
    </w:p>
    <w:p>
      <w:pPr>
        <w:spacing w:line="360" w:lineRule="auto"/>
        <w:ind w:firstLine="480" w:firstLineChars="200"/>
        <w:rPr>
          <w:rFonts w:ascii="宋体" w:hAnsi="宋体"/>
          <w:b/>
          <w:color w:val="000000"/>
          <w:sz w:val="24"/>
        </w:rPr>
      </w:pPr>
      <w:r>
        <w:rPr>
          <w:rFonts w:hint="eastAsia" w:ascii="宋体" w:hAnsi="宋体"/>
          <w:color w:val="000000"/>
          <w:sz w:val="24"/>
          <w:szCs w:val="22"/>
        </w:rPr>
        <w:t>5.2</w:t>
      </w:r>
      <w:r>
        <w:rPr>
          <w:rFonts w:hint="eastAsia" w:ascii="宋体" w:hAnsi="宋体"/>
          <w:color w:val="000000"/>
          <w:sz w:val="24"/>
        </w:rPr>
        <w:t>垃圾接驳点每日冲洗一次</w:t>
      </w:r>
      <w:r>
        <w:rPr>
          <w:rFonts w:hint="eastAsia" w:ascii="宋体" w:hAnsi="宋体"/>
          <w:color w:val="000000"/>
          <w:sz w:val="24"/>
          <w:szCs w:val="22"/>
        </w:rPr>
        <w:t>，按时将垃圾桶运至接驳点，空桶及时运回小区备用。</w:t>
      </w:r>
      <w:r>
        <w:rPr>
          <w:rFonts w:ascii="宋体" w:hAnsi="宋体"/>
          <w:b/>
          <w:color w:val="000000"/>
          <w:sz w:val="24"/>
        </w:rPr>
        <w:t xml:space="preserve"> </w:t>
      </w:r>
    </w:p>
    <w:p>
      <w:pPr>
        <w:spacing w:line="360" w:lineRule="auto"/>
        <w:ind w:firstLine="480" w:firstLineChars="200"/>
        <w:rPr>
          <w:rFonts w:ascii="宋体" w:hAnsi="宋体"/>
          <w:color w:val="000000"/>
          <w:sz w:val="24"/>
          <w:szCs w:val="22"/>
        </w:rPr>
      </w:pPr>
      <w:r>
        <w:rPr>
          <w:rFonts w:hint="eastAsia" w:ascii="宋体" w:hAnsi="宋体"/>
          <w:color w:val="000000"/>
          <w:sz w:val="24"/>
        </w:rPr>
        <w:t>5.3收集后的生活垃圾由中标人处置（具体见上面要求）</w:t>
      </w:r>
      <w:r>
        <w:rPr>
          <w:rFonts w:hint="eastAsia" w:ascii="宋体" w:hAnsi="宋体"/>
          <w:color w:val="000000"/>
          <w:sz w:val="24"/>
          <w:szCs w:val="22"/>
        </w:rPr>
        <w:t>。</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5.4小区道路、广场、停车场、绿地等每日清扫2次；楼道每日清扫1次，每周拖洗２次，保持整洁；一层共用大厅每日拖洗1次；楼梯扶手每日擦洗1次；共用部位玻璃每周清洁1次；路灯、楼道灯每月清洁1次。及时清除道路积水、积雪。</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5.5小区内的污水经污水管网排入污水处理厂，共用雨、污水管道每年疏通1次；雨、污水井每月检查1次，视检查情况及时清掏；化粪池每月检查1次，每半年清掏1次，发现异常及时清掏。污水零直排交由中标人管理。</w:t>
      </w:r>
    </w:p>
    <w:p>
      <w:pPr>
        <w:spacing w:line="360" w:lineRule="auto"/>
        <w:ind w:firstLine="480" w:firstLineChars="200"/>
        <w:rPr>
          <w:rFonts w:ascii="宋体" w:hAnsi="宋体"/>
          <w:b/>
          <w:color w:val="000000"/>
          <w:sz w:val="24"/>
        </w:rPr>
      </w:pPr>
      <w:r>
        <w:rPr>
          <w:rFonts w:hint="eastAsia" w:ascii="宋体" w:hAnsi="宋体"/>
          <w:color w:val="000000"/>
          <w:sz w:val="24"/>
        </w:rPr>
        <w:t>5.6根据实际情况定期进行消毒和灭虫除害。</w:t>
      </w:r>
    </w:p>
    <w:p>
      <w:pPr>
        <w:spacing w:line="360" w:lineRule="auto"/>
        <w:ind w:firstLine="480" w:firstLineChars="200"/>
        <w:rPr>
          <w:rFonts w:ascii="宋体" w:hAnsi="宋体"/>
          <w:b/>
          <w:color w:val="000000"/>
          <w:sz w:val="24"/>
        </w:rPr>
      </w:pPr>
      <w:r>
        <w:rPr>
          <w:rFonts w:hint="eastAsia" w:ascii="宋体" w:hAnsi="宋体"/>
          <w:color w:val="000000"/>
          <w:sz w:val="24"/>
        </w:rPr>
        <w:t>5.7早晨8时前路面、楼道、绿化带内等公共区域全面清扫干净，全天8小时动态巡回保洁（上午7时－12时，下午13时－16时）。</w:t>
      </w:r>
    </w:p>
    <w:p>
      <w:pPr>
        <w:spacing w:line="360" w:lineRule="auto"/>
        <w:ind w:firstLine="480" w:firstLineChars="200"/>
        <w:rPr>
          <w:rFonts w:ascii="宋体" w:hAnsi="宋体"/>
          <w:color w:val="000000"/>
          <w:sz w:val="24"/>
          <w:szCs w:val="22"/>
        </w:rPr>
      </w:pPr>
      <w:r>
        <w:rPr>
          <w:rFonts w:hint="eastAsia" w:ascii="宋体" w:hAnsi="宋体"/>
          <w:color w:val="000000"/>
          <w:sz w:val="24"/>
        </w:rPr>
        <w:t>5.8保洁器材、耗材的</w:t>
      </w:r>
      <w:r>
        <w:rPr>
          <w:rFonts w:hint="eastAsia" w:ascii="宋体" w:hAnsi="宋体"/>
          <w:color w:val="000000"/>
          <w:sz w:val="24"/>
          <w:szCs w:val="22"/>
        </w:rPr>
        <w:t>费用由中标人承担。</w:t>
      </w:r>
    </w:p>
    <w:p>
      <w:pPr>
        <w:spacing w:line="360" w:lineRule="auto"/>
        <w:ind w:firstLine="480" w:firstLineChars="200"/>
        <w:rPr>
          <w:rFonts w:ascii="宋体" w:hAnsi="宋体"/>
          <w:color w:val="000000"/>
          <w:sz w:val="24"/>
        </w:rPr>
      </w:pPr>
      <w:r>
        <w:rPr>
          <w:rFonts w:hint="eastAsia" w:ascii="宋体" w:hAnsi="宋体"/>
          <w:color w:val="000000"/>
          <w:sz w:val="24"/>
        </w:rPr>
        <w:t>5.9做好小区内的装修垃圾、大件垃圾、园林垃圾的清理及处置，同</w:t>
      </w:r>
      <w:r>
        <w:rPr>
          <w:rFonts w:hint="eastAsia" w:ascii="宋体" w:hAnsi="宋体"/>
          <w:color w:val="000000"/>
          <w:sz w:val="24"/>
          <w:szCs w:val="22"/>
        </w:rPr>
        <w:t>时需按照《浙江省城镇生活垃圾分类标准》进行分类处置，做到随倒随清，临时存放不得超过24小时，后期也将推行“装修垃圾箱体清运”模式。</w:t>
      </w:r>
    </w:p>
    <w:p>
      <w:pPr>
        <w:spacing w:line="360" w:lineRule="auto"/>
        <w:rPr>
          <w:rFonts w:ascii="宋体" w:hAnsi="宋体"/>
          <w:b/>
          <w:color w:val="000000"/>
          <w:sz w:val="24"/>
        </w:rPr>
      </w:pPr>
      <w:r>
        <w:rPr>
          <w:rFonts w:hint="eastAsia" w:ascii="宋体" w:hAnsi="宋体"/>
          <w:b/>
          <w:color w:val="000000"/>
          <w:sz w:val="24"/>
        </w:rPr>
        <w:t>6、公共绿化的养护管理</w:t>
      </w:r>
    </w:p>
    <w:p>
      <w:pPr>
        <w:spacing w:line="360" w:lineRule="auto"/>
        <w:ind w:firstLine="480"/>
        <w:rPr>
          <w:rFonts w:ascii="宋体" w:hAnsi="宋体"/>
          <w:color w:val="000000"/>
          <w:sz w:val="24"/>
        </w:rPr>
      </w:pPr>
      <w:r>
        <w:rPr>
          <w:rFonts w:hint="eastAsia" w:ascii="宋体" w:hAnsi="宋体"/>
          <w:color w:val="000000"/>
          <w:sz w:val="24"/>
        </w:rPr>
        <w:t>6.1由专业人员实施绿化养护管理；</w:t>
      </w:r>
    </w:p>
    <w:p>
      <w:pPr>
        <w:spacing w:line="360" w:lineRule="auto"/>
        <w:ind w:firstLine="480" w:firstLineChars="200"/>
        <w:rPr>
          <w:rFonts w:ascii="宋体" w:hAnsi="宋体"/>
          <w:color w:val="000000"/>
          <w:sz w:val="24"/>
        </w:rPr>
      </w:pPr>
      <w:r>
        <w:rPr>
          <w:rFonts w:hint="eastAsia" w:ascii="宋体" w:hAnsi="宋体"/>
          <w:color w:val="000000"/>
          <w:sz w:val="24"/>
        </w:rPr>
        <w:t>6.2草坪生长良好，及时修剪和补栽补种，无杂草、杂物；</w:t>
      </w:r>
    </w:p>
    <w:p>
      <w:pPr>
        <w:spacing w:line="360" w:lineRule="auto"/>
        <w:ind w:firstLine="480" w:firstLineChars="200"/>
        <w:rPr>
          <w:rFonts w:ascii="宋体" w:hAnsi="宋体"/>
          <w:color w:val="000000"/>
          <w:sz w:val="24"/>
        </w:rPr>
      </w:pPr>
      <w:r>
        <w:rPr>
          <w:rFonts w:hint="eastAsia" w:ascii="宋体" w:hAnsi="宋体"/>
          <w:color w:val="000000"/>
          <w:sz w:val="24"/>
        </w:rPr>
        <w:t>6.3花卉、绿篱、树木应根据其品种和生长情况，及时修剪整形，保持观赏效果；</w:t>
      </w:r>
    </w:p>
    <w:p>
      <w:pPr>
        <w:spacing w:line="360" w:lineRule="auto"/>
        <w:ind w:firstLine="480" w:firstLineChars="200"/>
        <w:rPr>
          <w:rFonts w:ascii="宋体" w:hAnsi="宋体"/>
          <w:color w:val="000000"/>
          <w:sz w:val="24"/>
        </w:rPr>
      </w:pPr>
      <w:r>
        <w:rPr>
          <w:rFonts w:hint="eastAsia" w:ascii="宋体" w:hAnsi="宋体"/>
          <w:color w:val="000000"/>
          <w:sz w:val="24"/>
        </w:rPr>
        <w:t>6.4定期组织浇灌、施肥和松土，做好防涝、防冻；</w:t>
      </w:r>
    </w:p>
    <w:p>
      <w:pPr>
        <w:spacing w:line="360" w:lineRule="auto"/>
        <w:ind w:firstLine="480" w:firstLineChars="200"/>
        <w:rPr>
          <w:rFonts w:ascii="宋体" w:hAnsi="宋体"/>
          <w:color w:val="000000"/>
          <w:sz w:val="24"/>
        </w:rPr>
      </w:pPr>
      <w:r>
        <w:rPr>
          <w:rFonts w:hint="eastAsia" w:ascii="宋体" w:hAnsi="宋体"/>
          <w:color w:val="000000"/>
          <w:sz w:val="24"/>
        </w:rPr>
        <w:t>6.5定期喷洒药物，预防病虫害；</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6.6园林垃圾由中标人合法处置。</w:t>
      </w:r>
    </w:p>
    <w:p>
      <w:pPr>
        <w:spacing w:line="360" w:lineRule="auto"/>
        <w:ind w:firstLine="482" w:firstLineChars="200"/>
        <w:jc w:val="left"/>
        <w:rPr>
          <w:rFonts w:ascii="宋体" w:hAnsi="宋体"/>
          <w:b/>
          <w:color w:val="000000"/>
          <w:sz w:val="24"/>
          <w:szCs w:val="22"/>
        </w:rPr>
      </w:pPr>
      <w:r>
        <w:rPr>
          <w:rFonts w:hint="eastAsia" w:ascii="宋体" w:hAnsi="宋体"/>
          <w:b/>
          <w:color w:val="000000"/>
          <w:sz w:val="24"/>
          <w:szCs w:val="22"/>
        </w:rPr>
        <w:t>6.7落实绿化修补和花卉种植，招标人后期会要求在主干道、主出入口等处按四季分别种植花卉。</w:t>
      </w:r>
    </w:p>
    <w:p>
      <w:pPr>
        <w:spacing w:line="360" w:lineRule="auto"/>
        <w:ind w:firstLine="361" w:firstLineChars="150"/>
        <w:rPr>
          <w:rFonts w:ascii="宋体" w:hAnsi="宋体"/>
          <w:b/>
          <w:color w:val="000000"/>
          <w:sz w:val="24"/>
          <w:szCs w:val="22"/>
        </w:rPr>
      </w:pPr>
      <w:r>
        <w:rPr>
          <w:rFonts w:hint="eastAsia" w:ascii="宋体" w:hAnsi="宋体"/>
          <w:b/>
          <w:color w:val="000000"/>
          <w:sz w:val="24"/>
          <w:szCs w:val="22"/>
        </w:rPr>
        <w:t>6.8根据投标承诺及招标人要求，对黄土裸露区域种植草本植物。</w:t>
      </w:r>
    </w:p>
    <w:p>
      <w:pPr>
        <w:spacing w:line="360" w:lineRule="auto"/>
        <w:rPr>
          <w:rFonts w:ascii="宋体" w:hAnsi="宋体"/>
          <w:b/>
          <w:color w:val="000000"/>
          <w:sz w:val="24"/>
        </w:rPr>
      </w:pPr>
      <w:r>
        <w:rPr>
          <w:rFonts w:hint="eastAsia" w:ascii="宋体" w:hAnsi="宋体"/>
          <w:b/>
          <w:color w:val="000000"/>
          <w:sz w:val="24"/>
        </w:rPr>
        <w:t>7、其他服务内容</w:t>
      </w:r>
    </w:p>
    <w:p>
      <w:pPr>
        <w:spacing w:line="360" w:lineRule="auto"/>
        <w:ind w:firstLine="480"/>
        <w:rPr>
          <w:rFonts w:ascii="宋体" w:hAnsi="宋体"/>
          <w:color w:val="000000"/>
          <w:sz w:val="24"/>
        </w:rPr>
      </w:pPr>
      <w:r>
        <w:rPr>
          <w:rFonts w:hint="eastAsia" w:ascii="宋体" w:hAnsi="宋体"/>
          <w:color w:val="000000"/>
          <w:sz w:val="24"/>
        </w:rPr>
        <w:t>7.1消防控制室实行24小时值班制度</w:t>
      </w:r>
      <w:r>
        <w:rPr>
          <w:rFonts w:hint="eastAsia" w:ascii="宋体" w:hAnsi="宋体"/>
          <w:color w:val="000000"/>
          <w:sz w:val="24"/>
          <w:szCs w:val="22"/>
        </w:rPr>
        <w:t>，值班操作人员必须持消控职业资格证上岗，掌握火警处置及启动消防设施设备的程序和方法，确保及时发现并准确处理火灾和故</w:t>
      </w:r>
      <w:r>
        <w:rPr>
          <w:rFonts w:hint="eastAsia" w:ascii="宋体" w:hAnsi="宋体"/>
          <w:color w:val="000000"/>
          <w:sz w:val="24"/>
        </w:rPr>
        <w:t>障报警。</w:t>
      </w:r>
    </w:p>
    <w:p>
      <w:pPr>
        <w:spacing w:line="360" w:lineRule="auto"/>
        <w:ind w:firstLine="480"/>
        <w:rPr>
          <w:rFonts w:ascii="宋体" w:hAnsi="宋体"/>
          <w:color w:val="000000"/>
          <w:sz w:val="24"/>
        </w:rPr>
      </w:pPr>
      <w:r>
        <w:rPr>
          <w:rFonts w:hint="eastAsia" w:ascii="宋体" w:hAnsi="宋体"/>
          <w:color w:val="000000"/>
          <w:sz w:val="24"/>
        </w:rPr>
        <w:t>7.2电工要求持证上岗，及时发现并处理有关隐患和故障。本项目需配置 1名高配工。</w:t>
      </w:r>
    </w:p>
    <w:p>
      <w:pPr>
        <w:spacing w:line="360" w:lineRule="auto"/>
        <w:ind w:firstLine="480"/>
        <w:rPr>
          <w:rFonts w:ascii="宋体" w:hAnsi="宋体"/>
          <w:color w:val="000000"/>
          <w:sz w:val="24"/>
        </w:rPr>
      </w:pPr>
      <w:r>
        <w:rPr>
          <w:rFonts w:hint="eastAsia" w:ascii="宋体" w:hAnsi="宋体"/>
          <w:color w:val="000000"/>
          <w:sz w:val="24"/>
        </w:rPr>
        <w:t>7.3对小区内景观、健身器材及设施承担安全运行管理，设置安全警示标志。</w:t>
      </w:r>
    </w:p>
    <w:p>
      <w:pPr>
        <w:spacing w:line="360" w:lineRule="auto"/>
        <w:ind w:firstLine="480"/>
        <w:rPr>
          <w:rFonts w:ascii="宋体" w:hAnsi="宋体"/>
          <w:color w:val="000000"/>
          <w:sz w:val="24"/>
        </w:rPr>
      </w:pPr>
      <w:r>
        <w:rPr>
          <w:rFonts w:hint="eastAsia" w:ascii="宋体" w:hAnsi="宋体"/>
          <w:color w:val="000000"/>
          <w:sz w:val="24"/>
        </w:rPr>
        <w:t>7.4地下车位每日巡逻不得低于5次，及时劝导规范乱停乱放车辆；</w:t>
      </w:r>
    </w:p>
    <w:p>
      <w:pPr>
        <w:spacing w:line="360" w:lineRule="auto"/>
        <w:ind w:firstLine="480"/>
        <w:rPr>
          <w:rFonts w:ascii="宋体" w:hAnsi="宋体"/>
          <w:color w:val="000000"/>
          <w:sz w:val="24"/>
          <w:szCs w:val="22"/>
        </w:rPr>
      </w:pPr>
      <w:r>
        <w:rPr>
          <w:rFonts w:hint="eastAsia" w:ascii="宋体" w:hAnsi="宋体"/>
          <w:color w:val="000000"/>
          <w:sz w:val="24"/>
          <w:szCs w:val="22"/>
        </w:rPr>
        <w:t>7.5招标人后期可能会要求中标人向商铺及住户收取物业费、停车费或相关费用，中标人需积极配合完成，落实人员落实具体收费工作，具体按招标人后期要求执行。</w:t>
      </w:r>
    </w:p>
    <w:p>
      <w:pPr>
        <w:spacing w:line="360" w:lineRule="auto"/>
        <w:ind w:firstLine="480"/>
        <w:rPr>
          <w:rFonts w:ascii="宋体" w:hAnsi="宋体"/>
          <w:bCs/>
          <w:color w:val="000000"/>
          <w:sz w:val="24"/>
          <w:szCs w:val="22"/>
        </w:rPr>
      </w:pPr>
      <w:r>
        <w:rPr>
          <w:rFonts w:hint="eastAsia" w:ascii="宋体" w:hAnsi="宋体"/>
          <w:color w:val="000000"/>
          <w:sz w:val="24"/>
        </w:rPr>
        <w:t>7.6</w:t>
      </w:r>
      <w:r>
        <w:rPr>
          <w:rFonts w:hint="eastAsia" w:ascii="宋体" w:hAnsi="宋体"/>
          <w:bCs/>
          <w:color w:val="000000"/>
          <w:sz w:val="24"/>
          <w:szCs w:val="22"/>
        </w:rPr>
        <w:t>配合有关部门做好各项安全工作，制订和完善各类设备系统突发事件应急处置预案，并定期培训和操演。</w:t>
      </w:r>
    </w:p>
    <w:p>
      <w:pPr>
        <w:spacing w:line="360" w:lineRule="auto"/>
        <w:ind w:firstLine="480"/>
        <w:rPr>
          <w:rFonts w:ascii="宋体" w:hAnsi="宋体"/>
          <w:color w:val="000000"/>
          <w:sz w:val="24"/>
        </w:rPr>
      </w:pPr>
      <w:r>
        <w:rPr>
          <w:rFonts w:hint="eastAsia" w:ascii="宋体" w:hAnsi="宋体"/>
          <w:color w:val="000000"/>
          <w:sz w:val="24"/>
        </w:rPr>
        <w:t>7.7如遇火警、水管爆裂、台风袭击、突发传染病等特殊情况，中标人要组织突击小组先应急处理， 再汇报配合相关工作。</w:t>
      </w:r>
    </w:p>
    <w:p>
      <w:pPr>
        <w:spacing w:line="360" w:lineRule="auto"/>
        <w:ind w:firstLine="480"/>
        <w:rPr>
          <w:rFonts w:ascii="宋体" w:hAnsi="宋体"/>
          <w:color w:val="000000"/>
          <w:sz w:val="24"/>
        </w:rPr>
      </w:pPr>
      <w:r>
        <w:rPr>
          <w:rFonts w:hint="eastAsia" w:ascii="宋体" w:hAnsi="宋体"/>
          <w:color w:val="000000"/>
          <w:sz w:val="24"/>
        </w:rPr>
        <w:t>7.8及时落实住户要求的其它合理服务事项。</w:t>
      </w:r>
    </w:p>
    <w:p>
      <w:pPr>
        <w:spacing w:line="360" w:lineRule="auto"/>
        <w:rPr>
          <w:rFonts w:ascii="宋体" w:hAnsi="宋体"/>
          <w:b/>
          <w:color w:val="000000"/>
          <w:sz w:val="24"/>
        </w:rPr>
      </w:pPr>
      <w:r>
        <w:rPr>
          <w:rFonts w:hint="eastAsia" w:ascii="宋体" w:hAnsi="宋体"/>
          <w:b/>
          <w:color w:val="000000"/>
          <w:sz w:val="24"/>
        </w:rPr>
        <w:t>8、物业服务费支付及考核管理要求</w:t>
      </w:r>
    </w:p>
    <w:p>
      <w:pPr>
        <w:spacing w:line="360" w:lineRule="auto"/>
        <w:ind w:firstLine="480"/>
        <w:rPr>
          <w:rFonts w:ascii="宋体" w:hAnsi="宋体"/>
          <w:color w:val="000000"/>
          <w:sz w:val="24"/>
          <w:szCs w:val="22"/>
        </w:rPr>
      </w:pPr>
      <w:r>
        <w:rPr>
          <w:rFonts w:hint="eastAsia" w:ascii="宋体" w:hAnsi="宋体"/>
          <w:color w:val="000000"/>
          <w:sz w:val="24"/>
          <w:szCs w:val="22"/>
        </w:rPr>
        <w:t>8.1招标人按月对中标人进行物业考核，每季度支付物业服务费，考虑到费用审批过程等因素，费用支付可能会有延期。</w:t>
      </w:r>
    </w:p>
    <w:p>
      <w:pPr>
        <w:spacing w:line="360" w:lineRule="auto"/>
        <w:ind w:firstLine="480" w:firstLineChars="200"/>
        <w:rPr>
          <w:rFonts w:ascii="宋体" w:hAnsi="宋体"/>
          <w:color w:val="000000"/>
          <w:sz w:val="24"/>
        </w:rPr>
      </w:pPr>
      <w:r>
        <w:rPr>
          <w:rFonts w:hint="eastAsia" w:ascii="宋体" w:hAnsi="宋体"/>
          <w:color w:val="000000"/>
          <w:sz w:val="24"/>
        </w:rPr>
        <w:t>8.2物业服务费：月度实付款=（月度考核得分/100）×月度服务费；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8.3考核标准参</w:t>
      </w:r>
      <w:r>
        <w:rPr>
          <w:rFonts w:hint="eastAsia" w:ascii="宋体" w:hAnsi="宋体"/>
          <w:color w:val="000000" w:themeColor="text1"/>
          <w:sz w:val="24"/>
          <w:szCs w:val="22"/>
          <w14:textFill>
            <w14:solidFill>
              <w14:schemeClr w14:val="tx1"/>
            </w14:solidFill>
          </w14:textFill>
        </w:rPr>
        <w:t>照《八里店镇安置社区物业管理考核办法--2022年版（试行）》、</w:t>
      </w:r>
      <w:r>
        <w:rPr>
          <w:rFonts w:hint="eastAsia" w:asciiTheme="minorEastAsia" w:hAnsiTheme="minorEastAsia" w:eastAsiaTheme="minorEastAsia"/>
          <w:color w:val="000000" w:themeColor="text1"/>
          <w:sz w:val="24"/>
          <w:szCs w:val="24"/>
          <w14:textFill>
            <w14:solidFill>
              <w14:schemeClr w14:val="tx1"/>
            </w14:solidFill>
          </w14:textFill>
        </w:rPr>
        <w:t>《2022年度八里店镇安置小区物业管理考核细则及评分标准</w:t>
      </w:r>
      <w:r>
        <w:rPr>
          <w:rFonts w:hint="eastAsia" w:ascii="宋体" w:hAnsi="宋体"/>
          <w:color w:val="000000" w:themeColor="text1"/>
          <w:sz w:val="24"/>
          <w:szCs w:val="22"/>
          <w14:textFill>
            <w14:solidFill>
              <w14:schemeClr w14:val="tx1"/>
            </w14:solidFill>
          </w14:textFill>
        </w:rPr>
        <w:t>》等执行</w:t>
      </w:r>
      <w:r>
        <w:rPr>
          <w:rFonts w:hint="eastAsia" w:ascii="宋体" w:hAnsi="宋体"/>
          <w:bCs/>
          <w:color w:val="000000" w:themeColor="text1"/>
          <w:sz w:val="24"/>
          <w14:textFill>
            <w14:solidFill>
              <w14:schemeClr w14:val="tx1"/>
            </w14:solidFill>
          </w14:textFill>
        </w:rPr>
        <w:t>，同时结合市、区精细化管理考核及其他相关部门履约服务合同月度、季度考核红黑榜排名等结果，综合计入月度物业考核得分，结算月度物业服务费用，当月考核的结果于</w:t>
      </w:r>
      <w:r>
        <w:rPr>
          <w:rFonts w:hint="eastAsia" w:ascii="宋体" w:hAnsi="宋体"/>
          <w:color w:val="000000" w:themeColor="text1"/>
          <w:sz w:val="24"/>
          <w14:textFill>
            <w14:solidFill>
              <w14:schemeClr w14:val="tx1"/>
            </w14:solidFill>
          </w14:textFill>
        </w:rPr>
        <w:t>次月中旬左右结算，当月无扣分现象，按全额支付当月80%物业服务费，剩余部分当年底支付。</w:t>
      </w:r>
    </w:p>
    <w:p>
      <w:pPr>
        <w:tabs>
          <w:tab w:val="left" w:pos="6540"/>
        </w:tabs>
        <w:spacing w:line="360" w:lineRule="auto"/>
        <w:rPr>
          <w:rFonts w:ascii="宋体" w:hAnsi="宋体"/>
          <w:color w:val="000000"/>
          <w:sz w:val="24"/>
        </w:rPr>
      </w:pPr>
      <w:r>
        <w:rPr>
          <w:rFonts w:hint="eastAsia" w:ascii="宋体" w:hAnsi="宋体"/>
          <w:b/>
          <w:color w:val="000000"/>
          <w:sz w:val="24"/>
        </w:rPr>
        <w:t>9、补充说明事项</w:t>
      </w:r>
    </w:p>
    <w:p>
      <w:pPr>
        <w:snapToGrid w:val="0"/>
        <w:spacing w:line="360" w:lineRule="auto"/>
        <w:ind w:firstLine="480" w:firstLineChars="200"/>
        <w:textAlignment w:val="bottom"/>
        <w:rPr>
          <w:rFonts w:ascii="宋体" w:hAnsi="宋体"/>
          <w:bCs/>
          <w:color w:val="000000"/>
          <w:sz w:val="24"/>
          <w:szCs w:val="22"/>
        </w:rPr>
      </w:pPr>
      <w:r>
        <w:rPr>
          <w:rFonts w:hint="eastAsia" w:ascii="宋体" w:hAnsi="宋体"/>
          <w:bCs/>
          <w:color w:val="000000"/>
          <w:sz w:val="24"/>
          <w:szCs w:val="22"/>
        </w:rPr>
        <w:t>9.1根据湖州市、吴兴区《关于加强小区物业管理工作的实施意见》、《湖州市物业项目承接验收管理实施细则》、《关于开展准物业小区和拆迁安置小区提升工作方案》、《吴兴区物业服务企业监督考核办法》等文件要求的规定，在前期进驻管理阶段和退出管理阶段需要进行前后物业承接查验，即目前在管物业与中标人进行所有设施设备及资料等各项移交及中标人合同服务到期后的各项移交（原则上一个月内完成移交验收手续）。移交手续按照浙江省住建厅关于印发《浙江省物业项目承接验收的管理办法的通知、湖州市规划建设局关于印发《湖州市物业项目承接验收管理实施细则》的通知等。</w:t>
      </w:r>
    </w:p>
    <w:p>
      <w:pPr>
        <w:snapToGrid w:val="0"/>
        <w:spacing w:line="360" w:lineRule="auto"/>
        <w:ind w:firstLine="480" w:firstLineChars="200"/>
        <w:textAlignment w:val="bottom"/>
        <w:rPr>
          <w:rFonts w:ascii="宋体" w:hAnsi="宋体"/>
          <w:bCs/>
          <w:color w:val="000000"/>
          <w:sz w:val="24"/>
          <w:szCs w:val="22"/>
        </w:rPr>
      </w:pPr>
      <w:r>
        <w:rPr>
          <w:rFonts w:hint="eastAsia" w:ascii="宋体" w:hAnsi="宋体"/>
          <w:bCs/>
          <w:color w:val="000000"/>
          <w:sz w:val="24"/>
          <w:szCs w:val="22"/>
        </w:rPr>
        <w:t>9.2本项目属安置小区的物业管理和服务，管理情况相对复杂，存在着公众责任事故风险，要求中标人必须购买公众责任险,保单复印件到片区处备案。同时可能还存在缺陷（如</w:t>
      </w:r>
      <w:r>
        <w:rPr>
          <w:rFonts w:hint="eastAsia" w:ascii="宋体" w:hAnsi="宋体"/>
          <w:b/>
          <w:bCs/>
          <w:color w:val="000000"/>
          <w:sz w:val="24"/>
          <w:szCs w:val="22"/>
        </w:rPr>
        <w:t>飞线充电、房屋车库侵占、淘宝三合一等</w:t>
      </w:r>
      <w:r>
        <w:rPr>
          <w:rFonts w:hint="eastAsia" w:ascii="宋体" w:hAnsi="宋体"/>
          <w:bCs/>
          <w:color w:val="000000"/>
          <w:sz w:val="24"/>
          <w:szCs w:val="22"/>
        </w:rPr>
        <w:t>）。中标人根据投标承诺进驻后进行整改、完善、提升。因部分维修项目存在一定的不可遇见因素，</w:t>
      </w:r>
      <w:r>
        <w:rPr>
          <w:rFonts w:hint="eastAsia" w:ascii="宋体" w:hAnsi="宋体"/>
          <w:b/>
          <w:bCs/>
          <w:color w:val="000000"/>
          <w:sz w:val="24"/>
          <w:szCs w:val="22"/>
        </w:rPr>
        <w:t>加上费用招标人服务费支付上可能有延期，管理中还需要维修设备（不执行物业专项维修资金维修）、装修垃圾大件垃圾园林垃圾不得再收费等情况，</w:t>
      </w:r>
      <w:r>
        <w:rPr>
          <w:rFonts w:hint="eastAsia" w:ascii="宋体" w:hAnsi="宋体"/>
          <w:bCs/>
          <w:color w:val="000000"/>
          <w:sz w:val="24"/>
          <w:szCs w:val="22"/>
        </w:rPr>
        <w:t>因此管理需要投入相当大的成本，投标带有风险性，建议投标人投标前自行对项目现场和要求进行考察。同时招标人对投标承诺将加强事中事后监管，并根据主管部门（住建局、市场监管、人力资源和劳动保障、综合执法等）要求建立物业企业诚信机制，</w:t>
      </w:r>
      <w:r>
        <w:rPr>
          <w:rFonts w:hint="eastAsia" w:ascii="宋体" w:hAnsi="宋体"/>
          <w:b/>
          <w:bCs/>
          <w:color w:val="000000"/>
          <w:sz w:val="24"/>
          <w:szCs w:val="22"/>
        </w:rPr>
        <w:t>请投标人</w:t>
      </w:r>
      <w:r>
        <w:rPr>
          <w:rFonts w:hint="eastAsia" w:ascii="宋体" w:hAnsi="宋体"/>
          <w:bCs/>
          <w:color w:val="000000"/>
          <w:sz w:val="24"/>
          <w:szCs w:val="22"/>
        </w:rPr>
        <w:t>慎重投标。</w:t>
      </w:r>
    </w:p>
    <w:p>
      <w:pPr>
        <w:snapToGrid w:val="0"/>
        <w:spacing w:line="360" w:lineRule="auto"/>
        <w:ind w:firstLine="480" w:firstLineChars="200"/>
        <w:textAlignment w:val="bottom"/>
        <w:rPr>
          <w:rFonts w:ascii="宋体" w:hAnsi="宋体"/>
          <w:bCs/>
          <w:color w:val="000000"/>
          <w:sz w:val="24"/>
          <w:szCs w:val="22"/>
        </w:rPr>
      </w:pPr>
      <w:r>
        <w:rPr>
          <w:rFonts w:hint="eastAsia" w:ascii="宋体" w:hAnsi="宋体"/>
          <w:bCs/>
          <w:color w:val="000000"/>
          <w:sz w:val="24"/>
          <w:szCs w:val="22"/>
        </w:rPr>
        <w:t>9.3 标项内所有零星安装、市政维修等全部由中标人（物业公司）承担（零星安装、市政维修包含材料费、人工费等全部费用）。零星安装、市政维修包含以下内容：1）、室内外消防设施维修、灭火器灌装等的维修。2）、水表到居民家中自来水管道等的维修。3）、室外高杆灯（含灯泡、杆、线）、室内楼道灯等的更换和维修，以及室外灯时间的操控管理。4）、道路坑洼修补、路缘石、花缘石、路障等破损、维修和更换。5）、室内外雨污水管道堵塞、清理、破损等需进行维修、更换等一系列项目（不含总管），需要吊装登高设备、抽粪清掏设备、疏通设备等的维修和养护，中标人需根据投标文件履行承诺。6）、公共区域设施（围墙修补、道闸门更换，栏杆修补、玻璃破损、亲水平台台阶板）破损等各项维修项目，</w:t>
      </w:r>
      <w:r>
        <w:rPr>
          <w:rFonts w:hint="eastAsia" w:ascii="宋体" w:hAnsi="宋体"/>
          <w:b/>
          <w:bCs/>
          <w:color w:val="000000"/>
          <w:sz w:val="24"/>
          <w:szCs w:val="22"/>
        </w:rPr>
        <w:t>内墙皮脱落单处1平方以下，道路砖单处1平方以下的由中标人维修</w:t>
      </w:r>
      <w:r>
        <w:rPr>
          <w:rFonts w:hint="eastAsia" w:ascii="宋体" w:hAnsi="宋体"/>
          <w:bCs/>
          <w:color w:val="000000"/>
          <w:sz w:val="24"/>
          <w:szCs w:val="22"/>
        </w:rPr>
        <w:t>。7）、其他招标人要求的零星维修项目。（如污水零直排改造后移交到中标人管理，如车辆识别系统移交中标人管理和养护维修，如加装电梯后移交管理，如垃圾精准化分类移交管理，如空置房移交后发生的总线被盗、玻璃破损、门锁更换，如充电设施移交管理等）。</w:t>
      </w:r>
    </w:p>
    <w:p>
      <w:pPr>
        <w:snapToGrid w:val="0"/>
        <w:spacing w:line="360" w:lineRule="auto"/>
        <w:ind w:firstLine="480" w:firstLineChars="200"/>
        <w:textAlignment w:val="bottom"/>
        <w:rPr>
          <w:rFonts w:ascii="宋体" w:hAnsi="宋体"/>
          <w:b/>
          <w:bCs/>
          <w:color w:val="000000"/>
          <w:sz w:val="24"/>
          <w:szCs w:val="22"/>
        </w:rPr>
      </w:pPr>
      <w:r>
        <w:rPr>
          <w:rFonts w:hint="eastAsia" w:ascii="宋体" w:hAnsi="宋体"/>
          <w:bCs/>
          <w:color w:val="000000"/>
          <w:sz w:val="24"/>
          <w:szCs w:val="22"/>
        </w:rPr>
        <w:t>9.４房屋渗水、瓦片脱落、房屋外立面破损、外墙砖脱落、房屋干挂大理石（景观墙体除外）、房屋伸缩缝维修、房屋主体结构质量等房屋维修问题由</w:t>
      </w:r>
      <w:r>
        <w:rPr>
          <w:rFonts w:hint="eastAsia" w:ascii="宋体" w:hAnsi="宋体"/>
          <w:b/>
          <w:bCs/>
          <w:color w:val="000000"/>
          <w:sz w:val="24"/>
          <w:szCs w:val="22"/>
        </w:rPr>
        <w:t>招标人负责</w:t>
      </w:r>
      <w:r>
        <w:rPr>
          <w:rFonts w:hint="eastAsia" w:ascii="宋体" w:hAnsi="宋体"/>
          <w:bCs/>
          <w:color w:val="000000"/>
          <w:sz w:val="24"/>
          <w:szCs w:val="22"/>
        </w:rPr>
        <w:t>，中标人（物业公司）需帮助及时协调、报告、跟进。室内外房屋配套的雨水管、污水管由中标人疏通。道路总管疏通清掏，日常维护由中标人处理，道路总管的破损更换需挖掘机开挖作业的由招标人处理。</w:t>
      </w:r>
    </w:p>
    <w:p>
      <w:pPr>
        <w:snapToGrid w:val="0"/>
        <w:spacing w:line="360" w:lineRule="auto"/>
        <w:ind w:firstLine="480" w:firstLineChars="200"/>
        <w:textAlignment w:val="bottom"/>
        <w:rPr>
          <w:rFonts w:ascii="宋体" w:hAnsi="宋体"/>
          <w:b/>
          <w:color w:val="000000"/>
          <w:sz w:val="24"/>
          <w:szCs w:val="22"/>
        </w:rPr>
      </w:pPr>
      <w:r>
        <w:rPr>
          <w:rFonts w:hint="eastAsia" w:ascii="宋体" w:hAnsi="宋体"/>
          <w:bCs/>
          <w:color w:val="000000"/>
          <w:sz w:val="24"/>
          <w:szCs w:val="22"/>
        </w:rPr>
        <w:t>9.５电梯方面补充：</w:t>
      </w:r>
      <w:r>
        <w:rPr>
          <w:rFonts w:hint="eastAsia" w:ascii="宋体" w:hAnsi="宋体"/>
          <w:color w:val="000000"/>
          <w:sz w:val="24"/>
          <w:szCs w:val="22"/>
        </w:rPr>
        <w:t>电梯维保费用、年检费用、维修费、1万元以下的维修材料费由中标人（物业公司）承担。</w:t>
      </w:r>
      <w:r>
        <w:rPr>
          <w:rFonts w:hint="eastAsia" w:ascii="宋体" w:hAnsi="宋体"/>
          <w:b/>
          <w:color w:val="000000"/>
          <w:sz w:val="24"/>
          <w:szCs w:val="22"/>
        </w:rPr>
        <w:t>单台单个配件费（不含维修人工费）1万元以下的维修项目所有费用由中标人承担，单台单个配件费（不含维修人工费）1万元以上的所有费用由招标人承担。单个配件单价由第三方电梯维保单位出具相关证明材料，招标人审核。</w:t>
      </w:r>
      <w:r>
        <w:rPr>
          <w:rFonts w:hint="eastAsia" w:ascii="宋体" w:hAnsi="宋体"/>
          <w:bCs/>
          <w:color w:val="000000"/>
          <w:sz w:val="24"/>
          <w:szCs w:val="22"/>
        </w:rPr>
        <w:t>本次中标人需承担两年的相关费用，接管退出需做好物业承接查验</w:t>
      </w:r>
      <w:r>
        <w:rPr>
          <w:rFonts w:hint="eastAsia" w:ascii="宋体" w:hAnsi="宋体"/>
          <w:bCs/>
          <w:color w:val="000000"/>
          <w:sz w:val="24"/>
          <w:szCs w:val="22"/>
          <w:highlight w:val="yellow"/>
        </w:rPr>
        <w:t>（电梯年检时间与合同服务时间的差异，如前物业先将相关电梯年检、保险、维保等费用垫付，中标人接管需做好与前物业查验手续）。</w:t>
      </w:r>
    </w:p>
    <w:p>
      <w:pPr>
        <w:spacing w:line="360" w:lineRule="auto"/>
        <w:rPr>
          <w:rFonts w:ascii="宋体" w:hAnsi="宋体"/>
          <w:sz w:val="24"/>
        </w:rPr>
      </w:pPr>
      <w:r>
        <w:rPr>
          <w:rFonts w:hint="eastAsia" w:ascii="宋体" w:hAnsi="宋体"/>
          <w:color w:val="000000"/>
          <w:sz w:val="24"/>
        </w:rPr>
        <w:t>9.６消防方面补充：</w:t>
      </w:r>
      <w:r>
        <w:rPr>
          <w:rFonts w:hint="eastAsia" w:ascii="宋体" w:hAnsi="宋体"/>
          <w:bCs/>
          <w:color w:val="000000"/>
          <w:sz w:val="24"/>
          <w:szCs w:val="22"/>
        </w:rPr>
        <w:t>消防维保、消防火灾自动报警远程联网监控系统、消防年检由中标人负责。本标项需承担两年的相关费用，前后物业承接查验相互移交相关工作。</w:t>
      </w:r>
      <w:r>
        <w:rPr>
          <w:rFonts w:hint="eastAsia" w:ascii="宋体" w:hAnsi="宋体"/>
          <w:sz w:val="24"/>
        </w:rPr>
        <w:t>因地面沉降导致隐蔽暗装的消防管网漏水破损需要开挖维修的由招标人承担。明装消防管网漏水物业维保维修。消防集中火灾报警控制器设备消防联动控制器等</w:t>
      </w:r>
      <w:r>
        <w:rPr>
          <w:rFonts w:hint="eastAsia" w:ascii="宋体" w:hAnsi="宋体"/>
          <w:color w:val="000000"/>
          <w:sz w:val="24"/>
        </w:rPr>
        <w:t>单个易损配件（不含维修人工）1万元以下的由中标人承担，</w:t>
      </w:r>
      <w:r>
        <w:rPr>
          <w:rFonts w:hint="eastAsia" w:ascii="宋体" w:hAnsi="宋体"/>
          <w:b/>
          <w:color w:val="000000"/>
          <w:sz w:val="24"/>
          <w:szCs w:val="22"/>
        </w:rPr>
        <w:t>单个易损配件1万元以上的由招标人承担。单个易损配件单价由第三方维保单位出具相关证明材料，招标人审核。</w:t>
      </w:r>
      <w:r>
        <w:rPr>
          <w:rFonts w:hint="eastAsia" w:ascii="宋体" w:hAnsi="宋体"/>
          <w:bCs/>
          <w:color w:val="000000"/>
          <w:sz w:val="24"/>
          <w:szCs w:val="22"/>
        </w:rPr>
        <w:t>本次中标人需承担两年的相关费用，接管退出需做好物业承接查验。</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szCs w:val="22"/>
        </w:rPr>
        <w:t>9.７</w:t>
      </w:r>
      <w:r>
        <w:rPr>
          <w:rFonts w:hint="eastAsia" w:ascii="宋体" w:hAnsi="宋体"/>
          <w:color w:val="000000"/>
          <w:sz w:val="24"/>
        </w:rPr>
        <w:t>共用能耗费-电费：</w:t>
      </w:r>
      <w:r>
        <w:rPr>
          <w:rFonts w:hint="eastAsia" w:ascii="宋体" w:hAnsi="宋体"/>
          <w:color w:val="000000"/>
          <w:sz w:val="24"/>
          <w:szCs w:val="22"/>
        </w:rPr>
        <w:t>招标人承担包括区间道路及景观照明、单元门对讲主机电费、地下室排水及消防水泵电费、地下停车场照明电费、消监控中心及其他消防设施电费等。住宅公共楼道照明电费后期政府将安装公共用电分配器，产生的电费由居民均摊，室内楼道灯开关、线、灯泡移交中标人管理和维修。中标人办公、日常管理需要、门岗等电费由前、后物业交接，费用由前、后物业承担。</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rPr>
        <w:t>9.８</w:t>
      </w:r>
      <w:r>
        <w:rPr>
          <w:rFonts w:hint="eastAsia" w:ascii="宋体" w:hAnsi="宋体"/>
          <w:color w:val="000000"/>
          <w:sz w:val="24"/>
          <w:szCs w:val="22"/>
        </w:rPr>
        <w:t>水费：1)、目前已经过户到现有物业的水表由前后物业办理交接过户手续，相关费用由前后物业承担。2）、各消防水表、二次供水补充水箱水表过户到中标人名下。因沉降导致管网断裂导致产生水费由招标人负责，中标人需及时发现并报告。</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szCs w:val="22"/>
        </w:rPr>
        <w:t>9.９空置房或住户刚拿钥匙产生水费、电费的，由招标人承担，但已经移交的空置房需由物业按照上面房屋管理的要求执行</w:t>
      </w:r>
      <w:r>
        <w:rPr>
          <w:rFonts w:hint="eastAsia" w:ascii="宋体" w:hAnsi="宋体"/>
          <w:color w:val="000000"/>
          <w:sz w:val="24"/>
        </w:rPr>
        <w:t>。</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szCs w:val="22"/>
        </w:rPr>
        <w:t>9.10</w:t>
      </w:r>
      <w:r>
        <w:rPr>
          <w:rFonts w:hint="eastAsia" w:ascii="宋体" w:hAnsi="宋体"/>
          <w:color w:val="000000"/>
          <w:sz w:val="24"/>
        </w:rPr>
        <w:t>物业服务费的开票税金由中标人（物业公司）承担</w:t>
      </w:r>
      <w:r>
        <w:rPr>
          <w:rFonts w:hint="eastAsia" w:ascii="宋体" w:hAnsi="宋体"/>
          <w:color w:val="000000"/>
          <w:sz w:val="24"/>
          <w:szCs w:val="22"/>
        </w:rPr>
        <w:t>。</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szCs w:val="22"/>
        </w:rPr>
        <w:t>9.11</w:t>
      </w:r>
      <w:r>
        <w:rPr>
          <w:rFonts w:hint="eastAsia" w:ascii="宋体" w:hAnsi="宋体"/>
          <w:color w:val="000000"/>
          <w:sz w:val="24"/>
        </w:rPr>
        <w:t>本次招标费用中已经包括全部费用，管理过程中出现入住率增加等情况的，也不再增加任何费用。物业考核</w:t>
      </w:r>
      <w:r>
        <w:rPr>
          <w:rFonts w:ascii="宋体" w:hAnsi="宋体"/>
          <w:color w:val="000000"/>
          <w:sz w:val="24"/>
        </w:rPr>
        <w:t>根据《湖州市人民政府关于湖州市中心城市精细化管理的实施意见》</w:t>
      </w:r>
      <w:r>
        <w:rPr>
          <w:rFonts w:hint="eastAsia" w:ascii="宋体" w:hAnsi="宋体"/>
          <w:color w:val="000000"/>
          <w:sz w:val="24"/>
        </w:rPr>
        <w:t>、《吴兴区物业服务企业监督考核办法》、参</w:t>
      </w:r>
      <w:r>
        <w:rPr>
          <w:rFonts w:hint="eastAsia" w:ascii="宋体" w:hAnsi="宋体"/>
          <w:color w:val="000000"/>
          <w:sz w:val="24"/>
          <w:szCs w:val="22"/>
        </w:rPr>
        <w:t>照招标人《八里店镇北片安置小区物业管理考核办法[2022年版（试行）]》等文件和考核要求执行，中标人根据招标人中的要求如出现增加费用的，费用由中标人承担。</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szCs w:val="22"/>
        </w:rPr>
        <w:t>9.12中标人（物业公司）入驻小区后需开展日常的 “</w:t>
      </w:r>
      <w:r>
        <w:rPr>
          <w:rFonts w:hint="eastAsia" w:ascii="宋体" w:hAnsi="宋体"/>
          <w:color w:val="000000"/>
          <w:sz w:val="24"/>
        </w:rPr>
        <w:t>八乱”（乱设摊、乱挂晒、乱张贴、乱堆放、乱搭建、乱种养、乱停车、乱排放）整治工作，建立长效机制。</w:t>
      </w:r>
    </w:p>
    <w:p>
      <w:pPr>
        <w:spacing w:line="360" w:lineRule="auto"/>
        <w:ind w:firstLine="480" w:firstLineChars="200"/>
        <w:jc w:val="left"/>
        <w:rPr>
          <w:rFonts w:ascii="宋体" w:hAnsi="宋体"/>
          <w:color w:val="000000"/>
          <w:sz w:val="24"/>
          <w:szCs w:val="22"/>
        </w:rPr>
      </w:pPr>
      <w:r>
        <w:rPr>
          <w:rFonts w:hint="eastAsia" w:ascii="宋体" w:hAnsi="宋体"/>
          <w:color w:val="000000"/>
          <w:sz w:val="24"/>
          <w:szCs w:val="22"/>
        </w:rPr>
        <w:t>9.13投标文件中标明的项目经理和专业技术人员（含工程、管理、消防等）必须与派驻本标项的现场管理人员（包括项目经理和专业技术人员）一致。投标拟任项目经理必须在本项目服务二年，</w:t>
      </w:r>
      <w:r>
        <w:rPr>
          <w:rFonts w:hint="eastAsia" w:ascii="宋体" w:hAnsi="宋体"/>
          <w:color w:val="000000"/>
          <w:sz w:val="24"/>
        </w:rPr>
        <w:t>专业技术人员至少在本项目服务一年以上，中标人不按要求派驻拟任项目经理（现场负责人）或者进驻管理后随意更换项目经理（现场负责人），招标人</w:t>
      </w:r>
      <w:r>
        <w:rPr>
          <w:rFonts w:hint="eastAsia"/>
          <w:color w:val="000000"/>
          <w:sz w:val="24"/>
        </w:rPr>
        <w:t>有权取消中标资格、扣除全部履约保证金，并报区财政局、住建等部门，纳入信用评价体系</w:t>
      </w:r>
      <w:r>
        <w:rPr>
          <w:rFonts w:hint="eastAsia"/>
          <w:color w:val="000000"/>
          <w:sz w:val="24"/>
          <w:szCs w:val="22"/>
        </w:rPr>
        <w:t>。</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rPr>
        <w:t>9.14在现场管理中，存在以下严重违反物业招标文件要求的情况，招标人有权废除中标人中标资格，按中标人违约解除合同扣除全部履约保证金，纳入诚信：</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rPr>
        <w:t>（1）考核中发现物业服务人数少于投标文件规定人员总数8人及以上；</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rPr>
        <w:t>（2）不按招投标要求派驻拟任项目经理或者进驻管理后随意更换项目经理，专业技术人员设置或更换时未按照招标文件规定的岗位设置条件；</w:t>
      </w:r>
    </w:p>
    <w:p>
      <w:pPr>
        <w:tabs>
          <w:tab w:val="left" w:pos="6540"/>
        </w:tabs>
        <w:spacing w:line="360" w:lineRule="auto"/>
        <w:ind w:firstLine="480" w:firstLineChars="200"/>
        <w:rPr>
          <w:rFonts w:ascii="宋体" w:hAnsi="宋体"/>
          <w:color w:val="000000"/>
          <w:sz w:val="24"/>
        </w:rPr>
      </w:pPr>
      <w:r>
        <w:rPr>
          <w:rFonts w:hint="eastAsia" w:ascii="宋体" w:hAnsi="宋体"/>
          <w:color w:val="000000"/>
          <w:sz w:val="24"/>
        </w:rPr>
        <w:t>（3）物业服务质量出现严重偏差，经招标人书面警告后仍未整改到位的；</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szCs w:val="22"/>
        </w:rPr>
        <w:t>（4）发现中标人出现转包和分包、借资质操作、转卖项目等情况。</w:t>
      </w:r>
    </w:p>
    <w:p>
      <w:pPr>
        <w:tabs>
          <w:tab w:val="left" w:pos="6540"/>
        </w:tabs>
        <w:spacing w:line="360" w:lineRule="auto"/>
        <w:ind w:firstLine="480" w:firstLineChars="200"/>
        <w:rPr>
          <w:rFonts w:ascii="宋体" w:hAnsi="宋体"/>
          <w:sz w:val="24"/>
          <w:szCs w:val="22"/>
        </w:rPr>
      </w:pPr>
      <w:r>
        <w:rPr>
          <w:rFonts w:hint="eastAsia" w:ascii="宋体" w:hAnsi="宋体"/>
          <w:sz w:val="24"/>
          <w:szCs w:val="22"/>
        </w:rPr>
        <w:t>9.15投标人应根据国家、省市的有关法律、法规，对本项目实施统一管理，综合服务，对项目可自行前往认真考察，中标后自主经营，自负盈亏。</w:t>
      </w:r>
    </w:p>
    <w:p>
      <w:pPr>
        <w:tabs>
          <w:tab w:val="left" w:pos="6540"/>
        </w:tabs>
        <w:spacing w:line="360" w:lineRule="auto"/>
        <w:ind w:firstLine="480" w:firstLineChars="200"/>
        <w:rPr>
          <w:rFonts w:ascii="宋体" w:hAnsi="宋体"/>
          <w:sz w:val="24"/>
          <w:szCs w:val="22"/>
        </w:rPr>
      </w:pPr>
      <w:r>
        <w:rPr>
          <w:rFonts w:hint="eastAsia" w:ascii="宋体" w:hAnsi="宋体"/>
          <w:sz w:val="24"/>
          <w:szCs w:val="22"/>
        </w:rPr>
        <w:t>9.16本项目目前暂不需要向居民收取物业费和装修垃圾清运费，也没有房屋维修基金，物业费由招标人</w:t>
      </w:r>
      <w:r>
        <w:rPr>
          <w:rFonts w:hint="eastAsia" w:ascii="宋体" w:hAnsi="宋体"/>
          <w:sz w:val="24"/>
          <w:szCs w:val="22"/>
          <w:highlight w:val="yellow"/>
        </w:rPr>
        <w:t>根据中标价每月经考核后按季度支付给中标人（物业公司）</w:t>
      </w:r>
      <w:r>
        <w:rPr>
          <w:rFonts w:hint="eastAsia" w:ascii="宋体" w:hAnsi="宋体"/>
          <w:sz w:val="24"/>
          <w:szCs w:val="22"/>
        </w:rPr>
        <w:t>，但后期招标人会要求中标人向商铺及住户收取物业费及停车费，中标人需落实人员落实具体工作，具体按后期要求执行。</w:t>
      </w:r>
    </w:p>
    <w:p>
      <w:pPr>
        <w:tabs>
          <w:tab w:val="left" w:pos="6540"/>
        </w:tabs>
        <w:spacing w:line="360" w:lineRule="auto"/>
        <w:ind w:firstLine="480" w:firstLineChars="200"/>
        <w:rPr>
          <w:rFonts w:ascii="宋体" w:hAnsi="宋体"/>
          <w:color w:val="000000"/>
          <w:sz w:val="24"/>
          <w:szCs w:val="22"/>
        </w:rPr>
      </w:pPr>
      <w:r>
        <w:rPr>
          <w:rFonts w:hint="eastAsia" w:ascii="宋体" w:hAnsi="宋体"/>
          <w:color w:val="000000"/>
          <w:sz w:val="24"/>
          <w:szCs w:val="22"/>
        </w:rPr>
        <w:t>9.18中标人还需积极完成招标人和片区、村、社区开展小区其它日常管理工作。</w:t>
      </w:r>
    </w:p>
    <w:p>
      <w:pPr>
        <w:spacing w:line="46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10、岗位、人员设置要求</w:t>
      </w:r>
    </w:p>
    <w:p>
      <w:pPr>
        <w:spacing w:line="460" w:lineRule="exact"/>
        <w:ind w:firstLine="482" w:firstLineChars="200"/>
        <w:jc w:val="left"/>
        <w:rPr>
          <w:rFonts w:ascii="宋体" w:hAnsi="宋体"/>
          <w:color w:val="FF0000"/>
          <w:sz w:val="24"/>
          <w:highlight w:val="yellow"/>
        </w:rPr>
      </w:pPr>
      <w:r>
        <w:rPr>
          <w:rFonts w:hint="eastAsia" w:ascii="宋体" w:hAnsi="宋体"/>
          <w:b/>
          <w:color w:val="000000" w:themeColor="text1"/>
          <w:sz w:val="24"/>
          <w14:textFill>
            <w14:solidFill>
              <w14:schemeClr w14:val="tx1"/>
            </w14:solidFill>
          </w14:textFill>
        </w:rPr>
        <w:t>10.1</w:t>
      </w:r>
      <w:r>
        <w:rPr>
          <w:rFonts w:hint="eastAsia" w:ascii="仿宋" w:hAnsi="仿宋" w:eastAsia="仿宋" w:cs="仿宋"/>
          <w:b/>
          <w:sz w:val="24"/>
          <w:szCs w:val="24"/>
        </w:rPr>
        <w:t>项目经理1人。项目经理要求：具有良好的专业素质、类似项目管理经验。具有5年及以上从业经验，须提供本单位1年以上的社保证明、劳动合同及类似住宅类项目的从业经验。</w:t>
      </w:r>
      <w:r>
        <w:rPr>
          <w:rFonts w:hint="eastAsia" w:ascii="仿宋" w:hAnsi="仿宋" w:eastAsia="仿宋" w:cs="仿宋"/>
          <w:sz w:val="24"/>
          <w:szCs w:val="24"/>
        </w:rPr>
        <w:t>项目经理必须参与本项目日常、突发等各项管理工作，且每月至少25天在本标项在岗在勤，日在岗时间不得少于8小时（8：00—12:00，13:00—17:00）。</w:t>
      </w:r>
    </w:p>
    <w:p>
      <w:pPr>
        <w:spacing w:line="460" w:lineRule="exact"/>
        <w:ind w:firstLine="482" w:firstLineChars="200"/>
        <w:jc w:val="left"/>
        <w:rPr>
          <w:rFonts w:ascii="仿宋" w:hAnsi="仿宋" w:eastAsia="仿宋" w:cs="仿宋"/>
          <w:b/>
          <w:sz w:val="24"/>
          <w:szCs w:val="24"/>
        </w:rPr>
      </w:pPr>
      <w:r>
        <w:rPr>
          <w:rFonts w:hint="eastAsia" w:ascii="宋体" w:hAnsi="宋体"/>
          <w:b/>
          <w:color w:val="000000" w:themeColor="text1"/>
          <w:sz w:val="24"/>
          <w14:textFill>
            <w14:solidFill>
              <w14:schemeClr w14:val="tx1"/>
            </w14:solidFill>
          </w14:textFill>
        </w:rPr>
        <w:t>10.2</w:t>
      </w:r>
      <w:r>
        <w:rPr>
          <w:rFonts w:hint="eastAsia" w:ascii="仿宋" w:hAnsi="仿宋" w:eastAsia="仿宋" w:cs="仿宋"/>
          <w:b/>
          <w:sz w:val="24"/>
          <w:szCs w:val="24"/>
        </w:rPr>
        <w:t>“普通人员”配备不得低于44人：秩序人员（保安）不得低于18人（含消控室持证人员），其中门岗和消控室值班人员可安排10人，其余8人对小区开展车辆管理、秩序巡查、消防月检、八乱整治、机动突击等工作。保洁人员不得低于20人，垃圾清运员、高压配电工、电梯安全管理员由中标方自行调配，因实际管理中涉及八乱集中整治、房屋三清整治、临时突发事件处理等情况可由中标方自行调配相关人员。中标方因管理需要可适当增加岗位人员，</w:t>
      </w:r>
      <w:r>
        <w:rPr>
          <w:rFonts w:hint="eastAsia" w:ascii="仿宋" w:hAnsi="仿宋" w:eastAsia="仿宋" w:cs="仿宋"/>
          <w:sz w:val="24"/>
          <w:szCs w:val="24"/>
        </w:rPr>
        <w:t>如“普通人员”（含保洁、保安等）离职，中标人须在一个月内补齐空缺人员。秩序人员要求:原则上平均年龄不得超过65周岁，</w:t>
      </w:r>
      <w:r>
        <w:rPr>
          <w:rFonts w:hint="eastAsia" w:ascii="仿宋" w:hAnsi="仿宋" w:eastAsia="仿宋" w:cs="仿宋"/>
          <w:b/>
          <w:sz w:val="24"/>
          <w:szCs w:val="24"/>
          <w:highlight w:val="yellow"/>
        </w:rPr>
        <w:t>其中门岗人员不得超过55周岁。</w:t>
      </w:r>
    </w:p>
    <w:p>
      <w:pPr>
        <w:spacing w:line="460" w:lineRule="exact"/>
        <w:ind w:firstLine="482" w:firstLineChars="200"/>
        <w:jc w:val="left"/>
        <w:rPr>
          <w:rFonts w:ascii="微软雅黑" w:hAnsi="微软雅黑" w:eastAsia="微软雅黑" w:cs="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11、费用说明</w:t>
      </w:r>
    </w:p>
    <w:p>
      <w:pPr>
        <w:spacing w:line="460" w:lineRule="exact"/>
        <w:ind w:firstLine="482" w:firstLineChars="200"/>
        <w:jc w:val="left"/>
        <w:rPr>
          <w:sz w:val="24"/>
        </w:rPr>
      </w:pPr>
      <w:r>
        <w:rPr>
          <w:rFonts w:hint="eastAsia" w:ascii="宋体" w:hAnsi="宋体"/>
          <w:b/>
          <w:color w:val="000000" w:themeColor="text1"/>
          <w:sz w:val="24"/>
          <w14:textFill>
            <w14:solidFill>
              <w14:schemeClr w14:val="tx1"/>
            </w14:solidFill>
          </w14:textFill>
        </w:rPr>
        <w:t>服务支出包括以下</w:t>
      </w:r>
      <w:r>
        <w:rPr>
          <w:rFonts w:hint="eastAsia"/>
          <w:sz w:val="24"/>
        </w:rPr>
        <w:t>部分： 服务人员的岗位基本工资（必须满足招标文件规定的要求）、按国家规定缴纳的各类保险、法定节假日加班费、休息日加班费、临时加班费、管理费用、税费、企业固定资产折旧费、企业提取的费用、所有保洁材料及易耗品费用、保洁工具、福利费、培训费、房租费、服装费、夜班费、过节费、先进奖励费、高温费、劳保费、员工健康体检费、合同期限内工作量增加、机动人员的一切费用、离职补偿金费用等</w:t>
      </w:r>
      <w:r>
        <w:rPr>
          <w:rFonts w:hint="eastAsia"/>
          <w:b/>
          <w:sz w:val="24"/>
        </w:rPr>
        <w:t>，本次招标已包含合同期内浙江省及湖州市最低员工工资及各类保险增幅因素</w:t>
      </w:r>
      <w:r>
        <w:rPr>
          <w:rFonts w:hint="eastAsia"/>
          <w:sz w:val="24"/>
        </w:rPr>
        <w:t>。</w:t>
      </w:r>
    </w:p>
    <w:p>
      <w:pPr>
        <w:pStyle w:val="12"/>
        <w:spacing w:line="360" w:lineRule="auto"/>
        <w:ind w:firstLine="480" w:firstLineChars="200"/>
        <w:rPr>
          <w:rFonts w:ascii="仿宋" w:hAnsi="仿宋" w:eastAsia="仿宋" w:cs="仿宋"/>
          <w:sz w:val="24"/>
          <w:szCs w:val="24"/>
        </w:rPr>
      </w:pPr>
    </w:p>
    <w:p/>
    <w:p>
      <w:pPr>
        <w:pStyle w:val="49"/>
        <w:snapToGrid w:val="0"/>
        <w:spacing w:line="360" w:lineRule="auto"/>
        <w:ind w:left="1200" w:hanging="1200" w:hangingChars="500"/>
        <w:jc w:val="center"/>
        <w:rPr>
          <w:rFonts w:ascii="仿宋" w:hAnsi="仿宋" w:eastAsia="仿宋" w:cs="仿宋"/>
          <w:szCs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19</w:t>
                    </w:r>
                    <w:r>
                      <w:fldChar w:fldCharType="end"/>
                    </w:r>
                  </w:p>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28"/>
      </w:rPr>
    </w:pPr>
    <w:r>
      <w:fldChar w:fldCharType="begin"/>
    </w:r>
    <w:r>
      <w:rPr>
        <w:rStyle w:val="28"/>
      </w:rPr>
      <w:instrText xml:space="preserve">PAGE  </w:instrText>
    </w:r>
    <w:r>
      <w:fldChar w:fldCharType="separate"/>
    </w:r>
    <w:r>
      <w:rPr>
        <w:rStyle w:val="28"/>
      </w:rPr>
      <w:t>1</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18</w:t>
                    </w:r>
                    <w:r>
                      <w:fldChar w:fldCharType="end"/>
                    </w:r>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1"/>
      </w:pBdr>
      <w:jc w:val="both"/>
      <w:rPr>
        <w:rFonts w:ascii="仿宋" w:hAnsi="仿宋" w:eastAsia="仿宋" w:cs="仿宋"/>
        <w:bCs/>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AEF28"/>
    <w:multiLevelType w:val="singleLevel"/>
    <w:tmpl w:val="8FDAEF28"/>
    <w:lvl w:ilvl="0" w:tentative="0">
      <w:start w:val="8"/>
      <w:numFmt w:val="decimal"/>
      <w:suff w:val="space"/>
      <w:lvlText w:val="%1."/>
      <w:lvlJc w:val="left"/>
    </w:lvl>
  </w:abstractNum>
  <w:abstractNum w:abstractNumId="1">
    <w:nsid w:val="A09AB621"/>
    <w:multiLevelType w:val="singleLevel"/>
    <w:tmpl w:val="A09AB621"/>
    <w:lvl w:ilvl="0" w:tentative="0">
      <w:start w:val="1"/>
      <w:numFmt w:val="decimal"/>
      <w:suff w:val="space"/>
      <w:lvlText w:val="%1."/>
      <w:lvlJc w:val="left"/>
    </w:lvl>
  </w:abstractNum>
  <w:abstractNum w:abstractNumId="2">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42"/>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jY4NmJiZTYyZWVhYTc3NjYwY2M0YzEyNzJhMzMifQ=="/>
  </w:docVars>
  <w:rsids>
    <w:rsidRoot w:val="006D4B80"/>
    <w:rsid w:val="00000427"/>
    <w:rsid w:val="00061A35"/>
    <w:rsid w:val="00061F57"/>
    <w:rsid w:val="00072547"/>
    <w:rsid w:val="00075D83"/>
    <w:rsid w:val="00095AF2"/>
    <w:rsid w:val="000C32F9"/>
    <w:rsid w:val="000D3A88"/>
    <w:rsid w:val="000D726F"/>
    <w:rsid w:val="000E0B3A"/>
    <w:rsid w:val="000E658E"/>
    <w:rsid w:val="000E7826"/>
    <w:rsid w:val="000F37C8"/>
    <w:rsid w:val="001064DE"/>
    <w:rsid w:val="00110A9D"/>
    <w:rsid w:val="001340B2"/>
    <w:rsid w:val="001407FC"/>
    <w:rsid w:val="0014413C"/>
    <w:rsid w:val="00164028"/>
    <w:rsid w:val="001913A8"/>
    <w:rsid w:val="00191ACA"/>
    <w:rsid w:val="00196F04"/>
    <w:rsid w:val="001A12FF"/>
    <w:rsid w:val="001B205E"/>
    <w:rsid w:val="001D5AFB"/>
    <w:rsid w:val="001E25AC"/>
    <w:rsid w:val="001E51E3"/>
    <w:rsid w:val="001F709B"/>
    <w:rsid w:val="00211BC0"/>
    <w:rsid w:val="002346CB"/>
    <w:rsid w:val="0025333E"/>
    <w:rsid w:val="00262300"/>
    <w:rsid w:val="00274648"/>
    <w:rsid w:val="00280986"/>
    <w:rsid w:val="002850B8"/>
    <w:rsid w:val="00286B54"/>
    <w:rsid w:val="002932D8"/>
    <w:rsid w:val="002A2750"/>
    <w:rsid w:val="002B2E1B"/>
    <w:rsid w:val="002B4194"/>
    <w:rsid w:val="002D6961"/>
    <w:rsid w:val="002E01C1"/>
    <w:rsid w:val="003148DF"/>
    <w:rsid w:val="00321FEE"/>
    <w:rsid w:val="00323B32"/>
    <w:rsid w:val="00327271"/>
    <w:rsid w:val="00343E28"/>
    <w:rsid w:val="003542FF"/>
    <w:rsid w:val="003543A5"/>
    <w:rsid w:val="003717A0"/>
    <w:rsid w:val="00391E6E"/>
    <w:rsid w:val="003A31B2"/>
    <w:rsid w:val="003A3C05"/>
    <w:rsid w:val="003D70EB"/>
    <w:rsid w:val="003E5BCF"/>
    <w:rsid w:val="003F61F1"/>
    <w:rsid w:val="00402D68"/>
    <w:rsid w:val="004358C0"/>
    <w:rsid w:val="004612D1"/>
    <w:rsid w:val="00484419"/>
    <w:rsid w:val="004933DA"/>
    <w:rsid w:val="004A5E31"/>
    <w:rsid w:val="004E1113"/>
    <w:rsid w:val="005574E3"/>
    <w:rsid w:val="00567A5B"/>
    <w:rsid w:val="005968AC"/>
    <w:rsid w:val="005A3794"/>
    <w:rsid w:val="005B2C25"/>
    <w:rsid w:val="005D0D99"/>
    <w:rsid w:val="005F3B89"/>
    <w:rsid w:val="0060221A"/>
    <w:rsid w:val="00610046"/>
    <w:rsid w:val="006152D0"/>
    <w:rsid w:val="00617197"/>
    <w:rsid w:val="00617DA2"/>
    <w:rsid w:val="00683951"/>
    <w:rsid w:val="006953A1"/>
    <w:rsid w:val="006A4082"/>
    <w:rsid w:val="006A4729"/>
    <w:rsid w:val="006C641B"/>
    <w:rsid w:val="006D4B80"/>
    <w:rsid w:val="006E78F0"/>
    <w:rsid w:val="0071431E"/>
    <w:rsid w:val="00717F99"/>
    <w:rsid w:val="00761251"/>
    <w:rsid w:val="0079655F"/>
    <w:rsid w:val="007F77D2"/>
    <w:rsid w:val="00817AA3"/>
    <w:rsid w:val="00821BBF"/>
    <w:rsid w:val="00824D8A"/>
    <w:rsid w:val="008277B9"/>
    <w:rsid w:val="00872B98"/>
    <w:rsid w:val="00885B56"/>
    <w:rsid w:val="00887FA9"/>
    <w:rsid w:val="00896282"/>
    <w:rsid w:val="008A4328"/>
    <w:rsid w:val="008B4BC5"/>
    <w:rsid w:val="008C3356"/>
    <w:rsid w:val="008D4ED5"/>
    <w:rsid w:val="008E08C7"/>
    <w:rsid w:val="008E1939"/>
    <w:rsid w:val="008F5F5B"/>
    <w:rsid w:val="00910DA4"/>
    <w:rsid w:val="0094178F"/>
    <w:rsid w:val="00944699"/>
    <w:rsid w:val="00957635"/>
    <w:rsid w:val="00963DD6"/>
    <w:rsid w:val="0098338B"/>
    <w:rsid w:val="00991CDC"/>
    <w:rsid w:val="009A2E32"/>
    <w:rsid w:val="009A745E"/>
    <w:rsid w:val="009B2752"/>
    <w:rsid w:val="009B380F"/>
    <w:rsid w:val="009C6EB8"/>
    <w:rsid w:val="009C739E"/>
    <w:rsid w:val="009D6420"/>
    <w:rsid w:val="009E6205"/>
    <w:rsid w:val="00A04537"/>
    <w:rsid w:val="00A17A1B"/>
    <w:rsid w:val="00A71E58"/>
    <w:rsid w:val="00A84B5D"/>
    <w:rsid w:val="00A856B4"/>
    <w:rsid w:val="00A9238F"/>
    <w:rsid w:val="00A9519C"/>
    <w:rsid w:val="00A95629"/>
    <w:rsid w:val="00AA671A"/>
    <w:rsid w:val="00AB0A4A"/>
    <w:rsid w:val="00AB4E1C"/>
    <w:rsid w:val="00AB606D"/>
    <w:rsid w:val="00AC7570"/>
    <w:rsid w:val="00AD4DC4"/>
    <w:rsid w:val="00AD58C7"/>
    <w:rsid w:val="00B15014"/>
    <w:rsid w:val="00B2174E"/>
    <w:rsid w:val="00B22CB5"/>
    <w:rsid w:val="00B24051"/>
    <w:rsid w:val="00B26698"/>
    <w:rsid w:val="00B30907"/>
    <w:rsid w:val="00B3349D"/>
    <w:rsid w:val="00B44301"/>
    <w:rsid w:val="00B562A7"/>
    <w:rsid w:val="00B67DB2"/>
    <w:rsid w:val="00B9010C"/>
    <w:rsid w:val="00BA2DF3"/>
    <w:rsid w:val="00BB255F"/>
    <w:rsid w:val="00BC5CA9"/>
    <w:rsid w:val="00BC6548"/>
    <w:rsid w:val="00BD2B7B"/>
    <w:rsid w:val="00BE6391"/>
    <w:rsid w:val="00BE7646"/>
    <w:rsid w:val="00BE7CE6"/>
    <w:rsid w:val="00C02C47"/>
    <w:rsid w:val="00C03E9C"/>
    <w:rsid w:val="00C257A7"/>
    <w:rsid w:val="00C42C1C"/>
    <w:rsid w:val="00C71592"/>
    <w:rsid w:val="00C74D8A"/>
    <w:rsid w:val="00C9045D"/>
    <w:rsid w:val="00CB1392"/>
    <w:rsid w:val="00CB25D9"/>
    <w:rsid w:val="00CB2C13"/>
    <w:rsid w:val="00CC4D72"/>
    <w:rsid w:val="00CD67F3"/>
    <w:rsid w:val="00D10FB2"/>
    <w:rsid w:val="00D25472"/>
    <w:rsid w:val="00D36168"/>
    <w:rsid w:val="00D53704"/>
    <w:rsid w:val="00D66851"/>
    <w:rsid w:val="00DD63CD"/>
    <w:rsid w:val="00DE1243"/>
    <w:rsid w:val="00DE24EB"/>
    <w:rsid w:val="00DE2E16"/>
    <w:rsid w:val="00DE7C30"/>
    <w:rsid w:val="00DF4F54"/>
    <w:rsid w:val="00E00788"/>
    <w:rsid w:val="00E01DB4"/>
    <w:rsid w:val="00E21E27"/>
    <w:rsid w:val="00E2275C"/>
    <w:rsid w:val="00E35505"/>
    <w:rsid w:val="00E534AD"/>
    <w:rsid w:val="00E62F33"/>
    <w:rsid w:val="00E732F2"/>
    <w:rsid w:val="00E77C02"/>
    <w:rsid w:val="00E807D7"/>
    <w:rsid w:val="00E826FB"/>
    <w:rsid w:val="00E939B0"/>
    <w:rsid w:val="00EA189E"/>
    <w:rsid w:val="00EA4042"/>
    <w:rsid w:val="00EA720B"/>
    <w:rsid w:val="00EB74FB"/>
    <w:rsid w:val="00EC1F15"/>
    <w:rsid w:val="00EF3EAF"/>
    <w:rsid w:val="00F156DA"/>
    <w:rsid w:val="00F21F56"/>
    <w:rsid w:val="00F524A4"/>
    <w:rsid w:val="00F7523B"/>
    <w:rsid w:val="00F763E0"/>
    <w:rsid w:val="00F8154E"/>
    <w:rsid w:val="00FB46B5"/>
    <w:rsid w:val="00FC2090"/>
    <w:rsid w:val="00FE04F1"/>
    <w:rsid w:val="00FF01C3"/>
    <w:rsid w:val="00FF14DA"/>
    <w:rsid w:val="00FF4934"/>
    <w:rsid w:val="0125097F"/>
    <w:rsid w:val="018D27B1"/>
    <w:rsid w:val="01AF5D8F"/>
    <w:rsid w:val="031D34E4"/>
    <w:rsid w:val="033B405E"/>
    <w:rsid w:val="057B348C"/>
    <w:rsid w:val="069566F1"/>
    <w:rsid w:val="07DF489B"/>
    <w:rsid w:val="07F910B5"/>
    <w:rsid w:val="083C2F89"/>
    <w:rsid w:val="097A2336"/>
    <w:rsid w:val="09AC2A1C"/>
    <w:rsid w:val="09E706DF"/>
    <w:rsid w:val="0A40121D"/>
    <w:rsid w:val="0B3A0F42"/>
    <w:rsid w:val="0DC826EE"/>
    <w:rsid w:val="0DD539C0"/>
    <w:rsid w:val="0E2B422E"/>
    <w:rsid w:val="0F0E4D73"/>
    <w:rsid w:val="0FB12275"/>
    <w:rsid w:val="119C379E"/>
    <w:rsid w:val="13581482"/>
    <w:rsid w:val="13B6264E"/>
    <w:rsid w:val="13C7475D"/>
    <w:rsid w:val="13D63E7F"/>
    <w:rsid w:val="13E92B6B"/>
    <w:rsid w:val="141404FE"/>
    <w:rsid w:val="150E0B17"/>
    <w:rsid w:val="15AD04C1"/>
    <w:rsid w:val="16387760"/>
    <w:rsid w:val="19782991"/>
    <w:rsid w:val="19CB75BC"/>
    <w:rsid w:val="1A727A5B"/>
    <w:rsid w:val="1D554B87"/>
    <w:rsid w:val="1D731D38"/>
    <w:rsid w:val="1E8D6175"/>
    <w:rsid w:val="1EC73863"/>
    <w:rsid w:val="1FC215E2"/>
    <w:rsid w:val="1FE57FB3"/>
    <w:rsid w:val="21803D7A"/>
    <w:rsid w:val="21C73D4C"/>
    <w:rsid w:val="21EF18AC"/>
    <w:rsid w:val="23A93235"/>
    <w:rsid w:val="23DC33F9"/>
    <w:rsid w:val="24865AAB"/>
    <w:rsid w:val="253041C7"/>
    <w:rsid w:val="253A153E"/>
    <w:rsid w:val="27906EE8"/>
    <w:rsid w:val="28885E11"/>
    <w:rsid w:val="29A63F71"/>
    <w:rsid w:val="2A135BAE"/>
    <w:rsid w:val="2B7B1AD7"/>
    <w:rsid w:val="2BBD1786"/>
    <w:rsid w:val="2C0871D2"/>
    <w:rsid w:val="2D7B5F44"/>
    <w:rsid w:val="2E4019AF"/>
    <w:rsid w:val="2E623B5D"/>
    <w:rsid w:val="2EF07543"/>
    <w:rsid w:val="2F227580"/>
    <w:rsid w:val="2F862E57"/>
    <w:rsid w:val="2FFE425D"/>
    <w:rsid w:val="3045693C"/>
    <w:rsid w:val="30AB258F"/>
    <w:rsid w:val="30D61A72"/>
    <w:rsid w:val="326379F2"/>
    <w:rsid w:val="3330751B"/>
    <w:rsid w:val="33A37E73"/>
    <w:rsid w:val="33C3372A"/>
    <w:rsid w:val="34F245AF"/>
    <w:rsid w:val="35E87FBB"/>
    <w:rsid w:val="36C56482"/>
    <w:rsid w:val="37706A34"/>
    <w:rsid w:val="37E048CC"/>
    <w:rsid w:val="380C2C3C"/>
    <w:rsid w:val="381D5F68"/>
    <w:rsid w:val="38483639"/>
    <w:rsid w:val="39253BBD"/>
    <w:rsid w:val="3B201ED9"/>
    <w:rsid w:val="3B3677E5"/>
    <w:rsid w:val="3C323284"/>
    <w:rsid w:val="3C4D6F35"/>
    <w:rsid w:val="3CDB292A"/>
    <w:rsid w:val="3DDE76D1"/>
    <w:rsid w:val="3E417541"/>
    <w:rsid w:val="3E9E7CE5"/>
    <w:rsid w:val="40E52C70"/>
    <w:rsid w:val="410C5FB0"/>
    <w:rsid w:val="42AB0C22"/>
    <w:rsid w:val="42C2301D"/>
    <w:rsid w:val="42CB3072"/>
    <w:rsid w:val="43475E34"/>
    <w:rsid w:val="4602698F"/>
    <w:rsid w:val="470720A1"/>
    <w:rsid w:val="47764B59"/>
    <w:rsid w:val="48B664B0"/>
    <w:rsid w:val="4A1F683C"/>
    <w:rsid w:val="4A694859"/>
    <w:rsid w:val="4A9C7846"/>
    <w:rsid w:val="4B3A3125"/>
    <w:rsid w:val="4B8960FC"/>
    <w:rsid w:val="4BE17463"/>
    <w:rsid w:val="4CA26BF2"/>
    <w:rsid w:val="4DC107F8"/>
    <w:rsid w:val="4E907880"/>
    <w:rsid w:val="4ECF5C98"/>
    <w:rsid w:val="4EEE472C"/>
    <w:rsid w:val="4F4600FE"/>
    <w:rsid w:val="51140DC0"/>
    <w:rsid w:val="51275918"/>
    <w:rsid w:val="5129588B"/>
    <w:rsid w:val="540E121E"/>
    <w:rsid w:val="5552417E"/>
    <w:rsid w:val="55B07EC1"/>
    <w:rsid w:val="55B83F9E"/>
    <w:rsid w:val="577C655F"/>
    <w:rsid w:val="57EE4258"/>
    <w:rsid w:val="586A6E6D"/>
    <w:rsid w:val="59BF683B"/>
    <w:rsid w:val="59F11A76"/>
    <w:rsid w:val="5A7A6AE0"/>
    <w:rsid w:val="5ADF11F4"/>
    <w:rsid w:val="5B00299D"/>
    <w:rsid w:val="5B9777CE"/>
    <w:rsid w:val="5C187142"/>
    <w:rsid w:val="5C6331CF"/>
    <w:rsid w:val="5CEA6117"/>
    <w:rsid w:val="5EE017FC"/>
    <w:rsid w:val="5FBA18BC"/>
    <w:rsid w:val="5FE35463"/>
    <w:rsid w:val="60255718"/>
    <w:rsid w:val="60687CFB"/>
    <w:rsid w:val="60B3203A"/>
    <w:rsid w:val="60ED05CE"/>
    <w:rsid w:val="621709C1"/>
    <w:rsid w:val="62FC74AA"/>
    <w:rsid w:val="633930F6"/>
    <w:rsid w:val="638928BD"/>
    <w:rsid w:val="648D5F82"/>
    <w:rsid w:val="65651C0D"/>
    <w:rsid w:val="67395230"/>
    <w:rsid w:val="67B5231B"/>
    <w:rsid w:val="69536AEF"/>
    <w:rsid w:val="6C455EA6"/>
    <w:rsid w:val="6C8D21B6"/>
    <w:rsid w:val="6C976F8A"/>
    <w:rsid w:val="6DF80E55"/>
    <w:rsid w:val="6E2F6BA4"/>
    <w:rsid w:val="6E5F4E81"/>
    <w:rsid w:val="6F6A1399"/>
    <w:rsid w:val="6FEA24DA"/>
    <w:rsid w:val="6FED5C99"/>
    <w:rsid w:val="70643D59"/>
    <w:rsid w:val="707951B3"/>
    <w:rsid w:val="726109CD"/>
    <w:rsid w:val="726245AA"/>
    <w:rsid w:val="7479207F"/>
    <w:rsid w:val="74B17A6A"/>
    <w:rsid w:val="75182A38"/>
    <w:rsid w:val="75770BF9"/>
    <w:rsid w:val="780438CE"/>
    <w:rsid w:val="78FB12B4"/>
    <w:rsid w:val="79272B38"/>
    <w:rsid w:val="7A4B35FF"/>
    <w:rsid w:val="7A8C7D52"/>
    <w:rsid w:val="7C0D37D8"/>
    <w:rsid w:val="7C4B5B46"/>
    <w:rsid w:val="7D1258E1"/>
    <w:rsid w:val="7D7A197A"/>
    <w:rsid w:val="7DF83876"/>
    <w:rsid w:val="7E5834DC"/>
    <w:rsid w:val="7ED003CF"/>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40" w:after="70"/>
      <w:jc w:val="center"/>
      <w:outlineLvl w:val="1"/>
    </w:pPr>
    <w:rPr>
      <w:b/>
      <w:snapToGrid w:val="0"/>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rPr>
      <w:rFonts w:cs="宋体"/>
    </w:rPr>
  </w:style>
  <w:style w:type="paragraph" w:customStyle="1" w:styleId="3">
    <w:name w:val="Body Text Indent1"/>
    <w:basedOn w:val="1"/>
    <w:next w:val="1"/>
    <w:qFormat/>
    <w:uiPriority w:val="0"/>
    <w:pPr>
      <w:spacing w:after="120"/>
      <w:ind w:left="420" w:leftChars="200"/>
    </w:pPr>
    <w:rPr>
      <w:color w:val="000000"/>
      <w:sz w:val="21"/>
      <w:szCs w:val="21"/>
    </w:rPr>
  </w:style>
  <w:style w:type="paragraph" w:styleId="7">
    <w:name w:val="Normal Indent"/>
    <w:basedOn w:val="1"/>
    <w:next w:val="1"/>
    <w:qFormat/>
    <w:uiPriority w:val="0"/>
    <w:pPr>
      <w:ind w:firstLine="420" w:firstLineChars="200"/>
    </w:pPr>
  </w:style>
  <w:style w:type="paragraph" w:styleId="8">
    <w:name w:val="caption"/>
    <w:basedOn w:val="1"/>
    <w:next w:val="1"/>
    <w:qFormat/>
    <w:uiPriority w:val="0"/>
    <w:rPr>
      <w:rFonts w:ascii="Cambria" w:hAnsi="Cambria" w:eastAsia="黑体"/>
      <w:sz w:val="20"/>
    </w:rPr>
  </w:style>
  <w:style w:type="paragraph" w:styleId="9">
    <w:name w:val="Document Map"/>
    <w:basedOn w:val="1"/>
    <w:qFormat/>
    <w:uiPriority w:val="0"/>
    <w:rPr>
      <w:rFonts w:ascii="宋体"/>
      <w:sz w:val="18"/>
      <w:szCs w:val="18"/>
    </w:rPr>
  </w:style>
  <w:style w:type="paragraph" w:styleId="10">
    <w:name w:val="toa heading"/>
    <w:basedOn w:val="1"/>
    <w:next w:val="1"/>
    <w:qFormat/>
    <w:uiPriority w:val="0"/>
    <w:pPr>
      <w:spacing w:before="120"/>
    </w:pPr>
    <w:rPr>
      <w:rFonts w:ascii="Arial" w:hAnsi="Arial"/>
      <w:sz w:val="24"/>
    </w:rPr>
  </w:style>
  <w:style w:type="paragraph" w:styleId="11">
    <w:name w:val="Body Text 3"/>
    <w:basedOn w:val="1"/>
    <w:qFormat/>
    <w:uiPriority w:val="0"/>
    <w:rPr>
      <w:rFonts w:ascii="宋体"/>
      <w:sz w:val="24"/>
    </w:rPr>
  </w:style>
  <w:style w:type="paragraph" w:styleId="12">
    <w:name w:val="Body Text"/>
    <w:basedOn w:val="1"/>
    <w:next w:val="13"/>
    <w:qFormat/>
    <w:uiPriority w:val="0"/>
    <w:pPr>
      <w:spacing w:after="120"/>
    </w:pPr>
  </w:style>
  <w:style w:type="paragraph" w:styleId="13">
    <w:name w:val="Body Text First Indent"/>
    <w:basedOn w:val="12"/>
    <w:next w:val="1"/>
    <w:qFormat/>
    <w:uiPriority w:val="0"/>
    <w:pPr>
      <w:ind w:firstLine="420" w:firstLineChars="100"/>
    </w:pPr>
  </w:style>
  <w:style w:type="paragraph" w:styleId="14">
    <w:name w:val="Body Text Indent"/>
    <w:basedOn w:val="1"/>
    <w:next w:val="1"/>
    <w:link w:val="56"/>
    <w:qFormat/>
    <w:uiPriority w:val="0"/>
    <w:pPr>
      <w:spacing w:after="120"/>
      <w:ind w:left="420" w:leftChars="200"/>
    </w:pPr>
  </w:style>
  <w:style w:type="paragraph" w:styleId="15">
    <w:name w:val="toc 3"/>
    <w:basedOn w:val="1"/>
    <w:next w:val="1"/>
    <w:semiHidden/>
    <w:unhideWhenUsed/>
    <w:qFormat/>
    <w:uiPriority w:val="0"/>
    <w:pPr>
      <w:ind w:left="840" w:leftChars="400"/>
    </w:pPr>
  </w:style>
  <w:style w:type="paragraph" w:styleId="16">
    <w:name w:val="Plain Text"/>
    <w:basedOn w:val="1"/>
    <w:qFormat/>
    <w:uiPriority w:val="0"/>
    <w:pPr>
      <w:autoSpaceDE/>
      <w:autoSpaceDN/>
      <w:adjustRightInd/>
      <w:textAlignment w:val="auto"/>
    </w:pPr>
    <w:rPr>
      <w:rFonts w:ascii="宋体" w:hAnsi="Courier New"/>
      <w:kern w:val="2"/>
      <w:sz w:val="21"/>
    </w:rPr>
  </w:style>
  <w:style w:type="paragraph" w:styleId="17">
    <w:name w:val="Date"/>
    <w:basedOn w:val="1"/>
    <w:next w:val="1"/>
    <w:link w:val="53"/>
    <w:unhideWhenUsed/>
    <w:qFormat/>
    <w:uiPriority w:val="0"/>
    <w:pPr>
      <w:autoSpaceDE/>
      <w:autoSpaceDN/>
      <w:adjustRightInd/>
      <w:ind w:left="100" w:leftChars="2500"/>
      <w:textAlignment w:val="auto"/>
    </w:pPr>
    <w:rPr>
      <w:rFonts w:eastAsia="仿宋_GB2312"/>
      <w:kern w:val="2"/>
      <w:sz w:val="32"/>
    </w:rPr>
  </w:style>
  <w:style w:type="paragraph" w:styleId="18">
    <w:name w:val="Balloon Text"/>
    <w:basedOn w:val="1"/>
    <w:link w:val="50"/>
    <w:qFormat/>
    <w:uiPriority w:val="0"/>
    <w:rPr>
      <w:sz w:val="18"/>
      <w:szCs w:val="18"/>
    </w:rPr>
  </w:style>
  <w:style w:type="paragraph" w:styleId="19">
    <w:name w:val="footer"/>
    <w:basedOn w:val="1"/>
    <w:link w:val="52"/>
    <w:qFormat/>
    <w:uiPriority w:val="99"/>
    <w:pPr>
      <w:pBdr>
        <w:top w:val="single" w:color="auto" w:sz="6" w:space="0"/>
      </w:pBdr>
      <w:tabs>
        <w:tab w:val="center" w:pos="4153"/>
        <w:tab w:val="right" w:pos="8306"/>
      </w:tabs>
      <w:jc w:val="left"/>
    </w:pPr>
    <w:rPr>
      <w:sz w:val="21"/>
    </w:rPr>
  </w:style>
  <w:style w:type="paragraph" w:styleId="20">
    <w:name w:val="header"/>
    <w:basedOn w:val="1"/>
    <w:link w:val="51"/>
    <w:qFormat/>
    <w:uiPriority w:val="99"/>
    <w:pPr>
      <w:tabs>
        <w:tab w:val="center" w:pos="4153"/>
        <w:tab w:val="right" w:pos="8306"/>
      </w:tabs>
      <w:snapToGrid w:val="0"/>
      <w:jc w:val="left"/>
    </w:pPr>
    <w:rPr>
      <w:sz w:val="21"/>
    </w:rPr>
  </w:style>
  <w:style w:type="paragraph" w:styleId="21">
    <w:name w:val="toc 1"/>
    <w:basedOn w:val="1"/>
    <w:next w:val="1"/>
    <w:qFormat/>
    <w:uiPriority w:val="39"/>
    <w:pPr>
      <w:tabs>
        <w:tab w:val="right" w:leader="dot" w:pos="8303"/>
      </w:tabs>
      <w:spacing w:line="360" w:lineRule="auto"/>
    </w:pPr>
  </w:style>
  <w:style w:type="paragraph" w:styleId="22">
    <w:name w:val="List"/>
    <w:basedOn w:val="1"/>
    <w:qFormat/>
    <w:uiPriority w:val="0"/>
    <w:pPr>
      <w:ind w:left="200" w:hanging="200" w:hangingChars="200"/>
    </w:pPr>
  </w:style>
  <w:style w:type="paragraph" w:styleId="23">
    <w:name w:val="toc 2"/>
    <w:basedOn w:val="1"/>
    <w:next w:val="1"/>
    <w:qFormat/>
    <w:uiPriority w:val="39"/>
    <w:pPr>
      <w:tabs>
        <w:tab w:val="right" w:leader="dot" w:pos="8834"/>
      </w:tabs>
      <w:spacing w:line="360" w:lineRule="auto"/>
      <w:jc w:val="center"/>
    </w:pPr>
  </w:style>
  <w:style w:type="paragraph" w:styleId="24">
    <w:name w:val="Normal (Web)"/>
    <w:basedOn w:val="1"/>
    <w:qFormat/>
    <w:uiPriority w:val="99"/>
    <w:pPr>
      <w:widowControl/>
      <w:autoSpaceDE/>
      <w:autoSpaceDN/>
      <w:adjustRightInd/>
      <w:spacing w:before="100" w:beforeAutospacing="1" w:after="100" w:afterAutospacing="1"/>
      <w:jc w:val="left"/>
      <w:textAlignment w:val="auto"/>
    </w:pPr>
    <w:rPr>
      <w:sz w:val="24"/>
      <w:szCs w:val="24"/>
    </w:rPr>
  </w:style>
  <w:style w:type="character" w:styleId="27">
    <w:name w:val="Strong"/>
    <w:basedOn w:val="26"/>
    <w:qFormat/>
    <w:uiPriority w:val="0"/>
  </w:style>
  <w:style w:type="character" w:styleId="28">
    <w:name w:val="page number"/>
    <w:basedOn w:val="26"/>
    <w:qFormat/>
    <w:uiPriority w:val="0"/>
    <w:rPr>
      <w:rFonts w:ascii="Times New Roman" w:hAnsi="Times New Roman"/>
      <w:sz w:val="21"/>
    </w:rPr>
  </w:style>
  <w:style w:type="character" w:styleId="29">
    <w:name w:val="FollowedHyperlink"/>
    <w:basedOn w:val="26"/>
    <w:semiHidden/>
    <w:unhideWhenUsed/>
    <w:qFormat/>
    <w:uiPriority w:val="0"/>
    <w:rPr>
      <w:color w:val="333333"/>
      <w:u w:val="none"/>
    </w:rPr>
  </w:style>
  <w:style w:type="character" w:styleId="30">
    <w:name w:val="Emphasis"/>
    <w:basedOn w:val="26"/>
    <w:qFormat/>
    <w:uiPriority w:val="0"/>
  </w:style>
  <w:style w:type="character" w:styleId="31">
    <w:name w:val="HTML Definition"/>
    <w:basedOn w:val="26"/>
    <w:semiHidden/>
    <w:unhideWhenUsed/>
    <w:qFormat/>
    <w:uiPriority w:val="0"/>
  </w:style>
  <w:style w:type="character" w:styleId="32">
    <w:name w:val="HTML Typewriter"/>
    <w:basedOn w:val="26"/>
    <w:semiHidden/>
    <w:unhideWhenUsed/>
    <w:qFormat/>
    <w:uiPriority w:val="0"/>
    <w:rPr>
      <w:rFonts w:hint="default" w:ascii="monospace" w:hAnsi="monospace" w:eastAsia="monospace" w:cs="monospace"/>
      <w:sz w:val="20"/>
    </w:rPr>
  </w:style>
  <w:style w:type="character" w:styleId="33">
    <w:name w:val="HTML Acronym"/>
    <w:basedOn w:val="26"/>
    <w:semiHidden/>
    <w:unhideWhenUsed/>
    <w:qFormat/>
    <w:uiPriority w:val="0"/>
  </w:style>
  <w:style w:type="character" w:styleId="34">
    <w:name w:val="HTML Variable"/>
    <w:basedOn w:val="26"/>
    <w:semiHidden/>
    <w:unhideWhenUsed/>
    <w:qFormat/>
    <w:uiPriority w:val="0"/>
  </w:style>
  <w:style w:type="character" w:styleId="35">
    <w:name w:val="Hyperlink"/>
    <w:qFormat/>
    <w:uiPriority w:val="99"/>
    <w:rPr>
      <w:color w:val="333333"/>
      <w:u w:val="none"/>
    </w:rPr>
  </w:style>
  <w:style w:type="character" w:styleId="36">
    <w:name w:val="HTML Code"/>
    <w:basedOn w:val="26"/>
    <w:semiHidden/>
    <w:unhideWhenUsed/>
    <w:qFormat/>
    <w:uiPriority w:val="0"/>
    <w:rPr>
      <w:rFonts w:ascii="monospace" w:hAnsi="monospace" w:eastAsia="monospace" w:cs="monospace"/>
      <w:sz w:val="20"/>
    </w:rPr>
  </w:style>
  <w:style w:type="character" w:styleId="37">
    <w:name w:val="HTML Cite"/>
    <w:basedOn w:val="26"/>
    <w:semiHidden/>
    <w:unhideWhenUsed/>
    <w:qFormat/>
    <w:uiPriority w:val="0"/>
  </w:style>
  <w:style w:type="character" w:styleId="38">
    <w:name w:val="HTML Keyboard"/>
    <w:basedOn w:val="26"/>
    <w:semiHidden/>
    <w:unhideWhenUsed/>
    <w:qFormat/>
    <w:uiPriority w:val="0"/>
    <w:rPr>
      <w:rFonts w:hint="default" w:ascii="monospace" w:hAnsi="monospace" w:eastAsia="monospace" w:cs="monospace"/>
      <w:sz w:val="20"/>
    </w:rPr>
  </w:style>
  <w:style w:type="character" w:styleId="39">
    <w:name w:val="HTML Sample"/>
    <w:basedOn w:val="26"/>
    <w:semiHidden/>
    <w:unhideWhenUsed/>
    <w:qFormat/>
    <w:uiPriority w:val="0"/>
    <w:rPr>
      <w:rFonts w:hint="default" w:ascii="monospace" w:hAnsi="monospace" w:eastAsia="monospace" w:cs="monospace"/>
    </w:rPr>
  </w:style>
  <w:style w:type="paragraph" w:customStyle="1" w:styleId="40">
    <w:name w:val="Char2"/>
    <w:basedOn w:val="9"/>
    <w:next w:val="1"/>
    <w:qFormat/>
    <w:uiPriority w:val="0"/>
    <w:rPr>
      <w:rFonts w:hAnsi="宋体"/>
    </w:rPr>
  </w:style>
  <w:style w:type="paragraph" w:customStyle="1" w:styleId="41">
    <w:name w:val="样式 标题 2 + Times New Roman 四号 非加粗 段前: 5 磅 段后: 0 磅 行距: 固定值 20..."/>
    <w:basedOn w:val="5"/>
    <w:qFormat/>
    <w:uiPriority w:val="0"/>
    <w:pPr>
      <w:keepNext/>
      <w:keepLines/>
      <w:autoSpaceDE/>
      <w:autoSpaceDN/>
      <w:adjustRightInd/>
      <w:spacing w:before="100" w:after="0" w:line="400" w:lineRule="exact"/>
      <w:jc w:val="both"/>
      <w:textAlignment w:val="auto"/>
    </w:pPr>
    <w:rPr>
      <w:rFonts w:eastAsia="黑体" w:cs="宋体"/>
      <w:b w:val="0"/>
      <w:snapToGrid/>
      <w:kern w:val="2"/>
      <w:sz w:val="28"/>
    </w:rPr>
  </w:style>
  <w:style w:type="paragraph" w:customStyle="1" w:styleId="42">
    <w:name w:val="样式 标题 3 + (中文) 黑体 小四 非加粗 段前: 7.8 磅 段后: 0 磅 行距: 固定值 20 磅"/>
    <w:basedOn w:val="6"/>
    <w:qFormat/>
    <w:uiPriority w:val="0"/>
    <w:pPr>
      <w:numPr>
        <w:ilvl w:val="1"/>
        <w:numId w:val="1"/>
      </w:numPr>
      <w:tabs>
        <w:tab w:val="left" w:pos="718"/>
      </w:tabs>
      <w:autoSpaceDE/>
      <w:autoSpaceDN/>
      <w:adjustRightInd/>
      <w:spacing w:before="0" w:after="0" w:line="400" w:lineRule="exact"/>
      <w:textAlignment w:val="auto"/>
    </w:pPr>
    <w:rPr>
      <w:rFonts w:eastAsia="黑体" w:cs="宋体"/>
      <w:b w:val="0"/>
      <w:bCs w:val="0"/>
      <w:kern w:val="2"/>
      <w:sz w:val="24"/>
      <w:szCs w:val="20"/>
    </w:rPr>
  </w:style>
  <w:style w:type="paragraph" w:customStyle="1" w:styleId="4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reader-word-layer reader-word-s1-9"/>
    <w:basedOn w:val="1"/>
    <w:qFormat/>
    <w:uiPriority w:val="0"/>
    <w:pPr>
      <w:widowControl/>
      <w:spacing w:before="100" w:beforeAutospacing="1" w:after="100" w:afterAutospacing="1"/>
      <w:jc w:val="left"/>
    </w:pPr>
    <w:rPr>
      <w:rFonts w:ascii="宋体" w:hAnsi="宋体" w:cs="宋体"/>
      <w:sz w:val="24"/>
    </w:rPr>
  </w:style>
  <w:style w:type="paragraph" w:customStyle="1" w:styleId="46">
    <w:name w:val="标题 2 + Times New Roman 居中 段前: 0 磅 段后: 0 磅 行距: 单倍行距 + 段前..."/>
    <w:basedOn w:val="1"/>
    <w:qFormat/>
    <w:uiPriority w:val="0"/>
    <w:pPr>
      <w:keepNext/>
      <w:keepLines/>
      <w:snapToGrid w:val="0"/>
      <w:spacing w:before="150" w:beforeLines="150" w:after="100" w:afterLines="100"/>
      <w:jc w:val="center"/>
      <w:outlineLvl w:val="1"/>
    </w:pPr>
    <w:rPr>
      <w:rFonts w:eastAsia="黑体"/>
      <w:b/>
      <w:bCs/>
      <w:sz w:val="32"/>
    </w:rPr>
  </w:style>
  <w:style w:type="paragraph" w:customStyle="1" w:styleId="47">
    <w:name w:val="表内文字"/>
    <w:basedOn w:val="1"/>
    <w:qFormat/>
    <w:uiPriority w:val="0"/>
    <w:pPr>
      <w:tabs>
        <w:tab w:val="left" w:pos="1418"/>
      </w:tabs>
      <w:spacing w:line="360" w:lineRule="auto"/>
      <w:jc w:val="center"/>
    </w:pPr>
    <w:rPr>
      <w:rFonts w:ascii="仿宋_GB2312" w:eastAsia="仿宋_GB2312"/>
      <w:spacing w:val="-20"/>
      <w:sz w:val="24"/>
    </w:rPr>
  </w:style>
  <w:style w:type="paragraph" w:customStyle="1" w:styleId="48">
    <w:name w:val="Char Char Char Char"/>
    <w:basedOn w:val="1"/>
    <w:qFormat/>
    <w:uiPriority w:val="0"/>
    <w:pPr>
      <w:widowControl/>
      <w:spacing w:after="160" w:line="240" w:lineRule="exact"/>
      <w:jc w:val="left"/>
    </w:pPr>
    <w:rPr>
      <w:rFonts w:ascii="Verdana" w:hAnsi="Verdana"/>
      <w:sz w:val="20"/>
      <w:lang w:eastAsia="en-US"/>
    </w:rPr>
  </w:style>
  <w:style w:type="paragraph" w:customStyle="1" w:styleId="49">
    <w:name w:val="默认段落字体 Para Char Char Char Char Char Char Char Char Char1 Char Char Char Char"/>
    <w:basedOn w:val="1"/>
    <w:qFormat/>
    <w:uiPriority w:val="0"/>
    <w:rPr>
      <w:rFonts w:ascii="Tahoma" w:hAnsi="Tahoma"/>
      <w:sz w:val="24"/>
    </w:rPr>
  </w:style>
  <w:style w:type="character" w:customStyle="1" w:styleId="50">
    <w:name w:val="批注框文本 Char"/>
    <w:basedOn w:val="26"/>
    <w:link w:val="18"/>
    <w:qFormat/>
    <w:uiPriority w:val="0"/>
    <w:rPr>
      <w:sz w:val="18"/>
      <w:szCs w:val="18"/>
    </w:rPr>
  </w:style>
  <w:style w:type="character" w:customStyle="1" w:styleId="51">
    <w:name w:val="页眉 Char"/>
    <w:basedOn w:val="26"/>
    <w:link w:val="20"/>
    <w:qFormat/>
    <w:uiPriority w:val="99"/>
    <w:rPr>
      <w:sz w:val="21"/>
    </w:rPr>
  </w:style>
  <w:style w:type="character" w:customStyle="1" w:styleId="52">
    <w:name w:val="页脚 Char"/>
    <w:link w:val="19"/>
    <w:qFormat/>
    <w:uiPriority w:val="99"/>
    <w:rPr>
      <w:sz w:val="21"/>
    </w:rPr>
  </w:style>
  <w:style w:type="character" w:customStyle="1" w:styleId="53">
    <w:name w:val="日期 Char"/>
    <w:basedOn w:val="26"/>
    <w:link w:val="17"/>
    <w:qFormat/>
    <w:uiPriority w:val="0"/>
    <w:rPr>
      <w:rFonts w:eastAsia="仿宋_GB2312"/>
      <w:kern w:val="2"/>
      <w:sz w:val="32"/>
    </w:rPr>
  </w:style>
  <w:style w:type="paragraph" w:customStyle="1" w:styleId="54">
    <w:name w:val="Char21"/>
    <w:basedOn w:val="9"/>
    <w:next w:val="1"/>
    <w:qFormat/>
    <w:uiPriority w:val="0"/>
    <w:rPr>
      <w:rFonts w:hAnsi="宋体"/>
    </w:rPr>
  </w:style>
  <w:style w:type="paragraph" w:styleId="5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6">
    <w:name w:val="正文文本缩进 Char"/>
    <w:basedOn w:val="26"/>
    <w:link w:val="14"/>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B2D8D-BA20-4D4F-817F-06B5D88ECBE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52</Pages>
  <Words>28345</Words>
  <Characters>30276</Characters>
  <Lines>250</Lines>
  <Paragraphs>70</Paragraphs>
  <TotalTime>126</TotalTime>
  <ScaleCrop>false</ScaleCrop>
  <LinksUpToDate>false</LinksUpToDate>
  <CharactersWithSpaces>32619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2023-04-24T02:14:00Z</dcterms:created>
  <dc:creator>Administrator</dc:creator>
  <cp:lastModifiedBy>Warm Ocean、</cp:lastModifiedBy>
  <cp:lastPrinted>2023-06-27T02:14:00Z</cp:lastPrinted>
  <dcterms:modified xsi:type="dcterms:W3CDTF">2023-06-29T07:48:33Z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A6C9FB0BEA2E4199A0313EBD5E344D6D</vt:lpwstr>
  </property>
</Properties>
</file>