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napToGrid w:val="0"/>
          <w:sz w:val="44"/>
          <w:szCs w:val="44"/>
          <w:lang w:eastAsia="zh-CN"/>
        </w:rPr>
      </w:pPr>
      <w:bookmarkStart w:id="0" w:name="_Toc139879164"/>
      <w:bookmarkStart w:id="1" w:name="_Toc77750054"/>
      <w:bookmarkStart w:id="2" w:name="_Toc77079520"/>
      <w:bookmarkStart w:id="3" w:name="_Toc55362316"/>
      <w:bookmarkStart w:id="4" w:name="_Toc51259749"/>
      <w:bookmarkStart w:id="5" w:name="_Toc524766080"/>
      <w:bookmarkStart w:id="6" w:name="_Toc77079741"/>
      <w:bookmarkStart w:id="7" w:name="_Toc184635051"/>
      <w:r>
        <w:rPr>
          <w:rFonts w:hint="eastAsia" w:ascii="宋体" w:hAnsi="宋体" w:eastAsia="宋体" w:cs="宋体"/>
          <w:b/>
          <w:bCs/>
          <w:snapToGrid w:val="0"/>
          <w:sz w:val="44"/>
          <w:szCs w:val="44"/>
          <w:lang w:eastAsia="zh-CN"/>
        </w:rPr>
        <w:drawing>
          <wp:inline distT="0" distB="0" distL="114300" distR="114300">
            <wp:extent cx="5687060" cy="8045450"/>
            <wp:effectExtent l="0" t="0" r="8890" b="12700"/>
            <wp:docPr id="2" name="图片 2" descr="img-915112715-0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915112715-0006"/>
                    <pic:cNvPicPr>
                      <a:picLocks noChangeAspect="1"/>
                    </pic:cNvPicPr>
                  </pic:nvPicPr>
                  <pic:blipFill>
                    <a:blip r:embed="rId12"/>
                    <a:stretch>
                      <a:fillRect/>
                    </a:stretch>
                  </pic:blipFill>
                  <pic:spPr>
                    <a:xfrm>
                      <a:off x="0" y="0"/>
                      <a:ext cx="5687060" cy="8045450"/>
                    </a:xfrm>
                    <a:prstGeom prst="rect">
                      <a:avLst/>
                    </a:prstGeom>
                  </pic:spPr>
                </pic:pic>
              </a:graphicData>
            </a:graphic>
          </wp:inline>
        </w:drawing>
      </w:r>
    </w:p>
    <w:p>
      <w:pPr>
        <w:jc w:val="center"/>
        <w:rPr>
          <w:rFonts w:hint="eastAsia" w:ascii="宋体" w:hAnsi="宋体" w:eastAsia="宋体" w:cs="宋体"/>
          <w:b/>
          <w:bCs/>
          <w:snapToGrid w:val="0"/>
          <w:sz w:val="44"/>
          <w:szCs w:val="44"/>
          <w:lang w:eastAsia="zh-CN"/>
        </w:rPr>
      </w:pPr>
    </w:p>
    <w:p>
      <w:pPr>
        <w:pStyle w:val="4"/>
        <w:spacing w:line="360" w:lineRule="auto"/>
        <w:ind w:firstLine="0"/>
        <w:jc w:val="center"/>
        <w:rPr>
          <w:rFonts w:hint="eastAsia" w:ascii="宋体" w:hAnsi="宋体" w:eastAsia="宋体" w:cs="宋体"/>
          <w:b/>
          <w:bCs/>
          <w:sz w:val="44"/>
        </w:rPr>
        <w:sectPr>
          <w:headerReference r:id="rId4" w:type="first"/>
          <w:footerReference r:id="rId5" w:type="first"/>
          <w:headerReference r:id="rId3" w:type="default"/>
          <w:pgSz w:w="11907" w:h="16840"/>
          <w:pgMar w:top="1474" w:right="1474" w:bottom="1474" w:left="1474" w:header="1304" w:footer="1134" w:gutter="0"/>
          <w:pgNumType w:fmt="numberInDash" w:start="1" w:chapStyle="1"/>
          <w:cols w:space="720" w:num="1"/>
          <w:titlePg/>
          <w:docGrid w:type="linesAndChars" w:linePitch="457" w:charSpace="0"/>
        </w:sectPr>
      </w:pPr>
    </w:p>
    <w:p>
      <w:pPr>
        <w:pStyle w:val="4"/>
        <w:spacing w:line="360" w:lineRule="auto"/>
        <w:ind w:firstLine="0"/>
        <w:jc w:val="center"/>
        <w:rPr>
          <w:rFonts w:ascii="宋体" w:hAnsi="宋体"/>
          <w:b/>
          <w:bCs/>
          <w:sz w:val="44"/>
        </w:rPr>
      </w:pPr>
      <w:r>
        <w:rPr>
          <w:rFonts w:hint="eastAsia" w:ascii="宋体" w:hAnsi="宋体"/>
          <w:b/>
          <w:bCs/>
          <w:sz w:val="44"/>
        </w:rPr>
        <w:t>目   录</w:t>
      </w:r>
    </w:p>
    <w:p>
      <w:pPr>
        <w:pStyle w:val="21"/>
        <w:tabs>
          <w:tab w:val="right" w:leader="dot" w:pos="8959"/>
        </w:tabs>
        <w:ind w:left="480"/>
      </w:pPr>
      <w:r>
        <w:rPr>
          <w:rFonts w:ascii="宋体" w:hAnsi="宋体"/>
          <w:bCs/>
          <w:szCs w:val="21"/>
        </w:rPr>
        <w:fldChar w:fldCharType="begin"/>
      </w:r>
      <w:r>
        <w:rPr>
          <w:rFonts w:ascii="宋体" w:hAnsi="宋体"/>
          <w:bCs/>
          <w:szCs w:val="21"/>
        </w:rPr>
        <w:instrText xml:space="preserve"> TOC \o "1-3" \h  \u </w:instrText>
      </w:r>
      <w:r>
        <w:rPr>
          <w:rFonts w:ascii="宋体" w:hAnsi="宋体"/>
          <w:bCs/>
          <w:szCs w:val="21"/>
        </w:rPr>
        <w:fldChar w:fldCharType="separate"/>
      </w:r>
      <w:r>
        <w:fldChar w:fldCharType="begin"/>
      </w:r>
      <w:r>
        <w:instrText xml:space="preserve"> HYPERLINK \l "_Toc15532" </w:instrText>
      </w:r>
      <w:r>
        <w:fldChar w:fldCharType="separate"/>
      </w:r>
      <w:r>
        <w:rPr>
          <w:rFonts w:hint="eastAsia" w:ascii="宋体" w:hAnsi="宋体"/>
          <w:szCs w:val="52"/>
        </w:rPr>
        <w:t>第   一   卷</w:t>
      </w:r>
      <w:r>
        <w:tab/>
      </w:r>
      <w:r>
        <w:fldChar w:fldCharType="begin"/>
      </w:r>
      <w:r>
        <w:instrText xml:space="preserve"> PAGEREF _Toc15532 </w:instrText>
      </w:r>
      <w:r>
        <w:fldChar w:fldCharType="separate"/>
      </w:r>
      <w:r>
        <w:t>6</w:t>
      </w:r>
      <w:r>
        <w:fldChar w:fldCharType="end"/>
      </w:r>
      <w:r>
        <w:fldChar w:fldCharType="end"/>
      </w:r>
    </w:p>
    <w:p>
      <w:pPr>
        <w:pStyle w:val="13"/>
        <w:tabs>
          <w:tab w:val="right" w:leader="dot" w:pos="8959"/>
        </w:tabs>
        <w:ind w:left="960"/>
      </w:pPr>
      <w:r>
        <w:fldChar w:fldCharType="begin"/>
      </w:r>
      <w:r>
        <w:instrText xml:space="preserve"> HYPERLINK \l "_Toc15286" </w:instrText>
      </w:r>
      <w:r>
        <w:fldChar w:fldCharType="separate"/>
      </w:r>
      <w:r>
        <w:rPr>
          <w:rFonts w:ascii="宋体" w:hAnsi="宋体" w:eastAsia="宋体"/>
          <w:snapToGrid w:val="0"/>
          <w:szCs w:val="28"/>
        </w:rPr>
        <w:t>第一章</w:t>
      </w:r>
      <w:r>
        <w:rPr>
          <w:rFonts w:hint="eastAsia" w:ascii="宋体" w:hAnsi="宋体" w:eastAsia="宋体"/>
          <w:snapToGrid w:val="0"/>
          <w:szCs w:val="28"/>
        </w:rPr>
        <w:t>发包公告</w:t>
      </w:r>
      <w:r>
        <w:tab/>
      </w:r>
      <w:r>
        <w:fldChar w:fldCharType="begin"/>
      </w:r>
      <w:r>
        <w:instrText xml:space="preserve"> PAGEREF _Toc15286 </w:instrText>
      </w:r>
      <w:r>
        <w:fldChar w:fldCharType="separate"/>
      </w:r>
      <w:r>
        <w:t>7</w:t>
      </w:r>
      <w:r>
        <w:fldChar w:fldCharType="end"/>
      </w:r>
      <w:r>
        <w:fldChar w:fldCharType="end"/>
      </w:r>
    </w:p>
    <w:p>
      <w:pPr>
        <w:pStyle w:val="13"/>
        <w:tabs>
          <w:tab w:val="right" w:leader="dot" w:pos="8959"/>
        </w:tabs>
        <w:ind w:left="960"/>
      </w:pPr>
      <w:r>
        <w:fldChar w:fldCharType="begin"/>
      </w:r>
      <w:r>
        <w:instrText xml:space="preserve"> HYPERLINK \l "_Toc2275" </w:instrText>
      </w:r>
      <w:r>
        <w:fldChar w:fldCharType="separate"/>
      </w:r>
      <w:r>
        <w:rPr>
          <w:rFonts w:ascii="宋体" w:hAnsi="宋体" w:eastAsia="宋体"/>
          <w:snapToGrid w:val="0"/>
          <w:szCs w:val="28"/>
        </w:rPr>
        <w:t xml:space="preserve">第二章 </w:t>
      </w:r>
      <w:r>
        <w:rPr>
          <w:rFonts w:hint="eastAsia" w:ascii="宋体" w:hAnsi="宋体" w:eastAsia="宋体"/>
          <w:snapToGrid w:val="0"/>
          <w:szCs w:val="28"/>
        </w:rPr>
        <w:t>竞包人</w:t>
      </w:r>
      <w:r>
        <w:rPr>
          <w:rFonts w:ascii="宋体" w:hAnsi="宋体" w:eastAsia="宋体"/>
          <w:snapToGrid w:val="0"/>
          <w:szCs w:val="28"/>
        </w:rPr>
        <w:t>须知</w:t>
      </w:r>
      <w:r>
        <w:tab/>
      </w:r>
      <w:r>
        <w:fldChar w:fldCharType="begin"/>
      </w:r>
      <w:r>
        <w:instrText xml:space="preserve"> PAGEREF _Toc2275 </w:instrText>
      </w:r>
      <w:r>
        <w:fldChar w:fldCharType="separate"/>
      </w:r>
      <w:r>
        <w:t>11</w:t>
      </w:r>
      <w:r>
        <w:fldChar w:fldCharType="end"/>
      </w:r>
      <w:r>
        <w:fldChar w:fldCharType="end"/>
      </w:r>
    </w:p>
    <w:p>
      <w:pPr>
        <w:pStyle w:val="13"/>
        <w:tabs>
          <w:tab w:val="right" w:leader="dot" w:pos="8959"/>
        </w:tabs>
        <w:ind w:left="960"/>
      </w:pPr>
      <w:r>
        <w:fldChar w:fldCharType="begin"/>
      </w:r>
      <w:r>
        <w:instrText xml:space="preserve"> HYPERLINK \l "_Toc9198" </w:instrText>
      </w:r>
      <w:r>
        <w:fldChar w:fldCharType="separate"/>
      </w:r>
      <w:r>
        <w:rPr>
          <w:rFonts w:hint="eastAsia" w:ascii="宋体" w:hAnsi="宋体" w:eastAsia="宋体"/>
          <w:snapToGrid w:val="0"/>
        </w:rPr>
        <w:t>竞包人须知前附表</w:t>
      </w:r>
      <w:r>
        <w:tab/>
      </w:r>
      <w:r>
        <w:fldChar w:fldCharType="begin"/>
      </w:r>
      <w:r>
        <w:instrText xml:space="preserve"> PAGEREF _Toc9198 </w:instrText>
      </w:r>
      <w:r>
        <w:fldChar w:fldCharType="separate"/>
      </w:r>
      <w:r>
        <w:t>11</w:t>
      </w:r>
      <w:r>
        <w:fldChar w:fldCharType="end"/>
      </w:r>
      <w:r>
        <w:fldChar w:fldCharType="end"/>
      </w:r>
    </w:p>
    <w:p>
      <w:pPr>
        <w:pStyle w:val="13"/>
        <w:tabs>
          <w:tab w:val="right" w:leader="dot" w:pos="8959"/>
        </w:tabs>
        <w:ind w:left="960"/>
      </w:pPr>
      <w:r>
        <w:fldChar w:fldCharType="begin"/>
      </w:r>
      <w:r>
        <w:instrText xml:space="preserve"> HYPERLINK \l "_Toc26307" </w:instrText>
      </w:r>
      <w:r>
        <w:fldChar w:fldCharType="separate"/>
      </w:r>
      <w:r>
        <w:rPr>
          <w:rFonts w:ascii="宋体" w:hAnsi="宋体" w:eastAsia="宋体"/>
          <w:snapToGrid w:val="0"/>
          <w:szCs w:val="21"/>
        </w:rPr>
        <w:t>1总则</w:t>
      </w:r>
      <w:r>
        <w:tab/>
      </w:r>
      <w:r>
        <w:fldChar w:fldCharType="begin"/>
      </w:r>
      <w:r>
        <w:instrText xml:space="preserve"> PAGEREF _Toc26307 </w:instrText>
      </w:r>
      <w:r>
        <w:fldChar w:fldCharType="separate"/>
      </w:r>
      <w:r>
        <w:t>16</w:t>
      </w:r>
      <w:r>
        <w:fldChar w:fldCharType="end"/>
      </w:r>
      <w:r>
        <w:fldChar w:fldCharType="end"/>
      </w:r>
    </w:p>
    <w:p>
      <w:pPr>
        <w:pStyle w:val="13"/>
        <w:tabs>
          <w:tab w:val="right" w:leader="dot" w:pos="8959"/>
        </w:tabs>
        <w:ind w:left="960"/>
      </w:pPr>
      <w:r>
        <w:fldChar w:fldCharType="begin"/>
      </w:r>
      <w:r>
        <w:instrText xml:space="preserve"> HYPERLINK \l "_Toc20305" </w:instrText>
      </w:r>
      <w:r>
        <w:fldChar w:fldCharType="separate"/>
      </w:r>
      <w:r>
        <w:rPr>
          <w:rFonts w:ascii="宋体" w:hAnsi="宋体" w:eastAsia="宋体"/>
          <w:snapToGrid w:val="0"/>
          <w:szCs w:val="21"/>
        </w:rPr>
        <w:t xml:space="preserve">2 </w:t>
      </w:r>
      <w:r>
        <w:rPr>
          <w:rFonts w:hint="eastAsia" w:ascii="宋体" w:hAnsi="宋体" w:eastAsia="宋体"/>
          <w:snapToGrid w:val="0"/>
          <w:szCs w:val="21"/>
        </w:rPr>
        <w:t>发包</w:t>
      </w:r>
      <w:r>
        <w:rPr>
          <w:rFonts w:ascii="宋体" w:hAnsi="宋体" w:eastAsia="宋体"/>
          <w:snapToGrid w:val="0"/>
          <w:szCs w:val="21"/>
        </w:rPr>
        <w:t>文件</w:t>
      </w:r>
      <w:r>
        <w:tab/>
      </w:r>
      <w:r>
        <w:fldChar w:fldCharType="begin"/>
      </w:r>
      <w:r>
        <w:instrText xml:space="preserve"> PAGEREF _Toc20305 </w:instrText>
      </w:r>
      <w:r>
        <w:fldChar w:fldCharType="separate"/>
      </w:r>
      <w:r>
        <w:t>17</w:t>
      </w:r>
      <w:r>
        <w:fldChar w:fldCharType="end"/>
      </w:r>
      <w:r>
        <w:fldChar w:fldCharType="end"/>
      </w:r>
    </w:p>
    <w:p>
      <w:pPr>
        <w:pStyle w:val="13"/>
        <w:tabs>
          <w:tab w:val="right" w:leader="dot" w:pos="8959"/>
        </w:tabs>
        <w:ind w:left="960"/>
      </w:pPr>
      <w:r>
        <w:fldChar w:fldCharType="begin"/>
      </w:r>
      <w:r>
        <w:instrText xml:space="preserve"> HYPERLINK \l "_Toc31666" </w:instrText>
      </w:r>
      <w:r>
        <w:fldChar w:fldCharType="separate"/>
      </w:r>
      <w:r>
        <w:rPr>
          <w:rFonts w:ascii="宋体" w:hAnsi="宋体" w:eastAsia="宋体"/>
          <w:snapToGrid w:val="0"/>
          <w:szCs w:val="21"/>
        </w:rPr>
        <w:t>3</w:t>
      </w:r>
      <w:r>
        <w:rPr>
          <w:rFonts w:hint="eastAsia" w:ascii="宋体" w:hAnsi="宋体" w:eastAsia="宋体"/>
          <w:snapToGrid w:val="0"/>
          <w:szCs w:val="21"/>
        </w:rPr>
        <w:t>竞包文件</w:t>
      </w:r>
      <w:r>
        <w:tab/>
      </w:r>
      <w:r>
        <w:fldChar w:fldCharType="begin"/>
      </w:r>
      <w:r>
        <w:instrText xml:space="preserve"> PAGEREF _Toc31666 </w:instrText>
      </w:r>
      <w:r>
        <w:fldChar w:fldCharType="separate"/>
      </w:r>
      <w:r>
        <w:t>18</w:t>
      </w:r>
      <w:r>
        <w:fldChar w:fldCharType="end"/>
      </w:r>
      <w:r>
        <w:fldChar w:fldCharType="end"/>
      </w:r>
    </w:p>
    <w:p>
      <w:pPr>
        <w:pStyle w:val="13"/>
        <w:tabs>
          <w:tab w:val="right" w:leader="dot" w:pos="8959"/>
        </w:tabs>
        <w:ind w:left="960"/>
      </w:pPr>
      <w:r>
        <w:fldChar w:fldCharType="begin"/>
      </w:r>
      <w:r>
        <w:instrText xml:space="preserve"> HYPERLINK \l "_Toc6369" </w:instrText>
      </w:r>
      <w:r>
        <w:fldChar w:fldCharType="separate"/>
      </w:r>
      <w:r>
        <w:rPr>
          <w:rFonts w:ascii="宋体" w:hAnsi="宋体" w:eastAsia="宋体"/>
          <w:snapToGrid w:val="0"/>
          <w:szCs w:val="21"/>
        </w:rPr>
        <w:t>4</w:t>
      </w:r>
      <w:r>
        <w:rPr>
          <w:rFonts w:hint="eastAsia" w:ascii="宋体" w:hAnsi="宋体" w:eastAsia="宋体"/>
          <w:snapToGrid w:val="0"/>
          <w:szCs w:val="21"/>
        </w:rPr>
        <w:t>竞包</w:t>
      </w:r>
      <w:r>
        <w:tab/>
      </w:r>
      <w:r>
        <w:fldChar w:fldCharType="begin"/>
      </w:r>
      <w:r>
        <w:instrText xml:space="preserve"> PAGEREF _Toc6369 </w:instrText>
      </w:r>
      <w:r>
        <w:fldChar w:fldCharType="separate"/>
      </w:r>
      <w:r>
        <w:t>21</w:t>
      </w:r>
      <w:r>
        <w:fldChar w:fldCharType="end"/>
      </w:r>
      <w:r>
        <w:fldChar w:fldCharType="end"/>
      </w:r>
    </w:p>
    <w:p>
      <w:pPr>
        <w:pStyle w:val="13"/>
        <w:tabs>
          <w:tab w:val="right" w:leader="dot" w:pos="8959"/>
        </w:tabs>
        <w:ind w:left="960"/>
      </w:pPr>
      <w:r>
        <w:fldChar w:fldCharType="begin"/>
      </w:r>
      <w:r>
        <w:instrText xml:space="preserve"> HYPERLINK \l "_Toc7441" </w:instrText>
      </w:r>
      <w:r>
        <w:fldChar w:fldCharType="separate"/>
      </w:r>
      <w:r>
        <w:rPr>
          <w:rFonts w:ascii="宋体" w:hAnsi="宋体" w:eastAsia="宋体"/>
          <w:snapToGrid w:val="0"/>
          <w:szCs w:val="21"/>
        </w:rPr>
        <w:t>5开标</w:t>
      </w:r>
      <w:r>
        <w:tab/>
      </w:r>
      <w:r>
        <w:fldChar w:fldCharType="begin"/>
      </w:r>
      <w:r>
        <w:instrText xml:space="preserve"> PAGEREF _Toc7441 </w:instrText>
      </w:r>
      <w:r>
        <w:fldChar w:fldCharType="separate"/>
      </w:r>
      <w:r>
        <w:t>21</w:t>
      </w:r>
      <w:r>
        <w:fldChar w:fldCharType="end"/>
      </w:r>
      <w:r>
        <w:fldChar w:fldCharType="end"/>
      </w:r>
    </w:p>
    <w:p>
      <w:pPr>
        <w:pStyle w:val="13"/>
        <w:tabs>
          <w:tab w:val="right" w:leader="dot" w:pos="8959"/>
        </w:tabs>
        <w:ind w:left="960"/>
      </w:pPr>
      <w:r>
        <w:fldChar w:fldCharType="begin"/>
      </w:r>
      <w:r>
        <w:instrText xml:space="preserve"> HYPERLINK \l "_Toc30008" </w:instrText>
      </w:r>
      <w:r>
        <w:fldChar w:fldCharType="separate"/>
      </w:r>
      <w:r>
        <w:rPr>
          <w:rFonts w:ascii="宋体" w:hAnsi="宋体" w:eastAsia="宋体"/>
          <w:snapToGrid w:val="0"/>
          <w:szCs w:val="21"/>
        </w:rPr>
        <w:t>7合同授予</w:t>
      </w:r>
      <w:r>
        <w:tab/>
      </w:r>
      <w:r>
        <w:fldChar w:fldCharType="begin"/>
      </w:r>
      <w:r>
        <w:instrText xml:space="preserve"> PAGEREF _Toc30008 </w:instrText>
      </w:r>
      <w:r>
        <w:fldChar w:fldCharType="separate"/>
      </w:r>
      <w:r>
        <w:t>22</w:t>
      </w:r>
      <w:r>
        <w:fldChar w:fldCharType="end"/>
      </w:r>
      <w:r>
        <w:fldChar w:fldCharType="end"/>
      </w:r>
    </w:p>
    <w:p>
      <w:pPr>
        <w:pStyle w:val="13"/>
        <w:tabs>
          <w:tab w:val="right" w:leader="dot" w:pos="8959"/>
        </w:tabs>
        <w:ind w:left="960"/>
      </w:pPr>
      <w:r>
        <w:fldChar w:fldCharType="begin"/>
      </w:r>
      <w:r>
        <w:instrText xml:space="preserve"> HYPERLINK \l "_Toc5834" </w:instrText>
      </w:r>
      <w:r>
        <w:fldChar w:fldCharType="separate"/>
      </w:r>
      <w:r>
        <w:rPr>
          <w:rFonts w:ascii="宋体" w:hAnsi="宋体" w:eastAsia="宋体"/>
          <w:snapToGrid w:val="0"/>
          <w:szCs w:val="21"/>
        </w:rPr>
        <w:t>8重新</w:t>
      </w:r>
      <w:r>
        <w:rPr>
          <w:rFonts w:hint="eastAsia" w:ascii="宋体" w:hAnsi="宋体" w:eastAsia="宋体"/>
          <w:snapToGrid w:val="0"/>
          <w:szCs w:val="21"/>
        </w:rPr>
        <w:t>发包</w:t>
      </w:r>
      <w:r>
        <w:rPr>
          <w:rFonts w:ascii="宋体" w:hAnsi="宋体" w:eastAsia="宋体"/>
          <w:snapToGrid w:val="0"/>
          <w:szCs w:val="21"/>
        </w:rPr>
        <w:t>和不再</w:t>
      </w:r>
      <w:r>
        <w:rPr>
          <w:rFonts w:hint="eastAsia" w:ascii="宋体" w:hAnsi="宋体" w:eastAsia="宋体"/>
          <w:snapToGrid w:val="0"/>
          <w:szCs w:val="21"/>
        </w:rPr>
        <w:t>发包</w:t>
      </w:r>
      <w:r>
        <w:tab/>
      </w:r>
      <w:r>
        <w:fldChar w:fldCharType="begin"/>
      </w:r>
      <w:r>
        <w:instrText xml:space="preserve"> PAGEREF _Toc5834 </w:instrText>
      </w:r>
      <w:r>
        <w:fldChar w:fldCharType="separate"/>
      </w:r>
      <w:r>
        <w:t>24</w:t>
      </w:r>
      <w:r>
        <w:fldChar w:fldCharType="end"/>
      </w:r>
      <w:r>
        <w:fldChar w:fldCharType="end"/>
      </w:r>
    </w:p>
    <w:p>
      <w:pPr>
        <w:pStyle w:val="13"/>
        <w:tabs>
          <w:tab w:val="right" w:leader="dot" w:pos="8959"/>
        </w:tabs>
        <w:ind w:left="960"/>
      </w:pPr>
      <w:r>
        <w:fldChar w:fldCharType="begin"/>
      </w:r>
      <w:r>
        <w:instrText xml:space="preserve"> HYPERLINK \l "_Toc27504" </w:instrText>
      </w:r>
      <w:r>
        <w:fldChar w:fldCharType="separate"/>
      </w:r>
      <w:r>
        <w:rPr>
          <w:rFonts w:ascii="宋体" w:hAnsi="宋体" w:eastAsia="宋体"/>
          <w:snapToGrid w:val="0"/>
          <w:szCs w:val="21"/>
        </w:rPr>
        <w:t>9纪律和监督</w:t>
      </w:r>
      <w:r>
        <w:tab/>
      </w:r>
      <w:r>
        <w:fldChar w:fldCharType="begin"/>
      </w:r>
      <w:r>
        <w:instrText xml:space="preserve"> PAGEREF _Toc27504 </w:instrText>
      </w:r>
      <w:r>
        <w:fldChar w:fldCharType="separate"/>
      </w:r>
      <w:r>
        <w:t>24</w:t>
      </w:r>
      <w:r>
        <w:fldChar w:fldCharType="end"/>
      </w:r>
      <w:r>
        <w:fldChar w:fldCharType="end"/>
      </w:r>
    </w:p>
    <w:p>
      <w:pPr>
        <w:pStyle w:val="20"/>
        <w:tabs>
          <w:tab w:val="right" w:leader="dot" w:pos="8959"/>
        </w:tabs>
      </w:pPr>
      <w:r>
        <w:fldChar w:fldCharType="begin"/>
      </w:r>
      <w:r>
        <w:instrText xml:space="preserve"> HYPERLINK \l "_Toc13864" </w:instrText>
      </w:r>
      <w:r>
        <w:fldChar w:fldCharType="separate"/>
      </w:r>
      <w:r>
        <w:rPr>
          <w:rFonts w:hint="eastAsia" w:ascii="宋体" w:hAnsi="宋体" w:eastAsia="宋体"/>
          <w:b/>
          <w:bCs/>
          <w:szCs w:val="24"/>
        </w:rPr>
        <w:t>附表一：承包通知书</w:t>
      </w:r>
      <w:r>
        <w:rPr>
          <w:b/>
          <w:bCs/>
        </w:rPr>
        <w:tab/>
      </w:r>
      <w:r>
        <w:rPr>
          <w:b/>
          <w:bCs/>
        </w:rPr>
        <w:fldChar w:fldCharType="begin"/>
      </w:r>
      <w:r>
        <w:rPr>
          <w:b/>
          <w:bCs/>
        </w:rPr>
        <w:instrText xml:space="preserve"> PAGEREF _Toc13864 </w:instrText>
      </w:r>
      <w:r>
        <w:rPr>
          <w:b/>
          <w:bCs/>
        </w:rPr>
        <w:fldChar w:fldCharType="separate"/>
      </w:r>
      <w:r>
        <w:rPr>
          <w:b/>
          <w:bCs/>
        </w:rPr>
        <w:t>27</w:t>
      </w:r>
      <w:r>
        <w:rPr>
          <w:b/>
          <w:bCs/>
        </w:rPr>
        <w:fldChar w:fldCharType="end"/>
      </w:r>
      <w:r>
        <w:rPr>
          <w:b/>
          <w:bCs/>
        </w:rPr>
        <w:fldChar w:fldCharType="end"/>
      </w:r>
    </w:p>
    <w:p>
      <w:pPr>
        <w:pStyle w:val="21"/>
        <w:tabs>
          <w:tab w:val="right" w:leader="dot" w:pos="8959"/>
        </w:tabs>
        <w:ind w:left="480" w:firstLine="420" w:firstLineChars="200"/>
      </w:pPr>
      <w:r>
        <w:fldChar w:fldCharType="begin"/>
      </w:r>
      <w:r>
        <w:instrText xml:space="preserve"> HYPERLINK \l "_Toc3590" </w:instrText>
      </w:r>
      <w:r>
        <w:fldChar w:fldCharType="separate"/>
      </w:r>
      <w:r>
        <w:t>第三章</w:t>
      </w:r>
      <w:r>
        <w:rPr>
          <w:rFonts w:hint="eastAsia"/>
        </w:rPr>
        <w:t>评审办法及评分标准（技术通过制的综合评估法）</w:t>
      </w:r>
      <w:r>
        <w:tab/>
      </w:r>
      <w:r>
        <w:fldChar w:fldCharType="begin"/>
      </w:r>
      <w:r>
        <w:instrText xml:space="preserve"> PAGEREF _Toc3590 </w:instrText>
      </w:r>
      <w:r>
        <w:fldChar w:fldCharType="separate"/>
      </w:r>
      <w:r>
        <w:t>28</w:t>
      </w:r>
      <w:r>
        <w:fldChar w:fldCharType="end"/>
      </w:r>
      <w:r>
        <w:fldChar w:fldCharType="end"/>
      </w:r>
    </w:p>
    <w:p>
      <w:pPr>
        <w:pStyle w:val="13"/>
        <w:tabs>
          <w:tab w:val="right" w:leader="dot" w:pos="8959"/>
        </w:tabs>
        <w:ind w:left="960"/>
      </w:pPr>
      <w:r>
        <w:fldChar w:fldCharType="begin"/>
      </w:r>
      <w:r>
        <w:instrText xml:space="preserve"> HYPERLINK \l "_Toc21979" </w:instrText>
      </w:r>
      <w:r>
        <w:fldChar w:fldCharType="separate"/>
      </w:r>
      <w:r>
        <w:rPr>
          <w:rFonts w:hint="eastAsia" w:asciiTheme="minorEastAsia" w:hAnsiTheme="minorEastAsia" w:cstheme="minorEastAsia"/>
          <w:snapToGrid w:val="0"/>
          <w:szCs w:val="24"/>
        </w:rPr>
        <w:t>1  依据</w:t>
      </w:r>
      <w:r>
        <w:tab/>
      </w:r>
      <w:r>
        <w:fldChar w:fldCharType="begin"/>
      </w:r>
      <w:r>
        <w:instrText xml:space="preserve"> PAGEREF _Toc21979 </w:instrText>
      </w:r>
      <w:r>
        <w:fldChar w:fldCharType="separate"/>
      </w:r>
      <w:r>
        <w:t>28</w:t>
      </w:r>
      <w:r>
        <w:fldChar w:fldCharType="end"/>
      </w:r>
      <w:r>
        <w:fldChar w:fldCharType="end"/>
      </w:r>
    </w:p>
    <w:p>
      <w:pPr>
        <w:pStyle w:val="13"/>
        <w:tabs>
          <w:tab w:val="right" w:leader="dot" w:pos="8959"/>
        </w:tabs>
        <w:ind w:left="960"/>
      </w:pPr>
      <w:r>
        <w:fldChar w:fldCharType="begin"/>
      </w:r>
      <w:r>
        <w:instrText xml:space="preserve"> HYPERLINK \l "_Toc12475" </w:instrText>
      </w:r>
      <w:r>
        <w:fldChar w:fldCharType="separate"/>
      </w:r>
      <w:r>
        <w:rPr>
          <w:rFonts w:hint="eastAsia" w:asciiTheme="minorEastAsia" w:hAnsiTheme="minorEastAsia" w:cstheme="minorEastAsia"/>
          <w:snapToGrid w:val="0"/>
          <w:szCs w:val="24"/>
        </w:rPr>
        <w:t>2  评审原则</w:t>
      </w:r>
      <w:r>
        <w:tab/>
      </w:r>
      <w:r>
        <w:fldChar w:fldCharType="begin"/>
      </w:r>
      <w:r>
        <w:instrText xml:space="preserve"> PAGEREF _Toc12475 </w:instrText>
      </w:r>
      <w:r>
        <w:fldChar w:fldCharType="separate"/>
      </w:r>
      <w:r>
        <w:t>28</w:t>
      </w:r>
      <w:r>
        <w:fldChar w:fldCharType="end"/>
      </w:r>
      <w:r>
        <w:fldChar w:fldCharType="end"/>
      </w:r>
    </w:p>
    <w:p>
      <w:pPr>
        <w:pStyle w:val="13"/>
        <w:tabs>
          <w:tab w:val="right" w:leader="dot" w:pos="8959"/>
        </w:tabs>
        <w:ind w:left="960"/>
      </w:pPr>
      <w:r>
        <w:fldChar w:fldCharType="begin"/>
      </w:r>
      <w:r>
        <w:instrText xml:space="preserve"> HYPERLINK \l "_Toc26353" </w:instrText>
      </w:r>
      <w:r>
        <w:fldChar w:fldCharType="separate"/>
      </w:r>
      <w:r>
        <w:rPr>
          <w:rFonts w:asciiTheme="minorEastAsia" w:hAnsiTheme="minorEastAsia" w:cstheme="minorEastAsia"/>
          <w:snapToGrid w:val="0"/>
          <w:szCs w:val="24"/>
        </w:rPr>
        <w:t xml:space="preserve">3 </w:t>
      </w:r>
      <w:r>
        <w:rPr>
          <w:rFonts w:hint="eastAsia" w:asciiTheme="minorEastAsia" w:hAnsiTheme="minorEastAsia" w:cstheme="minorEastAsia"/>
          <w:snapToGrid w:val="0"/>
          <w:szCs w:val="24"/>
        </w:rPr>
        <w:t>评审组织</w:t>
      </w:r>
      <w:r>
        <w:tab/>
      </w:r>
      <w:r>
        <w:fldChar w:fldCharType="begin"/>
      </w:r>
      <w:r>
        <w:instrText xml:space="preserve"> PAGEREF _Toc26353 </w:instrText>
      </w:r>
      <w:r>
        <w:fldChar w:fldCharType="separate"/>
      </w:r>
      <w:r>
        <w:t>28</w:t>
      </w:r>
      <w:r>
        <w:fldChar w:fldCharType="end"/>
      </w:r>
      <w:r>
        <w:fldChar w:fldCharType="end"/>
      </w:r>
    </w:p>
    <w:p>
      <w:pPr>
        <w:pStyle w:val="21"/>
        <w:tabs>
          <w:tab w:val="right" w:leader="dot" w:pos="8959"/>
        </w:tabs>
        <w:ind w:left="480"/>
      </w:pPr>
      <w:r>
        <w:fldChar w:fldCharType="begin"/>
      </w:r>
      <w:r>
        <w:instrText xml:space="preserve"> HYPERLINK \l "_Toc5635" </w:instrText>
      </w:r>
      <w:r>
        <w:fldChar w:fldCharType="separate"/>
      </w:r>
      <w:r>
        <w:rPr>
          <w:rFonts w:hint="eastAsia" w:ascii="宋体" w:hAnsi="宋体"/>
          <w:szCs w:val="30"/>
        </w:rPr>
        <w:t>第四章 合同条款及格式</w:t>
      </w:r>
      <w:r>
        <w:tab/>
      </w:r>
      <w:r>
        <w:fldChar w:fldCharType="begin"/>
      </w:r>
      <w:r>
        <w:instrText xml:space="preserve"> PAGEREF _Toc5635 </w:instrText>
      </w:r>
      <w:r>
        <w:fldChar w:fldCharType="separate"/>
      </w:r>
      <w:r>
        <w:t>33</w:t>
      </w:r>
      <w:r>
        <w:fldChar w:fldCharType="end"/>
      </w:r>
      <w:r>
        <w:fldChar w:fldCharType="end"/>
      </w:r>
    </w:p>
    <w:p>
      <w:pPr>
        <w:pStyle w:val="21"/>
        <w:tabs>
          <w:tab w:val="right" w:leader="dot" w:pos="8959"/>
        </w:tabs>
        <w:ind w:left="480"/>
      </w:pPr>
      <w:r>
        <w:fldChar w:fldCharType="begin"/>
      </w:r>
      <w:r>
        <w:instrText xml:space="preserve"> HYPERLINK \l "_Toc24864" </w:instrText>
      </w:r>
      <w:r>
        <w:fldChar w:fldCharType="separate"/>
      </w:r>
      <w:r>
        <w:t>第一节通用合同条款</w:t>
      </w:r>
      <w:r>
        <w:tab/>
      </w:r>
      <w:r>
        <w:fldChar w:fldCharType="begin"/>
      </w:r>
      <w:r>
        <w:instrText xml:space="preserve"> PAGEREF _Toc24864 </w:instrText>
      </w:r>
      <w:r>
        <w:fldChar w:fldCharType="separate"/>
      </w:r>
      <w:r>
        <w:t>33</w:t>
      </w:r>
      <w:r>
        <w:fldChar w:fldCharType="end"/>
      </w:r>
      <w:r>
        <w:fldChar w:fldCharType="end"/>
      </w:r>
    </w:p>
    <w:p>
      <w:pPr>
        <w:pStyle w:val="21"/>
        <w:tabs>
          <w:tab w:val="right" w:leader="dot" w:pos="8959"/>
        </w:tabs>
        <w:ind w:left="480"/>
      </w:pPr>
      <w:r>
        <w:fldChar w:fldCharType="begin"/>
      </w:r>
      <w:r>
        <w:instrText xml:space="preserve"> HYPERLINK \l "_Toc20098" </w:instrText>
      </w:r>
      <w:r>
        <w:fldChar w:fldCharType="separate"/>
      </w:r>
      <w:r>
        <w:rPr>
          <w:bCs/>
        </w:rPr>
        <w:t>第二节专用合同条款</w:t>
      </w:r>
      <w:r>
        <w:tab/>
      </w:r>
      <w:r>
        <w:fldChar w:fldCharType="begin"/>
      </w:r>
      <w:r>
        <w:instrText xml:space="preserve"> PAGEREF _Toc20098 </w:instrText>
      </w:r>
      <w:r>
        <w:fldChar w:fldCharType="separate"/>
      </w:r>
      <w:r>
        <w:t>33</w:t>
      </w:r>
      <w:r>
        <w:fldChar w:fldCharType="end"/>
      </w:r>
      <w:r>
        <w:fldChar w:fldCharType="end"/>
      </w:r>
    </w:p>
    <w:p>
      <w:pPr>
        <w:pStyle w:val="13"/>
        <w:tabs>
          <w:tab w:val="right" w:leader="dot" w:pos="8959"/>
        </w:tabs>
        <w:ind w:left="960"/>
      </w:pPr>
      <w:r>
        <w:fldChar w:fldCharType="begin"/>
      </w:r>
      <w:r>
        <w:instrText xml:space="preserve"> HYPERLINK \l "_Toc21278" </w:instrText>
      </w:r>
      <w:r>
        <w:fldChar w:fldCharType="separate"/>
      </w:r>
      <w:r>
        <w:rPr>
          <w:rFonts w:ascii="宋体" w:hAnsi="宋体" w:eastAsia="宋体"/>
          <w:snapToGrid w:val="0"/>
          <w:szCs w:val="21"/>
        </w:rPr>
        <w:t>1．一般约定</w:t>
      </w:r>
      <w:r>
        <w:tab/>
      </w:r>
      <w:r>
        <w:fldChar w:fldCharType="begin"/>
      </w:r>
      <w:r>
        <w:instrText xml:space="preserve"> PAGEREF _Toc21278 </w:instrText>
      </w:r>
      <w:r>
        <w:fldChar w:fldCharType="separate"/>
      </w:r>
      <w:r>
        <w:t>33</w:t>
      </w:r>
      <w:r>
        <w:fldChar w:fldCharType="end"/>
      </w:r>
      <w:r>
        <w:fldChar w:fldCharType="end"/>
      </w:r>
    </w:p>
    <w:p>
      <w:pPr>
        <w:pStyle w:val="13"/>
        <w:tabs>
          <w:tab w:val="right" w:leader="dot" w:pos="8959"/>
        </w:tabs>
        <w:ind w:left="960"/>
      </w:pPr>
      <w:r>
        <w:fldChar w:fldCharType="begin"/>
      </w:r>
      <w:r>
        <w:instrText xml:space="preserve"> HYPERLINK \l "_Toc29743" </w:instrText>
      </w:r>
      <w:r>
        <w:fldChar w:fldCharType="separate"/>
      </w:r>
      <w:r>
        <w:rPr>
          <w:rFonts w:ascii="宋体" w:hAnsi="宋体" w:eastAsia="宋体"/>
          <w:snapToGrid w:val="0"/>
          <w:szCs w:val="21"/>
        </w:rPr>
        <w:t>2．发包人义务</w:t>
      </w:r>
      <w:r>
        <w:tab/>
      </w:r>
      <w:r>
        <w:fldChar w:fldCharType="begin"/>
      </w:r>
      <w:r>
        <w:instrText xml:space="preserve"> PAGEREF _Toc29743 </w:instrText>
      </w:r>
      <w:r>
        <w:fldChar w:fldCharType="separate"/>
      </w:r>
      <w:r>
        <w:t>34</w:t>
      </w:r>
      <w:r>
        <w:fldChar w:fldCharType="end"/>
      </w:r>
      <w:r>
        <w:fldChar w:fldCharType="end"/>
      </w:r>
    </w:p>
    <w:p>
      <w:pPr>
        <w:pStyle w:val="13"/>
        <w:tabs>
          <w:tab w:val="right" w:leader="dot" w:pos="8959"/>
        </w:tabs>
        <w:ind w:left="960"/>
      </w:pPr>
      <w:r>
        <w:fldChar w:fldCharType="begin"/>
      </w:r>
      <w:r>
        <w:instrText xml:space="preserve"> HYPERLINK \l "_Toc1214" </w:instrText>
      </w:r>
      <w:r>
        <w:fldChar w:fldCharType="separate"/>
      </w:r>
      <w:r>
        <w:rPr>
          <w:rFonts w:ascii="宋体" w:hAnsi="宋体" w:eastAsia="宋体"/>
          <w:snapToGrid w:val="0"/>
          <w:szCs w:val="21"/>
        </w:rPr>
        <w:t>3监理人</w:t>
      </w:r>
      <w:r>
        <w:tab/>
      </w:r>
      <w:r>
        <w:fldChar w:fldCharType="begin"/>
      </w:r>
      <w:r>
        <w:instrText xml:space="preserve"> PAGEREF _Toc1214 </w:instrText>
      </w:r>
      <w:r>
        <w:fldChar w:fldCharType="separate"/>
      </w:r>
      <w:r>
        <w:t>34</w:t>
      </w:r>
      <w:r>
        <w:fldChar w:fldCharType="end"/>
      </w:r>
      <w:r>
        <w:fldChar w:fldCharType="end"/>
      </w:r>
    </w:p>
    <w:p>
      <w:pPr>
        <w:pStyle w:val="13"/>
        <w:tabs>
          <w:tab w:val="right" w:leader="dot" w:pos="8959"/>
        </w:tabs>
        <w:ind w:left="960"/>
      </w:pPr>
      <w:r>
        <w:fldChar w:fldCharType="begin"/>
      </w:r>
      <w:r>
        <w:instrText xml:space="preserve"> HYPERLINK \l "_Toc13952" </w:instrText>
      </w:r>
      <w:r>
        <w:fldChar w:fldCharType="separate"/>
      </w:r>
      <w:r>
        <w:rPr>
          <w:rFonts w:ascii="宋体" w:hAnsi="宋体" w:eastAsia="宋体"/>
          <w:snapToGrid w:val="0"/>
          <w:szCs w:val="21"/>
        </w:rPr>
        <w:t>4承包人</w:t>
      </w:r>
      <w:r>
        <w:tab/>
      </w:r>
      <w:r>
        <w:fldChar w:fldCharType="begin"/>
      </w:r>
      <w:r>
        <w:instrText xml:space="preserve"> PAGEREF _Toc13952 </w:instrText>
      </w:r>
      <w:r>
        <w:fldChar w:fldCharType="separate"/>
      </w:r>
      <w:r>
        <w:t>34</w:t>
      </w:r>
      <w:r>
        <w:fldChar w:fldCharType="end"/>
      </w:r>
      <w:r>
        <w:fldChar w:fldCharType="end"/>
      </w:r>
    </w:p>
    <w:p>
      <w:pPr>
        <w:pStyle w:val="13"/>
        <w:tabs>
          <w:tab w:val="right" w:leader="dot" w:pos="8959"/>
        </w:tabs>
        <w:ind w:left="960"/>
      </w:pPr>
      <w:r>
        <w:fldChar w:fldCharType="begin"/>
      </w:r>
      <w:r>
        <w:instrText xml:space="preserve"> HYPERLINK \l "_Toc31448" </w:instrText>
      </w:r>
      <w:r>
        <w:fldChar w:fldCharType="separate"/>
      </w:r>
      <w:r>
        <w:rPr>
          <w:rFonts w:ascii="宋体" w:hAnsi="宋体" w:eastAsia="宋体"/>
          <w:snapToGrid w:val="0"/>
          <w:szCs w:val="21"/>
        </w:rPr>
        <w:t>5材料和工程设备</w:t>
      </w:r>
      <w:r>
        <w:tab/>
      </w:r>
      <w:r>
        <w:fldChar w:fldCharType="begin"/>
      </w:r>
      <w:r>
        <w:instrText xml:space="preserve"> PAGEREF _Toc31448 </w:instrText>
      </w:r>
      <w:r>
        <w:fldChar w:fldCharType="separate"/>
      </w:r>
      <w:r>
        <w:t>35</w:t>
      </w:r>
      <w:r>
        <w:fldChar w:fldCharType="end"/>
      </w:r>
      <w:r>
        <w:fldChar w:fldCharType="end"/>
      </w:r>
    </w:p>
    <w:p>
      <w:pPr>
        <w:pStyle w:val="13"/>
        <w:tabs>
          <w:tab w:val="right" w:leader="dot" w:pos="8959"/>
        </w:tabs>
        <w:ind w:left="960"/>
      </w:pPr>
      <w:r>
        <w:fldChar w:fldCharType="begin"/>
      </w:r>
      <w:r>
        <w:instrText xml:space="preserve"> HYPERLINK \l "_Toc21794" </w:instrText>
      </w:r>
      <w:r>
        <w:fldChar w:fldCharType="separate"/>
      </w:r>
      <w:r>
        <w:rPr>
          <w:rFonts w:ascii="宋体" w:hAnsi="宋体" w:eastAsia="宋体"/>
          <w:snapToGrid w:val="0"/>
          <w:szCs w:val="21"/>
        </w:rPr>
        <w:t>6施工设备和临时设施</w:t>
      </w:r>
      <w:r>
        <w:tab/>
      </w:r>
      <w:r>
        <w:fldChar w:fldCharType="begin"/>
      </w:r>
      <w:r>
        <w:instrText xml:space="preserve"> PAGEREF _Toc21794 </w:instrText>
      </w:r>
      <w:r>
        <w:fldChar w:fldCharType="separate"/>
      </w:r>
      <w:r>
        <w:t>35</w:t>
      </w:r>
      <w:r>
        <w:fldChar w:fldCharType="end"/>
      </w:r>
      <w:r>
        <w:fldChar w:fldCharType="end"/>
      </w:r>
    </w:p>
    <w:p>
      <w:pPr>
        <w:pStyle w:val="13"/>
        <w:tabs>
          <w:tab w:val="right" w:leader="dot" w:pos="8959"/>
        </w:tabs>
        <w:ind w:left="960"/>
      </w:pPr>
      <w:r>
        <w:fldChar w:fldCharType="begin"/>
      </w:r>
      <w:r>
        <w:instrText xml:space="preserve"> HYPERLINK \l "_Toc29630" </w:instrText>
      </w:r>
      <w:r>
        <w:fldChar w:fldCharType="separate"/>
      </w:r>
      <w:r>
        <w:rPr>
          <w:rFonts w:ascii="宋体" w:hAnsi="宋体" w:eastAsia="宋体"/>
          <w:snapToGrid w:val="0"/>
          <w:szCs w:val="21"/>
        </w:rPr>
        <w:t>7交通运输</w:t>
      </w:r>
      <w:r>
        <w:tab/>
      </w:r>
      <w:r>
        <w:fldChar w:fldCharType="begin"/>
      </w:r>
      <w:r>
        <w:instrText xml:space="preserve"> PAGEREF _Toc29630 </w:instrText>
      </w:r>
      <w:r>
        <w:fldChar w:fldCharType="separate"/>
      </w:r>
      <w:r>
        <w:t>35</w:t>
      </w:r>
      <w:r>
        <w:fldChar w:fldCharType="end"/>
      </w:r>
      <w:r>
        <w:fldChar w:fldCharType="end"/>
      </w:r>
    </w:p>
    <w:p>
      <w:pPr>
        <w:pStyle w:val="13"/>
        <w:tabs>
          <w:tab w:val="right" w:leader="dot" w:pos="8959"/>
        </w:tabs>
        <w:ind w:left="960"/>
      </w:pPr>
      <w:r>
        <w:fldChar w:fldCharType="begin"/>
      </w:r>
      <w:r>
        <w:instrText xml:space="preserve"> HYPERLINK \l "_Toc25901" </w:instrText>
      </w:r>
      <w:r>
        <w:fldChar w:fldCharType="separate"/>
      </w:r>
      <w:r>
        <w:rPr>
          <w:rFonts w:ascii="宋体" w:hAnsi="宋体" w:eastAsia="宋体"/>
          <w:snapToGrid w:val="0"/>
          <w:szCs w:val="21"/>
        </w:rPr>
        <w:t>8测量放线</w:t>
      </w:r>
      <w:r>
        <w:tab/>
      </w:r>
      <w:r>
        <w:fldChar w:fldCharType="begin"/>
      </w:r>
      <w:r>
        <w:instrText xml:space="preserve"> PAGEREF _Toc25901 </w:instrText>
      </w:r>
      <w:r>
        <w:fldChar w:fldCharType="separate"/>
      </w:r>
      <w:r>
        <w:t>36</w:t>
      </w:r>
      <w:r>
        <w:fldChar w:fldCharType="end"/>
      </w:r>
      <w:r>
        <w:fldChar w:fldCharType="end"/>
      </w:r>
    </w:p>
    <w:p>
      <w:pPr>
        <w:pStyle w:val="13"/>
        <w:tabs>
          <w:tab w:val="right" w:leader="dot" w:pos="8959"/>
        </w:tabs>
        <w:ind w:left="960"/>
      </w:pPr>
      <w:r>
        <w:fldChar w:fldCharType="begin"/>
      </w:r>
      <w:r>
        <w:instrText xml:space="preserve"> HYPERLINK \l "_Toc26632" </w:instrText>
      </w:r>
      <w:r>
        <w:fldChar w:fldCharType="separate"/>
      </w:r>
      <w:r>
        <w:rPr>
          <w:rFonts w:hint="eastAsia" w:ascii="宋体" w:hAnsi="宋体" w:eastAsia="宋体"/>
          <w:snapToGrid w:val="0"/>
          <w:szCs w:val="21"/>
        </w:rPr>
        <w:t>9 施工安全、治安保卫和环境保护</w:t>
      </w:r>
      <w:r>
        <w:tab/>
      </w:r>
      <w:r>
        <w:fldChar w:fldCharType="begin"/>
      </w:r>
      <w:r>
        <w:instrText xml:space="preserve"> PAGEREF _Toc26632 </w:instrText>
      </w:r>
      <w:r>
        <w:fldChar w:fldCharType="separate"/>
      </w:r>
      <w:r>
        <w:t>36</w:t>
      </w:r>
      <w:r>
        <w:fldChar w:fldCharType="end"/>
      </w:r>
      <w:r>
        <w:fldChar w:fldCharType="end"/>
      </w:r>
    </w:p>
    <w:p>
      <w:pPr>
        <w:pStyle w:val="13"/>
        <w:tabs>
          <w:tab w:val="right" w:leader="dot" w:pos="8959"/>
        </w:tabs>
        <w:ind w:left="960"/>
      </w:pPr>
      <w:r>
        <w:fldChar w:fldCharType="begin"/>
      </w:r>
      <w:r>
        <w:instrText xml:space="preserve"> HYPERLINK \l "_Toc23858" </w:instrText>
      </w:r>
      <w:r>
        <w:fldChar w:fldCharType="separate"/>
      </w:r>
      <w:r>
        <w:rPr>
          <w:rFonts w:ascii="宋体" w:hAnsi="宋体" w:eastAsia="宋体"/>
          <w:snapToGrid w:val="0"/>
          <w:szCs w:val="21"/>
        </w:rPr>
        <w:t>11开工和</w:t>
      </w:r>
      <w:r>
        <w:rPr>
          <w:rFonts w:hint="eastAsia" w:ascii="宋体" w:hAnsi="宋体" w:eastAsia="宋体"/>
          <w:snapToGrid w:val="0"/>
          <w:szCs w:val="21"/>
        </w:rPr>
        <w:t>竣工（</w:t>
      </w:r>
      <w:r>
        <w:rPr>
          <w:rFonts w:ascii="宋体" w:hAnsi="宋体" w:eastAsia="宋体"/>
          <w:snapToGrid w:val="0"/>
          <w:szCs w:val="21"/>
        </w:rPr>
        <w:t>完工</w:t>
      </w:r>
      <w:r>
        <w:rPr>
          <w:rFonts w:hint="eastAsia" w:ascii="宋体" w:hAnsi="宋体" w:eastAsia="宋体"/>
          <w:snapToGrid w:val="0"/>
          <w:szCs w:val="21"/>
        </w:rPr>
        <w:t>）</w:t>
      </w:r>
      <w:r>
        <w:tab/>
      </w:r>
      <w:r>
        <w:fldChar w:fldCharType="begin"/>
      </w:r>
      <w:r>
        <w:instrText xml:space="preserve"> PAGEREF _Toc23858 </w:instrText>
      </w:r>
      <w:r>
        <w:fldChar w:fldCharType="separate"/>
      </w:r>
      <w:r>
        <w:t>36</w:t>
      </w:r>
      <w:r>
        <w:fldChar w:fldCharType="end"/>
      </w:r>
      <w:r>
        <w:fldChar w:fldCharType="end"/>
      </w:r>
    </w:p>
    <w:p>
      <w:pPr>
        <w:pStyle w:val="13"/>
        <w:tabs>
          <w:tab w:val="right" w:leader="dot" w:pos="8959"/>
        </w:tabs>
        <w:ind w:left="960"/>
      </w:pPr>
      <w:r>
        <w:fldChar w:fldCharType="begin"/>
      </w:r>
      <w:r>
        <w:instrText xml:space="preserve"> HYPERLINK \l "_Toc15092" </w:instrText>
      </w:r>
      <w:r>
        <w:fldChar w:fldCharType="separate"/>
      </w:r>
      <w:r>
        <w:rPr>
          <w:rFonts w:ascii="宋体" w:hAnsi="宋体" w:eastAsia="宋体"/>
          <w:snapToGrid w:val="0"/>
          <w:szCs w:val="21"/>
        </w:rPr>
        <w:t>1</w:t>
      </w:r>
      <w:r>
        <w:rPr>
          <w:rFonts w:hint="eastAsia" w:ascii="宋体" w:hAnsi="宋体" w:eastAsia="宋体"/>
          <w:snapToGrid w:val="0"/>
          <w:szCs w:val="21"/>
        </w:rPr>
        <w:t>2 暂停施工</w:t>
      </w:r>
      <w:r>
        <w:tab/>
      </w:r>
      <w:r>
        <w:fldChar w:fldCharType="begin"/>
      </w:r>
      <w:r>
        <w:instrText xml:space="preserve"> PAGEREF _Toc15092 </w:instrText>
      </w:r>
      <w:r>
        <w:fldChar w:fldCharType="separate"/>
      </w:r>
      <w:r>
        <w:t>36</w:t>
      </w:r>
      <w:r>
        <w:fldChar w:fldCharType="end"/>
      </w:r>
      <w:r>
        <w:fldChar w:fldCharType="end"/>
      </w:r>
    </w:p>
    <w:p>
      <w:pPr>
        <w:pStyle w:val="13"/>
        <w:tabs>
          <w:tab w:val="right" w:leader="dot" w:pos="8959"/>
        </w:tabs>
        <w:ind w:left="960"/>
      </w:pPr>
      <w:r>
        <w:fldChar w:fldCharType="begin"/>
      </w:r>
      <w:r>
        <w:instrText xml:space="preserve"> HYPERLINK \l "_Toc1694" </w:instrText>
      </w:r>
      <w:r>
        <w:fldChar w:fldCharType="separate"/>
      </w:r>
      <w:r>
        <w:rPr>
          <w:rFonts w:ascii="宋体" w:hAnsi="宋体" w:eastAsia="宋体"/>
          <w:snapToGrid w:val="0"/>
          <w:szCs w:val="21"/>
        </w:rPr>
        <w:t>13．工程质量</w:t>
      </w:r>
      <w:r>
        <w:tab/>
      </w:r>
      <w:r>
        <w:fldChar w:fldCharType="begin"/>
      </w:r>
      <w:r>
        <w:instrText xml:space="preserve"> PAGEREF _Toc1694 </w:instrText>
      </w:r>
      <w:r>
        <w:fldChar w:fldCharType="separate"/>
      </w:r>
      <w:r>
        <w:t>37</w:t>
      </w:r>
      <w:r>
        <w:fldChar w:fldCharType="end"/>
      </w:r>
      <w:r>
        <w:fldChar w:fldCharType="end"/>
      </w:r>
    </w:p>
    <w:p>
      <w:pPr>
        <w:pStyle w:val="13"/>
        <w:tabs>
          <w:tab w:val="right" w:leader="dot" w:pos="8959"/>
        </w:tabs>
        <w:ind w:left="960"/>
      </w:pPr>
      <w:r>
        <w:fldChar w:fldCharType="begin"/>
      </w:r>
      <w:r>
        <w:instrText xml:space="preserve"> HYPERLINK \l "_Toc24252" </w:instrText>
      </w:r>
      <w:r>
        <w:fldChar w:fldCharType="separate"/>
      </w:r>
      <w:r>
        <w:rPr>
          <w:rFonts w:ascii="宋体" w:hAnsi="宋体" w:eastAsia="宋体"/>
          <w:snapToGrid w:val="0"/>
          <w:szCs w:val="21"/>
        </w:rPr>
        <w:t>1</w:t>
      </w:r>
      <w:r>
        <w:rPr>
          <w:rFonts w:hint="eastAsia" w:ascii="宋体" w:hAnsi="宋体" w:eastAsia="宋体"/>
          <w:snapToGrid w:val="0"/>
          <w:szCs w:val="21"/>
        </w:rPr>
        <w:t>4 验收和检验</w:t>
      </w:r>
      <w:r>
        <w:tab/>
      </w:r>
      <w:r>
        <w:fldChar w:fldCharType="begin"/>
      </w:r>
      <w:r>
        <w:instrText xml:space="preserve"> PAGEREF _Toc24252 </w:instrText>
      </w:r>
      <w:r>
        <w:fldChar w:fldCharType="separate"/>
      </w:r>
      <w:r>
        <w:t>37</w:t>
      </w:r>
      <w:r>
        <w:fldChar w:fldCharType="end"/>
      </w:r>
      <w:r>
        <w:fldChar w:fldCharType="end"/>
      </w:r>
    </w:p>
    <w:p>
      <w:pPr>
        <w:pStyle w:val="13"/>
        <w:tabs>
          <w:tab w:val="right" w:leader="dot" w:pos="8959"/>
        </w:tabs>
        <w:ind w:left="960"/>
      </w:pPr>
      <w:r>
        <w:fldChar w:fldCharType="begin"/>
      </w:r>
      <w:r>
        <w:instrText xml:space="preserve"> HYPERLINK \l "_Toc10049" </w:instrText>
      </w:r>
      <w:r>
        <w:fldChar w:fldCharType="separate"/>
      </w:r>
      <w:r>
        <w:rPr>
          <w:rFonts w:ascii="宋体" w:hAnsi="宋体" w:eastAsia="宋体"/>
          <w:snapToGrid w:val="0"/>
          <w:szCs w:val="21"/>
        </w:rPr>
        <w:t>15变更</w:t>
      </w:r>
      <w:r>
        <w:tab/>
      </w:r>
      <w:r>
        <w:fldChar w:fldCharType="begin"/>
      </w:r>
      <w:r>
        <w:instrText xml:space="preserve"> PAGEREF _Toc10049 </w:instrText>
      </w:r>
      <w:r>
        <w:fldChar w:fldCharType="separate"/>
      </w:r>
      <w:r>
        <w:t>37</w:t>
      </w:r>
      <w:r>
        <w:fldChar w:fldCharType="end"/>
      </w:r>
      <w:r>
        <w:fldChar w:fldCharType="end"/>
      </w:r>
    </w:p>
    <w:p>
      <w:pPr>
        <w:pStyle w:val="13"/>
        <w:tabs>
          <w:tab w:val="right" w:leader="dot" w:pos="8959"/>
        </w:tabs>
        <w:ind w:left="960"/>
      </w:pPr>
      <w:r>
        <w:fldChar w:fldCharType="begin"/>
      </w:r>
      <w:r>
        <w:instrText xml:space="preserve"> HYPERLINK \l "_Toc5251" </w:instrText>
      </w:r>
      <w:r>
        <w:fldChar w:fldCharType="separate"/>
      </w:r>
      <w:r>
        <w:rPr>
          <w:rFonts w:ascii="宋体" w:hAnsi="宋体" w:eastAsia="宋体"/>
          <w:snapToGrid w:val="0"/>
          <w:szCs w:val="21"/>
        </w:rPr>
        <w:t>16价格调整</w:t>
      </w:r>
      <w:r>
        <w:tab/>
      </w:r>
      <w:r>
        <w:fldChar w:fldCharType="begin"/>
      </w:r>
      <w:r>
        <w:instrText xml:space="preserve"> PAGEREF _Toc5251 </w:instrText>
      </w:r>
      <w:r>
        <w:fldChar w:fldCharType="separate"/>
      </w:r>
      <w:r>
        <w:t>38</w:t>
      </w:r>
      <w:r>
        <w:fldChar w:fldCharType="end"/>
      </w:r>
      <w:r>
        <w:fldChar w:fldCharType="end"/>
      </w:r>
    </w:p>
    <w:p>
      <w:pPr>
        <w:pStyle w:val="13"/>
        <w:tabs>
          <w:tab w:val="right" w:leader="dot" w:pos="8959"/>
        </w:tabs>
        <w:ind w:left="960"/>
      </w:pPr>
      <w:r>
        <w:fldChar w:fldCharType="begin"/>
      </w:r>
      <w:r>
        <w:instrText xml:space="preserve"> HYPERLINK \l "_Toc3067" </w:instrText>
      </w:r>
      <w:r>
        <w:fldChar w:fldCharType="separate"/>
      </w:r>
      <w:r>
        <w:rPr>
          <w:rFonts w:hint="eastAsia" w:ascii="宋体" w:hAnsi="宋体" w:eastAsia="宋体"/>
          <w:snapToGrid w:val="0"/>
          <w:szCs w:val="21"/>
        </w:rPr>
        <w:t>18 竣工验收（验收）</w:t>
      </w:r>
      <w:r>
        <w:tab/>
      </w:r>
      <w:r>
        <w:fldChar w:fldCharType="begin"/>
      </w:r>
      <w:r>
        <w:instrText xml:space="preserve"> PAGEREF _Toc3067 </w:instrText>
      </w:r>
      <w:r>
        <w:fldChar w:fldCharType="separate"/>
      </w:r>
      <w:r>
        <w:t>38</w:t>
      </w:r>
      <w:r>
        <w:fldChar w:fldCharType="end"/>
      </w:r>
      <w:r>
        <w:fldChar w:fldCharType="end"/>
      </w:r>
    </w:p>
    <w:p>
      <w:pPr>
        <w:pStyle w:val="13"/>
        <w:tabs>
          <w:tab w:val="right" w:leader="dot" w:pos="8959"/>
        </w:tabs>
        <w:ind w:left="960"/>
      </w:pPr>
      <w:r>
        <w:fldChar w:fldCharType="begin"/>
      </w:r>
      <w:r>
        <w:instrText xml:space="preserve"> HYPERLINK \l "_Toc27852" </w:instrText>
      </w:r>
      <w:r>
        <w:fldChar w:fldCharType="separate"/>
      </w:r>
      <w:r>
        <w:rPr>
          <w:rFonts w:ascii="宋体" w:hAnsi="宋体" w:eastAsia="宋体"/>
          <w:snapToGrid w:val="0"/>
          <w:szCs w:val="21"/>
        </w:rPr>
        <w:t>19缺陷责任与保修责任</w:t>
      </w:r>
      <w:r>
        <w:tab/>
      </w:r>
      <w:r>
        <w:fldChar w:fldCharType="begin"/>
      </w:r>
      <w:r>
        <w:instrText xml:space="preserve"> PAGEREF _Toc27852 </w:instrText>
      </w:r>
      <w:r>
        <w:fldChar w:fldCharType="separate"/>
      </w:r>
      <w:r>
        <w:t>39</w:t>
      </w:r>
      <w:r>
        <w:fldChar w:fldCharType="end"/>
      </w:r>
      <w:r>
        <w:fldChar w:fldCharType="end"/>
      </w:r>
    </w:p>
    <w:p>
      <w:pPr>
        <w:pStyle w:val="13"/>
        <w:tabs>
          <w:tab w:val="right" w:leader="dot" w:pos="8959"/>
        </w:tabs>
        <w:ind w:left="960"/>
      </w:pPr>
      <w:r>
        <w:fldChar w:fldCharType="begin"/>
      </w:r>
      <w:r>
        <w:instrText xml:space="preserve"> HYPERLINK \l "_Toc9690" </w:instrText>
      </w:r>
      <w:r>
        <w:fldChar w:fldCharType="separate"/>
      </w:r>
      <w:r>
        <w:rPr>
          <w:rFonts w:ascii="宋体" w:hAnsi="宋体" w:eastAsia="宋体"/>
          <w:snapToGrid w:val="0"/>
          <w:szCs w:val="21"/>
        </w:rPr>
        <w:t>20保险</w:t>
      </w:r>
      <w:r>
        <w:tab/>
      </w:r>
      <w:r>
        <w:fldChar w:fldCharType="begin"/>
      </w:r>
      <w:r>
        <w:instrText xml:space="preserve"> PAGEREF _Toc9690 </w:instrText>
      </w:r>
      <w:r>
        <w:fldChar w:fldCharType="separate"/>
      </w:r>
      <w:r>
        <w:t>39</w:t>
      </w:r>
      <w:r>
        <w:fldChar w:fldCharType="end"/>
      </w:r>
      <w:r>
        <w:fldChar w:fldCharType="end"/>
      </w:r>
    </w:p>
    <w:p>
      <w:pPr>
        <w:pStyle w:val="21"/>
        <w:tabs>
          <w:tab w:val="right" w:leader="dot" w:pos="8959"/>
        </w:tabs>
        <w:ind w:left="480"/>
      </w:pPr>
      <w:r>
        <w:fldChar w:fldCharType="begin"/>
      </w:r>
      <w:r>
        <w:instrText xml:space="preserve"> HYPERLINK \l "_Toc5279" </w:instrText>
      </w:r>
      <w:r>
        <w:fldChar w:fldCharType="separate"/>
      </w:r>
      <w:r>
        <w:rPr>
          <w:rFonts w:hint="eastAsia"/>
        </w:rPr>
        <w:t>第三节</w:t>
      </w:r>
      <w:r>
        <w:t>合同附件格式</w:t>
      </w:r>
      <w:r>
        <w:tab/>
      </w:r>
      <w:r>
        <w:fldChar w:fldCharType="begin"/>
      </w:r>
      <w:r>
        <w:instrText xml:space="preserve"> PAGEREF _Toc5279 </w:instrText>
      </w:r>
      <w:r>
        <w:fldChar w:fldCharType="separate"/>
      </w:r>
      <w:r>
        <w:t>41</w:t>
      </w:r>
      <w:r>
        <w:fldChar w:fldCharType="end"/>
      </w:r>
      <w:r>
        <w:fldChar w:fldCharType="end"/>
      </w:r>
    </w:p>
    <w:p>
      <w:pPr>
        <w:pStyle w:val="13"/>
        <w:tabs>
          <w:tab w:val="right" w:leader="dot" w:pos="8959"/>
        </w:tabs>
        <w:ind w:left="960"/>
      </w:pPr>
      <w:r>
        <w:fldChar w:fldCharType="begin"/>
      </w:r>
      <w:r>
        <w:instrText xml:space="preserve"> HYPERLINK \l "_Toc13619" </w:instrText>
      </w:r>
      <w:r>
        <w:fldChar w:fldCharType="separate"/>
      </w:r>
      <w:r>
        <w:rPr>
          <w:snapToGrid w:val="0"/>
        </w:rPr>
        <w:t>附件一</w:t>
      </w:r>
      <w:r>
        <w:rPr>
          <w:rFonts w:hint="eastAsia"/>
          <w:snapToGrid w:val="0"/>
        </w:rPr>
        <w:t>：合同协议书</w:t>
      </w:r>
      <w:r>
        <w:tab/>
      </w:r>
      <w:r>
        <w:fldChar w:fldCharType="begin"/>
      </w:r>
      <w:r>
        <w:instrText xml:space="preserve"> PAGEREF _Toc13619 </w:instrText>
      </w:r>
      <w:r>
        <w:fldChar w:fldCharType="separate"/>
      </w:r>
      <w:r>
        <w:t>41</w:t>
      </w:r>
      <w:r>
        <w:fldChar w:fldCharType="end"/>
      </w:r>
      <w:r>
        <w:fldChar w:fldCharType="end"/>
      </w:r>
    </w:p>
    <w:p>
      <w:pPr>
        <w:pStyle w:val="13"/>
        <w:tabs>
          <w:tab w:val="right" w:leader="dot" w:pos="8959"/>
        </w:tabs>
        <w:ind w:left="960"/>
      </w:pPr>
      <w:r>
        <w:fldChar w:fldCharType="begin"/>
      </w:r>
      <w:r>
        <w:instrText xml:space="preserve"> HYPERLINK \l "_Toc5015" </w:instrText>
      </w:r>
      <w:r>
        <w:fldChar w:fldCharType="separate"/>
      </w:r>
      <w:r>
        <w:rPr>
          <w:snapToGrid w:val="0"/>
        </w:rPr>
        <w:t>附件</w:t>
      </w:r>
      <w:r>
        <w:rPr>
          <w:rFonts w:hint="eastAsia"/>
          <w:snapToGrid w:val="0"/>
          <w:lang w:eastAsia="zh-CN"/>
        </w:rPr>
        <w:t>二</w:t>
      </w:r>
      <w:r>
        <w:rPr>
          <w:rFonts w:hint="eastAsia"/>
          <w:snapToGrid w:val="0"/>
        </w:rPr>
        <w:t>：工程廉政责任书</w:t>
      </w:r>
      <w:r>
        <w:tab/>
      </w:r>
      <w:r>
        <w:fldChar w:fldCharType="begin"/>
      </w:r>
      <w:r>
        <w:instrText xml:space="preserve"> PAGEREF _Toc5015 </w:instrText>
      </w:r>
      <w:r>
        <w:fldChar w:fldCharType="separate"/>
      </w:r>
      <w:r>
        <w:t>42</w:t>
      </w:r>
      <w:r>
        <w:fldChar w:fldCharType="end"/>
      </w:r>
      <w:r>
        <w:fldChar w:fldCharType="end"/>
      </w:r>
    </w:p>
    <w:p>
      <w:pPr>
        <w:pStyle w:val="21"/>
        <w:tabs>
          <w:tab w:val="right" w:leader="dot" w:pos="8959"/>
        </w:tabs>
        <w:ind w:left="480"/>
      </w:pPr>
      <w:r>
        <w:fldChar w:fldCharType="begin"/>
      </w:r>
      <w:r>
        <w:instrText xml:space="preserve"> HYPERLINK \l "_Toc25326" </w:instrText>
      </w:r>
      <w:r>
        <w:fldChar w:fldCharType="separate"/>
      </w:r>
      <w:r>
        <w:rPr>
          <w:rFonts w:hint="eastAsia" w:ascii="宋体" w:hAnsi="宋体"/>
          <w:szCs w:val="30"/>
        </w:rPr>
        <w:t>第五章 工程量清单</w:t>
      </w:r>
      <w:r>
        <w:tab/>
      </w:r>
      <w:r>
        <w:fldChar w:fldCharType="begin"/>
      </w:r>
      <w:r>
        <w:instrText xml:space="preserve"> PAGEREF _Toc25326 </w:instrText>
      </w:r>
      <w:r>
        <w:fldChar w:fldCharType="separate"/>
      </w:r>
      <w:r>
        <w:t>53</w:t>
      </w:r>
      <w:r>
        <w:fldChar w:fldCharType="end"/>
      </w:r>
      <w:r>
        <w:fldChar w:fldCharType="end"/>
      </w:r>
    </w:p>
    <w:p>
      <w:pPr>
        <w:pStyle w:val="21"/>
        <w:tabs>
          <w:tab w:val="right" w:leader="dot" w:pos="8959"/>
        </w:tabs>
        <w:ind w:left="480"/>
      </w:pPr>
      <w:r>
        <w:fldChar w:fldCharType="begin"/>
      </w:r>
      <w:r>
        <w:instrText xml:space="preserve"> HYPERLINK \l "_Toc20453" </w:instrText>
      </w:r>
      <w:r>
        <w:fldChar w:fldCharType="separate"/>
      </w:r>
      <w:r>
        <w:rPr>
          <w:rFonts w:hint="eastAsia" w:ascii="宋体" w:hAnsi="宋体"/>
          <w:szCs w:val="52"/>
        </w:rPr>
        <w:t>第   二   卷</w:t>
      </w:r>
      <w:r>
        <w:tab/>
      </w:r>
      <w:r>
        <w:fldChar w:fldCharType="begin"/>
      </w:r>
      <w:r>
        <w:instrText xml:space="preserve"> PAGEREF _Toc20453 </w:instrText>
      </w:r>
      <w:r>
        <w:fldChar w:fldCharType="separate"/>
      </w:r>
      <w:r>
        <w:t>54</w:t>
      </w:r>
      <w:r>
        <w:fldChar w:fldCharType="end"/>
      </w:r>
      <w:r>
        <w:fldChar w:fldCharType="end"/>
      </w:r>
    </w:p>
    <w:p>
      <w:pPr>
        <w:pStyle w:val="21"/>
        <w:tabs>
          <w:tab w:val="right" w:leader="dot" w:pos="8959"/>
        </w:tabs>
        <w:ind w:left="480"/>
      </w:pPr>
      <w:r>
        <w:fldChar w:fldCharType="begin"/>
      </w:r>
      <w:r>
        <w:instrText xml:space="preserve"> HYPERLINK \l "_Toc5942" </w:instrText>
      </w:r>
      <w:r>
        <w:fldChar w:fldCharType="separate"/>
      </w:r>
      <w:r>
        <w:rPr>
          <w:rFonts w:ascii="宋体" w:hAnsi="宋体"/>
          <w:szCs w:val="32"/>
        </w:rPr>
        <w:t>第六章 图纸</w:t>
      </w:r>
      <w:r>
        <w:tab/>
      </w:r>
      <w:r>
        <w:fldChar w:fldCharType="begin"/>
      </w:r>
      <w:r>
        <w:instrText xml:space="preserve"> PAGEREF _Toc5942 </w:instrText>
      </w:r>
      <w:r>
        <w:fldChar w:fldCharType="separate"/>
      </w:r>
      <w:r>
        <w:t>55</w:t>
      </w:r>
      <w:r>
        <w:fldChar w:fldCharType="end"/>
      </w:r>
      <w:r>
        <w:fldChar w:fldCharType="end"/>
      </w:r>
    </w:p>
    <w:p>
      <w:pPr>
        <w:pStyle w:val="21"/>
        <w:tabs>
          <w:tab w:val="right" w:leader="dot" w:pos="8959"/>
        </w:tabs>
        <w:ind w:left="480"/>
      </w:pPr>
      <w:r>
        <w:fldChar w:fldCharType="begin"/>
      </w:r>
      <w:r>
        <w:instrText xml:space="preserve"> HYPERLINK \l "_Toc30994" </w:instrText>
      </w:r>
      <w:r>
        <w:fldChar w:fldCharType="separate"/>
      </w:r>
      <w:r>
        <w:rPr>
          <w:rFonts w:hint="eastAsia" w:ascii="宋体" w:hAnsi="宋体"/>
          <w:szCs w:val="52"/>
        </w:rPr>
        <w:t>第   三   卷</w:t>
      </w:r>
      <w:r>
        <w:tab/>
      </w:r>
      <w:r>
        <w:fldChar w:fldCharType="begin"/>
      </w:r>
      <w:r>
        <w:instrText xml:space="preserve"> PAGEREF _Toc30994 </w:instrText>
      </w:r>
      <w:r>
        <w:fldChar w:fldCharType="separate"/>
      </w:r>
      <w:r>
        <w:t>56</w:t>
      </w:r>
      <w:r>
        <w:fldChar w:fldCharType="end"/>
      </w:r>
      <w:r>
        <w:fldChar w:fldCharType="end"/>
      </w:r>
    </w:p>
    <w:p>
      <w:pPr>
        <w:pStyle w:val="21"/>
        <w:tabs>
          <w:tab w:val="right" w:leader="dot" w:pos="8959"/>
        </w:tabs>
        <w:ind w:left="480"/>
      </w:pPr>
      <w:r>
        <w:fldChar w:fldCharType="begin"/>
      </w:r>
      <w:r>
        <w:instrText xml:space="preserve"> HYPERLINK \l "_Toc17604" </w:instrText>
      </w:r>
      <w:r>
        <w:fldChar w:fldCharType="separate"/>
      </w:r>
      <w:r>
        <w:rPr>
          <w:rFonts w:hint="eastAsia" w:ascii="宋体" w:hAnsi="宋体"/>
          <w:szCs w:val="32"/>
        </w:rPr>
        <w:t xml:space="preserve">第七章  </w:t>
      </w:r>
      <w:r>
        <w:rPr>
          <w:rFonts w:hint="eastAsia" w:ascii="宋体" w:hAnsi="宋体"/>
          <w:bCs/>
          <w:szCs w:val="32"/>
        </w:rPr>
        <w:t>技术标</w:t>
      </w:r>
      <w:r>
        <w:rPr>
          <w:rFonts w:ascii="宋体" w:hAnsi="宋体"/>
          <w:bCs/>
          <w:szCs w:val="32"/>
        </w:rPr>
        <w:t>准和要求</w:t>
      </w:r>
      <w:r>
        <w:rPr>
          <w:rFonts w:hint="eastAsia" w:ascii="宋体" w:hAnsi="宋体"/>
          <w:bCs/>
          <w:szCs w:val="32"/>
        </w:rPr>
        <w:t>（合同技术条款）</w:t>
      </w:r>
      <w:r>
        <w:tab/>
      </w:r>
      <w:r>
        <w:fldChar w:fldCharType="begin"/>
      </w:r>
      <w:r>
        <w:instrText xml:space="preserve"> PAGEREF _Toc17604 </w:instrText>
      </w:r>
      <w:r>
        <w:fldChar w:fldCharType="separate"/>
      </w:r>
      <w:r>
        <w:t>57</w:t>
      </w:r>
      <w:r>
        <w:fldChar w:fldCharType="end"/>
      </w:r>
      <w:r>
        <w:fldChar w:fldCharType="end"/>
      </w:r>
    </w:p>
    <w:p>
      <w:pPr>
        <w:pStyle w:val="21"/>
        <w:tabs>
          <w:tab w:val="right" w:leader="dot" w:pos="8959"/>
        </w:tabs>
        <w:ind w:left="480"/>
      </w:pPr>
      <w:r>
        <w:fldChar w:fldCharType="begin"/>
      </w:r>
      <w:r>
        <w:instrText xml:space="preserve"> HYPERLINK \l "_Toc976" </w:instrText>
      </w:r>
      <w:r>
        <w:fldChar w:fldCharType="separate"/>
      </w:r>
      <w:r>
        <w:rPr>
          <w:rFonts w:hint="eastAsia"/>
          <w:szCs w:val="30"/>
        </w:rPr>
        <w:t>第1节一般规定</w:t>
      </w:r>
      <w:r>
        <w:tab/>
      </w:r>
      <w:r>
        <w:fldChar w:fldCharType="begin"/>
      </w:r>
      <w:r>
        <w:instrText xml:space="preserve"> PAGEREF _Toc976 </w:instrText>
      </w:r>
      <w:r>
        <w:fldChar w:fldCharType="separate"/>
      </w:r>
      <w:r>
        <w:t>57</w:t>
      </w:r>
      <w:r>
        <w:fldChar w:fldCharType="end"/>
      </w:r>
      <w:r>
        <w:fldChar w:fldCharType="end"/>
      </w:r>
    </w:p>
    <w:p>
      <w:pPr>
        <w:pStyle w:val="13"/>
        <w:tabs>
          <w:tab w:val="right" w:leader="dot" w:pos="8959"/>
        </w:tabs>
        <w:ind w:left="960"/>
      </w:pPr>
      <w:r>
        <w:fldChar w:fldCharType="begin"/>
      </w:r>
      <w:r>
        <w:instrText xml:space="preserve"> HYPERLINK \l "_Toc15988" </w:instrText>
      </w:r>
      <w:r>
        <w:fldChar w:fldCharType="separate"/>
      </w:r>
      <w:r>
        <w:rPr>
          <w:rFonts w:hint="eastAsia" w:ascii="宋体" w:hAnsi="宋体" w:eastAsia="宋体"/>
          <w:snapToGrid w:val="0"/>
          <w:szCs w:val="21"/>
        </w:rPr>
        <w:t>1.1 说明</w:t>
      </w:r>
      <w:r>
        <w:tab/>
      </w:r>
      <w:r>
        <w:fldChar w:fldCharType="begin"/>
      </w:r>
      <w:r>
        <w:instrText xml:space="preserve"> PAGEREF _Toc15988 </w:instrText>
      </w:r>
      <w:r>
        <w:fldChar w:fldCharType="separate"/>
      </w:r>
      <w:r>
        <w:t>57</w:t>
      </w:r>
      <w:r>
        <w:fldChar w:fldCharType="end"/>
      </w:r>
      <w:r>
        <w:fldChar w:fldCharType="end"/>
      </w:r>
    </w:p>
    <w:p>
      <w:pPr>
        <w:pStyle w:val="13"/>
        <w:tabs>
          <w:tab w:val="right" w:leader="dot" w:pos="8959"/>
        </w:tabs>
        <w:ind w:left="960"/>
      </w:pPr>
      <w:r>
        <w:fldChar w:fldCharType="begin"/>
      </w:r>
      <w:r>
        <w:instrText xml:space="preserve"> HYPERLINK \l "_Toc19608" </w:instrText>
      </w:r>
      <w:r>
        <w:fldChar w:fldCharType="separate"/>
      </w:r>
      <w:r>
        <w:rPr>
          <w:rFonts w:ascii="宋体" w:hAnsi="宋体" w:eastAsia="宋体"/>
          <w:snapToGrid w:val="0"/>
          <w:szCs w:val="21"/>
        </w:rPr>
        <w:t xml:space="preserve">1.2 </w:t>
      </w:r>
      <w:r>
        <w:rPr>
          <w:rFonts w:hint="eastAsia" w:ascii="宋体" w:hAnsi="宋体" w:eastAsia="宋体"/>
          <w:snapToGrid w:val="0"/>
          <w:szCs w:val="21"/>
        </w:rPr>
        <w:t>合同工作范围</w:t>
      </w:r>
      <w:r>
        <w:tab/>
      </w:r>
      <w:r>
        <w:fldChar w:fldCharType="begin"/>
      </w:r>
      <w:r>
        <w:instrText xml:space="preserve"> PAGEREF _Toc19608 </w:instrText>
      </w:r>
      <w:r>
        <w:fldChar w:fldCharType="separate"/>
      </w:r>
      <w:r>
        <w:t>57</w:t>
      </w:r>
      <w:r>
        <w:fldChar w:fldCharType="end"/>
      </w:r>
      <w:r>
        <w:fldChar w:fldCharType="end"/>
      </w:r>
    </w:p>
    <w:p>
      <w:pPr>
        <w:pStyle w:val="21"/>
        <w:tabs>
          <w:tab w:val="right" w:leader="dot" w:pos="8959"/>
        </w:tabs>
        <w:ind w:left="480"/>
      </w:pPr>
      <w:r>
        <w:fldChar w:fldCharType="begin"/>
      </w:r>
      <w:r>
        <w:instrText xml:space="preserve"> HYPERLINK \l "_Toc14252" </w:instrText>
      </w:r>
      <w:r>
        <w:fldChar w:fldCharType="separate"/>
      </w:r>
      <w:r>
        <w:rPr>
          <w:rFonts w:hint="eastAsia"/>
          <w:szCs w:val="30"/>
        </w:rPr>
        <w:t>第2节施工临时设施</w:t>
      </w:r>
      <w:r>
        <w:tab/>
      </w:r>
      <w:r>
        <w:fldChar w:fldCharType="begin"/>
      </w:r>
      <w:r>
        <w:instrText xml:space="preserve"> PAGEREF _Toc14252 </w:instrText>
      </w:r>
      <w:r>
        <w:fldChar w:fldCharType="separate"/>
      </w:r>
      <w:r>
        <w:t>66</w:t>
      </w:r>
      <w:r>
        <w:fldChar w:fldCharType="end"/>
      </w:r>
      <w:r>
        <w:fldChar w:fldCharType="end"/>
      </w:r>
    </w:p>
    <w:p>
      <w:pPr>
        <w:pStyle w:val="13"/>
        <w:tabs>
          <w:tab w:val="right" w:leader="dot" w:pos="8959"/>
        </w:tabs>
        <w:ind w:left="960"/>
      </w:pPr>
      <w:r>
        <w:fldChar w:fldCharType="begin"/>
      </w:r>
      <w:r>
        <w:instrText xml:space="preserve"> HYPERLINK \l "_Toc1763" </w:instrText>
      </w:r>
      <w:r>
        <w:fldChar w:fldCharType="separate"/>
      </w:r>
      <w:r>
        <w:rPr>
          <w:rFonts w:hint="eastAsia" w:hAnsi="宋体"/>
          <w:szCs w:val="21"/>
        </w:rPr>
        <w:t>2.1 一般规定</w:t>
      </w:r>
      <w:r>
        <w:tab/>
      </w:r>
      <w:r>
        <w:fldChar w:fldCharType="begin"/>
      </w:r>
      <w:r>
        <w:instrText xml:space="preserve"> PAGEREF _Toc1763 </w:instrText>
      </w:r>
      <w:r>
        <w:fldChar w:fldCharType="separate"/>
      </w:r>
      <w:r>
        <w:t>67</w:t>
      </w:r>
      <w:r>
        <w:fldChar w:fldCharType="end"/>
      </w:r>
      <w:r>
        <w:fldChar w:fldCharType="end"/>
      </w:r>
    </w:p>
    <w:p>
      <w:pPr>
        <w:pStyle w:val="13"/>
        <w:tabs>
          <w:tab w:val="right" w:leader="dot" w:pos="8959"/>
        </w:tabs>
        <w:ind w:left="960"/>
      </w:pPr>
      <w:r>
        <w:fldChar w:fldCharType="begin"/>
      </w:r>
      <w:r>
        <w:instrText xml:space="preserve"> HYPERLINK \l "_Toc13593" </w:instrText>
      </w:r>
      <w:r>
        <w:fldChar w:fldCharType="separate"/>
      </w:r>
      <w:r>
        <w:rPr>
          <w:rFonts w:hint="eastAsia" w:hAnsi="宋体"/>
          <w:szCs w:val="21"/>
        </w:rPr>
        <w:t>2.2 现场施工测量</w:t>
      </w:r>
      <w:r>
        <w:tab/>
      </w:r>
      <w:r>
        <w:fldChar w:fldCharType="begin"/>
      </w:r>
      <w:r>
        <w:instrText xml:space="preserve"> PAGEREF _Toc13593 </w:instrText>
      </w:r>
      <w:r>
        <w:fldChar w:fldCharType="separate"/>
      </w:r>
      <w:r>
        <w:t>67</w:t>
      </w:r>
      <w:r>
        <w:fldChar w:fldCharType="end"/>
      </w:r>
      <w:r>
        <w:fldChar w:fldCharType="end"/>
      </w:r>
    </w:p>
    <w:p>
      <w:pPr>
        <w:pStyle w:val="13"/>
        <w:tabs>
          <w:tab w:val="right" w:leader="dot" w:pos="8959"/>
        </w:tabs>
        <w:ind w:left="960"/>
      </w:pPr>
      <w:r>
        <w:fldChar w:fldCharType="begin"/>
      </w:r>
      <w:r>
        <w:instrText xml:space="preserve"> HYPERLINK \l "_Toc12117" </w:instrText>
      </w:r>
      <w:r>
        <w:fldChar w:fldCharType="separate"/>
      </w:r>
      <w:r>
        <w:rPr>
          <w:rFonts w:hint="eastAsia" w:hAnsi="宋体"/>
          <w:szCs w:val="21"/>
        </w:rPr>
        <w:t>2.3 现场试验</w:t>
      </w:r>
      <w:r>
        <w:tab/>
      </w:r>
      <w:r>
        <w:fldChar w:fldCharType="begin"/>
      </w:r>
      <w:r>
        <w:instrText xml:space="preserve"> PAGEREF _Toc12117 </w:instrText>
      </w:r>
      <w:r>
        <w:fldChar w:fldCharType="separate"/>
      </w:r>
      <w:r>
        <w:t>67</w:t>
      </w:r>
      <w:r>
        <w:fldChar w:fldCharType="end"/>
      </w:r>
      <w:r>
        <w:fldChar w:fldCharType="end"/>
      </w:r>
    </w:p>
    <w:p>
      <w:pPr>
        <w:pStyle w:val="13"/>
        <w:tabs>
          <w:tab w:val="right" w:leader="dot" w:pos="8959"/>
        </w:tabs>
        <w:ind w:left="960"/>
      </w:pPr>
      <w:r>
        <w:fldChar w:fldCharType="begin"/>
      </w:r>
      <w:r>
        <w:instrText xml:space="preserve"> HYPERLINK \l "_Toc26807" </w:instrText>
      </w:r>
      <w:r>
        <w:fldChar w:fldCharType="separate"/>
      </w:r>
      <w:r>
        <w:rPr>
          <w:rFonts w:hint="eastAsia" w:hAnsi="宋体"/>
          <w:szCs w:val="21"/>
        </w:rPr>
        <w:t>2.4 施工交通</w:t>
      </w:r>
      <w:r>
        <w:tab/>
      </w:r>
      <w:r>
        <w:fldChar w:fldCharType="begin"/>
      </w:r>
      <w:r>
        <w:instrText xml:space="preserve"> PAGEREF _Toc26807 </w:instrText>
      </w:r>
      <w:r>
        <w:fldChar w:fldCharType="separate"/>
      </w:r>
      <w:r>
        <w:t>67</w:t>
      </w:r>
      <w:r>
        <w:fldChar w:fldCharType="end"/>
      </w:r>
      <w:r>
        <w:fldChar w:fldCharType="end"/>
      </w:r>
    </w:p>
    <w:p>
      <w:pPr>
        <w:pStyle w:val="13"/>
        <w:tabs>
          <w:tab w:val="right" w:leader="dot" w:pos="8959"/>
        </w:tabs>
        <w:ind w:left="960"/>
      </w:pPr>
      <w:r>
        <w:fldChar w:fldCharType="begin"/>
      </w:r>
      <w:r>
        <w:instrText xml:space="preserve"> HYPERLINK \l "_Toc24639" </w:instrText>
      </w:r>
      <w:r>
        <w:fldChar w:fldCharType="separate"/>
      </w:r>
      <w:r>
        <w:rPr>
          <w:rFonts w:hint="eastAsia" w:hAnsi="宋体"/>
          <w:szCs w:val="21"/>
        </w:rPr>
        <w:t>2.5 施工供电</w:t>
      </w:r>
      <w:r>
        <w:tab/>
      </w:r>
      <w:r>
        <w:fldChar w:fldCharType="begin"/>
      </w:r>
      <w:r>
        <w:instrText xml:space="preserve"> PAGEREF _Toc24639 </w:instrText>
      </w:r>
      <w:r>
        <w:fldChar w:fldCharType="separate"/>
      </w:r>
      <w:r>
        <w:t>68</w:t>
      </w:r>
      <w:r>
        <w:fldChar w:fldCharType="end"/>
      </w:r>
      <w:r>
        <w:fldChar w:fldCharType="end"/>
      </w:r>
    </w:p>
    <w:p>
      <w:pPr>
        <w:pStyle w:val="13"/>
        <w:tabs>
          <w:tab w:val="right" w:leader="dot" w:pos="8959"/>
        </w:tabs>
        <w:ind w:left="960"/>
      </w:pPr>
      <w:r>
        <w:fldChar w:fldCharType="begin"/>
      </w:r>
      <w:r>
        <w:instrText xml:space="preserve"> HYPERLINK \l "_Toc31438" </w:instrText>
      </w:r>
      <w:r>
        <w:fldChar w:fldCharType="separate"/>
      </w:r>
      <w:r>
        <w:rPr>
          <w:rFonts w:hint="eastAsia" w:hAnsi="宋体"/>
          <w:szCs w:val="21"/>
        </w:rPr>
        <w:t>2.6 施工供水</w:t>
      </w:r>
      <w:r>
        <w:tab/>
      </w:r>
      <w:r>
        <w:fldChar w:fldCharType="begin"/>
      </w:r>
      <w:r>
        <w:instrText xml:space="preserve"> PAGEREF _Toc31438 </w:instrText>
      </w:r>
      <w:r>
        <w:fldChar w:fldCharType="separate"/>
      </w:r>
      <w:r>
        <w:t>68</w:t>
      </w:r>
      <w:r>
        <w:fldChar w:fldCharType="end"/>
      </w:r>
      <w:r>
        <w:fldChar w:fldCharType="end"/>
      </w:r>
    </w:p>
    <w:p>
      <w:pPr>
        <w:pStyle w:val="13"/>
        <w:tabs>
          <w:tab w:val="right" w:leader="dot" w:pos="8959"/>
        </w:tabs>
        <w:ind w:left="960"/>
      </w:pPr>
      <w:r>
        <w:fldChar w:fldCharType="begin"/>
      </w:r>
      <w:r>
        <w:instrText xml:space="preserve"> HYPERLINK \l "_Toc8986" </w:instrText>
      </w:r>
      <w:r>
        <w:fldChar w:fldCharType="separate"/>
      </w:r>
      <w:r>
        <w:rPr>
          <w:rFonts w:hint="eastAsia" w:hAnsi="宋体"/>
          <w:szCs w:val="21"/>
        </w:rPr>
        <w:t>2.7 施工供风</w:t>
      </w:r>
      <w:r>
        <w:tab/>
      </w:r>
      <w:r>
        <w:fldChar w:fldCharType="begin"/>
      </w:r>
      <w:r>
        <w:instrText xml:space="preserve"> PAGEREF _Toc8986 </w:instrText>
      </w:r>
      <w:r>
        <w:fldChar w:fldCharType="separate"/>
      </w:r>
      <w:r>
        <w:t>68</w:t>
      </w:r>
      <w:r>
        <w:fldChar w:fldCharType="end"/>
      </w:r>
      <w:r>
        <w:fldChar w:fldCharType="end"/>
      </w:r>
    </w:p>
    <w:p>
      <w:pPr>
        <w:pStyle w:val="13"/>
        <w:tabs>
          <w:tab w:val="right" w:leader="dot" w:pos="8959"/>
        </w:tabs>
        <w:ind w:left="960"/>
      </w:pPr>
      <w:r>
        <w:fldChar w:fldCharType="begin"/>
      </w:r>
      <w:r>
        <w:instrText xml:space="preserve"> HYPERLINK \l "_Toc4094" </w:instrText>
      </w:r>
      <w:r>
        <w:fldChar w:fldCharType="separate"/>
      </w:r>
      <w:r>
        <w:rPr>
          <w:rFonts w:hint="eastAsia" w:hAnsi="宋体"/>
          <w:szCs w:val="21"/>
        </w:rPr>
        <w:t>2.8 施工照明</w:t>
      </w:r>
      <w:r>
        <w:tab/>
      </w:r>
      <w:r>
        <w:fldChar w:fldCharType="begin"/>
      </w:r>
      <w:r>
        <w:instrText xml:space="preserve"> PAGEREF _Toc4094 </w:instrText>
      </w:r>
      <w:r>
        <w:fldChar w:fldCharType="separate"/>
      </w:r>
      <w:r>
        <w:t>68</w:t>
      </w:r>
      <w:r>
        <w:fldChar w:fldCharType="end"/>
      </w:r>
      <w:r>
        <w:fldChar w:fldCharType="end"/>
      </w:r>
    </w:p>
    <w:p>
      <w:pPr>
        <w:pStyle w:val="13"/>
        <w:tabs>
          <w:tab w:val="right" w:leader="dot" w:pos="8959"/>
        </w:tabs>
        <w:ind w:left="960"/>
      </w:pPr>
      <w:r>
        <w:fldChar w:fldCharType="begin"/>
      </w:r>
      <w:r>
        <w:instrText xml:space="preserve"> HYPERLINK \l "_Toc28393" </w:instrText>
      </w:r>
      <w:r>
        <w:fldChar w:fldCharType="separate"/>
      </w:r>
      <w:r>
        <w:rPr>
          <w:rFonts w:hint="eastAsia" w:hAnsi="宋体"/>
          <w:szCs w:val="21"/>
        </w:rPr>
        <w:t>2.9 施工通信</w:t>
      </w:r>
      <w:r>
        <w:tab/>
      </w:r>
      <w:r>
        <w:fldChar w:fldCharType="begin"/>
      </w:r>
      <w:r>
        <w:instrText xml:space="preserve"> PAGEREF _Toc28393 </w:instrText>
      </w:r>
      <w:r>
        <w:fldChar w:fldCharType="separate"/>
      </w:r>
      <w:r>
        <w:t>69</w:t>
      </w:r>
      <w:r>
        <w:fldChar w:fldCharType="end"/>
      </w:r>
      <w:r>
        <w:fldChar w:fldCharType="end"/>
      </w:r>
    </w:p>
    <w:p>
      <w:pPr>
        <w:pStyle w:val="13"/>
        <w:tabs>
          <w:tab w:val="right" w:leader="dot" w:pos="8959"/>
        </w:tabs>
        <w:ind w:left="960"/>
      </w:pPr>
      <w:r>
        <w:fldChar w:fldCharType="begin"/>
      </w:r>
      <w:r>
        <w:instrText xml:space="preserve"> HYPERLINK \l "_Toc7321" </w:instrText>
      </w:r>
      <w:r>
        <w:fldChar w:fldCharType="separate"/>
      </w:r>
      <w:r>
        <w:rPr>
          <w:rFonts w:hint="eastAsia" w:hAnsi="宋体"/>
          <w:szCs w:val="21"/>
        </w:rPr>
        <w:t>2.10 混凝土生产系统</w:t>
      </w:r>
      <w:r>
        <w:tab/>
      </w:r>
      <w:r>
        <w:fldChar w:fldCharType="begin"/>
      </w:r>
      <w:r>
        <w:instrText xml:space="preserve"> PAGEREF _Toc7321 </w:instrText>
      </w:r>
      <w:r>
        <w:fldChar w:fldCharType="separate"/>
      </w:r>
      <w:r>
        <w:t>69</w:t>
      </w:r>
      <w:r>
        <w:fldChar w:fldCharType="end"/>
      </w:r>
      <w:r>
        <w:fldChar w:fldCharType="end"/>
      </w:r>
    </w:p>
    <w:p>
      <w:pPr>
        <w:pStyle w:val="13"/>
        <w:tabs>
          <w:tab w:val="right" w:leader="dot" w:pos="8959"/>
        </w:tabs>
        <w:ind w:left="960"/>
      </w:pPr>
      <w:r>
        <w:fldChar w:fldCharType="begin"/>
      </w:r>
      <w:r>
        <w:instrText xml:space="preserve"> HYPERLINK \l "_Toc17061" </w:instrText>
      </w:r>
      <w:r>
        <w:fldChar w:fldCharType="separate"/>
      </w:r>
      <w:r>
        <w:rPr>
          <w:rFonts w:hint="eastAsia" w:hAnsi="宋体"/>
          <w:szCs w:val="21"/>
        </w:rPr>
        <w:t>2.11 临时工厂设施</w:t>
      </w:r>
      <w:r>
        <w:tab/>
      </w:r>
      <w:r>
        <w:fldChar w:fldCharType="begin"/>
      </w:r>
      <w:r>
        <w:instrText xml:space="preserve"> PAGEREF _Toc17061 </w:instrText>
      </w:r>
      <w:r>
        <w:fldChar w:fldCharType="separate"/>
      </w:r>
      <w:r>
        <w:t>69</w:t>
      </w:r>
      <w:r>
        <w:fldChar w:fldCharType="end"/>
      </w:r>
      <w:r>
        <w:fldChar w:fldCharType="end"/>
      </w:r>
    </w:p>
    <w:p>
      <w:pPr>
        <w:pStyle w:val="13"/>
        <w:tabs>
          <w:tab w:val="right" w:leader="dot" w:pos="8959"/>
        </w:tabs>
        <w:ind w:left="960"/>
      </w:pPr>
      <w:r>
        <w:fldChar w:fldCharType="begin"/>
      </w:r>
      <w:r>
        <w:instrText xml:space="preserve"> HYPERLINK \l "_Toc22488" </w:instrText>
      </w:r>
      <w:r>
        <w:fldChar w:fldCharType="separate"/>
      </w:r>
      <w:r>
        <w:rPr>
          <w:rFonts w:hint="eastAsia" w:hAnsi="宋体"/>
          <w:szCs w:val="21"/>
        </w:rPr>
        <w:t>2.12 仓库和堆、存料场</w:t>
      </w:r>
      <w:r>
        <w:tab/>
      </w:r>
      <w:r>
        <w:fldChar w:fldCharType="begin"/>
      </w:r>
      <w:r>
        <w:instrText xml:space="preserve"> PAGEREF _Toc22488 </w:instrText>
      </w:r>
      <w:r>
        <w:fldChar w:fldCharType="separate"/>
      </w:r>
      <w:r>
        <w:t>69</w:t>
      </w:r>
      <w:r>
        <w:fldChar w:fldCharType="end"/>
      </w:r>
      <w:r>
        <w:fldChar w:fldCharType="end"/>
      </w:r>
    </w:p>
    <w:p>
      <w:pPr>
        <w:pStyle w:val="13"/>
        <w:tabs>
          <w:tab w:val="right" w:leader="dot" w:pos="8959"/>
        </w:tabs>
        <w:ind w:left="960"/>
      </w:pPr>
      <w:r>
        <w:fldChar w:fldCharType="begin"/>
      </w:r>
      <w:r>
        <w:instrText xml:space="preserve"> HYPERLINK \l "_Toc1063" </w:instrText>
      </w:r>
      <w:r>
        <w:fldChar w:fldCharType="separate"/>
      </w:r>
      <w:r>
        <w:rPr>
          <w:rFonts w:hint="eastAsia" w:hAnsi="宋体"/>
          <w:szCs w:val="21"/>
        </w:rPr>
        <w:t>2.13 弃渣场</w:t>
      </w:r>
      <w:r>
        <w:tab/>
      </w:r>
      <w:r>
        <w:fldChar w:fldCharType="begin"/>
      </w:r>
      <w:r>
        <w:instrText xml:space="preserve"> PAGEREF _Toc1063 </w:instrText>
      </w:r>
      <w:r>
        <w:fldChar w:fldCharType="separate"/>
      </w:r>
      <w:r>
        <w:t>69</w:t>
      </w:r>
      <w:r>
        <w:fldChar w:fldCharType="end"/>
      </w:r>
      <w:r>
        <w:fldChar w:fldCharType="end"/>
      </w:r>
    </w:p>
    <w:p>
      <w:pPr>
        <w:pStyle w:val="21"/>
        <w:tabs>
          <w:tab w:val="right" w:leader="dot" w:pos="8959"/>
        </w:tabs>
        <w:ind w:left="480" w:firstLine="420" w:firstLineChars="200"/>
      </w:pPr>
      <w:r>
        <w:fldChar w:fldCharType="begin"/>
      </w:r>
      <w:r>
        <w:instrText xml:space="preserve"> HYPERLINK \l "_Toc30129" </w:instrText>
      </w:r>
      <w:r>
        <w:fldChar w:fldCharType="separate"/>
      </w:r>
      <w:r>
        <w:rPr>
          <w:rFonts w:hint="eastAsia" w:hAnsi="宋体"/>
          <w:szCs w:val="21"/>
        </w:rPr>
        <w:t>2.14 临时生产管理和生活设施</w:t>
      </w:r>
      <w:r>
        <w:tab/>
      </w:r>
      <w:r>
        <w:fldChar w:fldCharType="begin"/>
      </w:r>
      <w:r>
        <w:instrText xml:space="preserve"> PAGEREF _Toc30129 </w:instrText>
      </w:r>
      <w:r>
        <w:fldChar w:fldCharType="separate"/>
      </w:r>
      <w:r>
        <w:t>69</w:t>
      </w:r>
      <w:r>
        <w:fldChar w:fldCharType="end"/>
      </w:r>
      <w:r>
        <w:fldChar w:fldCharType="end"/>
      </w:r>
    </w:p>
    <w:p>
      <w:pPr>
        <w:pStyle w:val="21"/>
        <w:tabs>
          <w:tab w:val="right" w:leader="dot" w:pos="8959"/>
        </w:tabs>
        <w:ind w:left="480"/>
      </w:pPr>
      <w:r>
        <w:fldChar w:fldCharType="begin"/>
      </w:r>
      <w:r>
        <w:instrText xml:space="preserve"> HYPERLINK \l "_Toc20258" </w:instrText>
      </w:r>
      <w:r>
        <w:fldChar w:fldCharType="separate"/>
      </w:r>
      <w:r>
        <w:rPr>
          <w:rFonts w:hint="eastAsia" w:ascii="宋体" w:hAnsi="宋体" w:eastAsia="宋体" w:cs="宋体"/>
          <w:szCs w:val="21"/>
        </w:rPr>
        <w:t>第3节施工安全措施</w:t>
      </w:r>
      <w:r>
        <w:tab/>
      </w:r>
      <w:r>
        <w:fldChar w:fldCharType="begin"/>
      </w:r>
      <w:r>
        <w:instrText xml:space="preserve"> PAGEREF _Toc20258 </w:instrText>
      </w:r>
      <w:r>
        <w:fldChar w:fldCharType="separate"/>
      </w:r>
      <w:r>
        <w:t>71</w:t>
      </w:r>
      <w:r>
        <w:fldChar w:fldCharType="end"/>
      </w:r>
      <w:r>
        <w:fldChar w:fldCharType="end"/>
      </w:r>
    </w:p>
    <w:p>
      <w:pPr>
        <w:pStyle w:val="21"/>
        <w:tabs>
          <w:tab w:val="right" w:leader="dot" w:pos="8959"/>
        </w:tabs>
        <w:ind w:left="480" w:firstLine="420" w:firstLineChars="200"/>
      </w:pPr>
      <w:r>
        <w:fldChar w:fldCharType="begin"/>
      </w:r>
      <w:r>
        <w:instrText xml:space="preserve"> HYPERLINK \l "_Toc17489" </w:instrText>
      </w:r>
      <w:r>
        <w:fldChar w:fldCharType="separate"/>
      </w:r>
      <w:r>
        <w:rPr>
          <w:rFonts w:hint="eastAsia" w:hAnsi="宋体"/>
          <w:szCs w:val="21"/>
        </w:rPr>
        <w:t>3.1一般规定</w:t>
      </w:r>
      <w:r>
        <w:tab/>
      </w:r>
      <w:r>
        <w:fldChar w:fldCharType="begin"/>
      </w:r>
      <w:r>
        <w:instrText xml:space="preserve"> PAGEREF _Toc17489 </w:instrText>
      </w:r>
      <w:r>
        <w:fldChar w:fldCharType="separate"/>
      </w:r>
      <w:r>
        <w:t>71</w:t>
      </w:r>
      <w:r>
        <w:fldChar w:fldCharType="end"/>
      </w:r>
      <w:r>
        <w:fldChar w:fldCharType="end"/>
      </w:r>
    </w:p>
    <w:p>
      <w:pPr>
        <w:pStyle w:val="21"/>
        <w:tabs>
          <w:tab w:val="right" w:leader="dot" w:pos="8959"/>
        </w:tabs>
        <w:ind w:left="480" w:firstLine="420" w:firstLineChars="200"/>
      </w:pPr>
      <w:r>
        <w:fldChar w:fldCharType="begin"/>
      </w:r>
      <w:r>
        <w:instrText xml:space="preserve"> HYPERLINK \l "_Toc32045" </w:instrText>
      </w:r>
      <w:r>
        <w:fldChar w:fldCharType="separate"/>
      </w:r>
      <w:r>
        <w:rPr>
          <w:rFonts w:hint="eastAsia" w:hAnsi="宋体" w:eastAsia="宋体" w:cs="Times New Roman"/>
          <w:szCs w:val="21"/>
        </w:rPr>
        <w:t>3.2  文明施工措施</w:t>
      </w:r>
      <w:r>
        <w:tab/>
      </w:r>
      <w:r>
        <w:fldChar w:fldCharType="begin"/>
      </w:r>
      <w:r>
        <w:instrText xml:space="preserve"> PAGEREF _Toc32045 </w:instrText>
      </w:r>
      <w:r>
        <w:fldChar w:fldCharType="separate"/>
      </w:r>
      <w:r>
        <w:t>72</w:t>
      </w:r>
      <w:r>
        <w:fldChar w:fldCharType="end"/>
      </w:r>
      <w:r>
        <w:fldChar w:fldCharType="end"/>
      </w:r>
    </w:p>
    <w:p>
      <w:pPr>
        <w:pStyle w:val="21"/>
        <w:tabs>
          <w:tab w:val="right" w:leader="dot" w:pos="8959"/>
        </w:tabs>
        <w:ind w:left="480" w:firstLine="420" w:firstLineChars="200"/>
      </w:pPr>
      <w:r>
        <w:fldChar w:fldCharType="begin"/>
      </w:r>
      <w:r>
        <w:instrText xml:space="preserve"> HYPERLINK \l "_Toc29329" </w:instrText>
      </w:r>
      <w:r>
        <w:fldChar w:fldCharType="separate"/>
      </w:r>
      <w:r>
        <w:rPr>
          <w:rFonts w:hint="eastAsia" w:hAnsi="宋体" w:eastAsia="宋体" w:cs="Times New Roman"/>
          <w:szCs w:val="21"/>
        </w:rPr>
        <w:t>3.3施工安全措施</w:t>
      </w:r>
      <w:r>
        <w:tab/>
      </w:r>
      <w:r>
        <w:fldChar w:fldCharType="begin"/>
      </w:r>
      <w:r>
        <w:instrText xml:space="preserve"> PAGEREF _Toc29329 </w:instrText>
      </w:r>
      <w:r>
        <w:fldChar w:fldCharType="separate"/>
      </w:r>
      <w:r>
        <w:t>73</w:t>
      </w:r>
      <w:r>
        <w:fldChar w:fldCharType="end"/>
      </w:r>
      <w:r>
        <w:fldChar w:fldCharType="end"/>
      </w:r>
    </w:p>
    <w:p>
      <w:pPr>
        <w:pStyle w:val="21"/>
        <w:tabs>
          <w:tab w:val="right" w:leader="dot" w:pos="8959"/>
        </w:tabs>
        <w:ind w:left="480" w:firstLine="420" w:firstLineChars="200"/>
      </w:pPr>
      <w:r>
        <w:fldChar w:fldCharType="begin"/>
      </w:r>
      <w:r>
        <w:instrText xml:space="preserve"> HYPERLINK \l "_Toc14066" </w:instrText>
      </w:r>
      <w:r>
        <w:fldChar w:fldCharType="separate"/>
      </w:r>
      <w:r>
        <w:rPr>
          <w:rFonts w:hint="eastAsia" w:hAnsi="宋体" w:eastAsia="宋体" w:cs="Times New Roman"/>
          <w:szCs w:val="21"/>
        </w:rPr>
        <w:t>3.4应急救援措施</w:t>
      </w:r>
      <w:r>
        <w:tab/>
      </w:r>
      <w:r>
        <w:fldChar w:fldCharType="begin"/>
      </w:r>
      <w:r>
        <w:instrText xml:space="preserve"> PAGEREF _Toc14066 </w:instrText>
      </w:r>
      <w:r>
        <w:fldChar w:fldCharType="separate"/>
      </w:r>
      <w:r>
        <w:t>74</w:t>
      </w:r>
      <w:r>
        <w:fldChar w:fldCharType="end"/>
      </w:r>
      <w:r>
        <w:fldChar w:fldCharType="end"/>
      </w:r>
    </w:p>
    <w:p>
      <w:pPr>
        <w:pStyle w:val="21"/>
        <w:tabs>
          <w:tab w:val="right" w:leader="dot" w:pos="8959"/>
        </w:tabs>
        <w:ind w:left="480" w:firstLine="420" w:firstLineChars="200"/>
      </w:pPr>
      <w:r>
        <w:fldChar w:fldCharType="begin"/>
      </w:r>
      <w:r>
        <w:instrText xml:space="preserve"> HYPERLINK \l "_Toc11992" </w:instrText>
      </w:r>
      <w:r>
        <w:fldChar w:fldCharType="separate"/>
      </w:r>
      <w:r>
        <w:rPr>
          <w:rFonts w:hint="eastAsia" w:hAnsi="宋体" w:eastAsia="宋体" w:cs="Times New Roman"/>
          <w:szCs w:val="21"/>
        </w:rPr>
        <w:t>3.5  计量和支付</w:t>
      </w:r>
      <w:r>
        <w:tab/>
      </w:r>
      <w:r>
        <w:fldChar w:fldCharType="begin"/>
      </w:r>
      <w:r>
        <w:instrText xml:space="preserve"> PAGEREF _Toc11992 </w:instrText>
      </w:r>
      <w:r>
        <w:fldChar w:fldCharType="separate"/>
      </w:r>
      <w:r>
        <w:t>75</w:t>
      </w:r>
      <w:r>
        <w:fldChar w:fldCharType="end"/>
      </w:r>
      <w:r>
        <w:fldChar w:fldCharType="end"/>
      </w:r>
    </w:p>
    <w:p>
      <w:pPr>
        <w:pStyle w:val="21"/>
        <w:tabs>
          <w:tab w:val="right" w:leader="dot" w:pos="8959"/>
        </w:tabs>
        <w:ind w:left="480"/>
      </w:pPr>
      <w:r>
        <w:fldChar w:fldCharType="begin"/>
      </w:r>
      <w:r>
        <w:instrText xml:space="preserve"> HYPERLINK \l "_Toc2635" </w:instrText>
      </w:r>
      <w:r>
        <w:fldChar w:fldCharType="separate"/>
      </w:r>
      <w:r>
        <w:rPr>
          <w:szCs w:val="30"/>
        </w:rPr>
        <w:t>第</w:t>
      </w:r>
      <w:r>
        <w:rPr>
          <w:rFonts w:hint="eastAsia"/>
          <w:szCs w:val="30"/>
        </w:rPr>
        <w:t>4节环境保护和水土保持</w:t>
      </w:r>
      <w:r>
        <w:tab/>
      </w:r>
      <w:r>
        <w:fldChar w:fldCharType="begin"/>
      </w:r>
      <w:r>
        <w:instrText xml:space="preserve"> PAGEREF _Toc2635 </w:instrText>
      </w:r>
      <w:r>
        <w:fldChar w:fldCharType="separate"/>
      </w:r>
      <w:r>
        <w:t>75</w:t>
      </w:r>
      <w:r>
        <w:fldChar w:fldCharType="end"/>
      </w:r>
      <w:r>
        <w:fldChar w:fldCharType="end"/>
      </w:r>
    </w:p>
    <w:p>
      <w:pPr>
        <w:pStyle w:val="13"/>
        <w:tabs>
          <w:tab w:val="right" w:leader="dot" w:pos="8959"/>
        </w:tabs>
        <w:ind w:left="960"/>
      </w:pPr>
      <w:r>
        <w:fldChar w:fldCharType="begin"/>
      </w:r>
      <w:r>
        <w:instrText xml:space="preserve"> HYPERLINK \l "_Toc31146" </w:instrText>
      </w:r>
      <w:r>
        <w:fldChar w:fldCharType="separate"/>
      </w:r>
      <w:r>
        <w:rPr>
          <w:rFonts w:hint="eastAsia" w:hAnsi="宋体"/>
          <w:szCs w:val="21"/>
        </w:rPr>
        <w:t>4.1 一般规定</w:t>
      </w:r>
      <w:r>
        <w:tab/>
      </w:r>
      <w:r>
        <w:fldChar w:fldCharType="begin"/>
      </w:r>
      <w:r>
        <w:instrText xml:space="preserve"> PAGEREF _Toc31146 </w:instrText>
      </w:r>
      <w:r>
        <w:fldChar w:fldCharType="separate"/>
      </w:r>
      <w:r>
        <w:t>75</w:t>
      </w:r>
      <w:r>
        <w:fldChar w:fldCharType="end"/>
      </w:r>
      <w:r>
        <w:fldChar w:fldCharType="end"/>
      </w:r>
    </w:p>
    <w:p>
      <w:pPr>
        <w:pStyle w:val="13"/>
        <w:tabs>
          <w:tab w:val="right" w:leader="dot" w:pos="8959"/>
        </w:tabs>
        <w:ind w:left="960"/>
      </w:pPr>
      <w:r>
        <w:fldChar w:fldCharType="begin"/>
      </w:r>
      <w:r>
        <w:instrText xml:space="preserve"> HYPERLINK \l "_Toc10808" </w:instrText>
      </w:r>
      <w:r>
        <w:fldChar w:fldCharType="separate"/>
      </w:r>
      <w:r>
        <w:rPr>
          <w:rFonts w:hint="eastAsia" w:hAnsi="宋体"/>
          <w:szCs w:val="21"/>
        </w:rPr>
        <w:t>4.2 施工环境保护</w:t>
      </w:r>
      <w:r>
        <w:tab/>
      </w:r>
      <w:r>
        <w:fldChar w:fldCharType="begin"/>
      </w:r>
      <w:r>
        <w:instrText xml:space="preserve"> PAGEREF _Toc10808 </w:instrText>
      </w:r>
      <w:r>
        <w:fldChar w:fldCharType="separate"/>
      </w:r>
      <w:r>
        <w:t>77</w:t>
      </w:r>
      <w:r>
        <w:fldChar w:fldCharType="end"/>
      </w:r>
      <w:r>
        <w:fldChar w:fldCharType="end"/>
      </w:r>
    </w:p>
    <w:p>
      <w:pPr>
        <w:pStyle w:val="13"/>
        <w:tabs>
          <w:tab w:val="right" w:leader="dot" w:pos="8959"/>
        </w:tabs>
        <w:ind w:left="960"/>
      </w:pPr>
      <w:r>
        <w:fldChar w:fldCharType="begin"/>
      </w:r>
      <w:r>
        <w:instrText xml:space="preserve"> HYPERLINK \l "_Toc16251" </w:instrText>
      </w:r>
      <w:r>
        <w:fldChar w:fldCharType="separate"/>
      </w:r>
      <w:r>
        <w:rPr>
          <w:rFonts w:hint="eastAsia" w:hAnsi="宋体"/>
          <w:szCs w:val="21"/>
        </w:rPr>
        <w:t>4.3 生态环境保护</w:t>
      </w:r>
      <w:r>
        <w:tab/>
      </w:r>
      <w:r>
        <w:fldChar w:fldCharType="begin"/>
      </w:r>
      <w:r>
        <w:instrText xml:space="preserve"> PAGEREF _Toc16251 </w:instrText>
      </w:r>
      <w:r>
        <w:fldChar w:fldCharType="separate"/>
      </w:r>
      <w:r>
        <w:t>78</w:t>
      </w:r>
      <w:r>
        <w:fldChar w:fldCharType="end"/>
      </w:r>
      <w:r>
        <w:fldChar w:fldCharType="end"/>
      </w:r>
    </w:p>
    <w:p>
      <w:pPr>
        <w:pStyle w:val="13"/>
        <w:tabs>
          <w:tab w:val="right" w:leader="dot" w:pos="8959"/>
        </w:tabs>
        <w:ind w:left="960"/>
      </w:pPr>
      <w:r>
        <w:fldChar w:fldCharType="begin"/>
      </w:r>
      <w:r>
        <w:instrText xml:space="preserve"> HYPERLINK \l "_Toc25119" </w:instrText>
      </w:r>
      <w:r>
        <w:fldChar w:fldCharType="separate"/>
      </w:r>
      <w:r>
        <w:rPr>
          <w:rFonts w:hint="eastAsia" w:hAnsi="宋体"/>
          <w:szCs w:val="21"/>
        </w:rPr>
        <w:t>4.4 水土保持</w:t>
      </w:r>
      <w:r>
        <w:tab/>
      </w:r>
      <w:r>
        <w:fldChar w:fldCharType="begin"/>
      </w:r>
      <w:r>
        <w:instrText xml:space="preserve"> PAGEREF _Toc25119 </w:instrText>
      </w:r>
      <w:r>
        <w:fldChar w:fldCharType="separate"/>
      </w:r>
      <w:r>
        <w:t>79</w:t>
      </w:r>
      <w:r>
        <w:fldChar w:fldCharType="end"/>
      </w:r>
      <w:r>
        <w:fldChar w:fldCharType="end"/>
      </w:r>
    </w:p>
    <w:p>
      <w:pPr>
        <w:pStyle w:val="13"/>
        <w:tabs>
          <w:tab w:val="right" w:leader="dot" w:pos="8959"/>
        </w:tabs>
        <w:ind w:left="960"/>
      </w:pPr>
      <w:r>
        <w:fldChar w:fldCharType="begin"/>
      </w:r>
      <w:r>
        <w:instrText xml:space="preserve"> HYPERLINK \l "_Toc3423" </w:instrText>
      </w:r>
      <w:r>
        <w:fldChar w:fldCharType="separate"/>
      </w:r>
      <w:r>
        <w:rPr>
          <w:rFonts w:hint="eastAsia" w:hAnsi="宋体"/>
          <w:szCs w:val="21"/>
        </w:rPr>
        <w:t>4.5 环境清理</w:t>
      </w:r>
      <w:r>
        <w:tab/>
      </w:r>
      <w:r>
        <w:fldChar w:fldCharType="begin"/>
      </w:r>
      <w:r>
        <w:instrText xml:space="preserve"> PAGEREF _Toc3423 </w:instrText>
      </w:r>
      <w:r>
        <w:fldChar w:fldCharType="separate"/>
      </w:r>
      <w:r>
        <w:t>79</w:t>
      </w:r>
      <w:r>
        <w:fldChar w:fldCharType="end"/>
      </w:r>
      <w:r>
        <w:fldChar w:fldCharType="end"/>
      </w:r>
    </w:p>
    <w:p>
      <w:pPr>
        <w:pStyle w:val="13"/>
        <w:tabs>
          <w:tab w:val="right" w:leader="dot" w:pos="8959"/>
        </w:tabs>
        <w:ind w:left="960"/>
      </w:pPr>
      <w:r>
        <w:fldChar w:fldCharType="begin"/>
      </w:r>
      <w:r>
        <w:instrText xml:space="preserve"> HYPERLINK \l "_Toc25290" </w:instrText>
      </w:r>
      <w:r>
        <w:fldChar w:fldCharType="separate"/>
      </w:r>
      <w:r>
        <w:rPr>
          <w:rFonts w:hint="eastAsia" w:hAnsi="宋体"/>
          <w:szCs w:val="21"/>
        </w:rPr>
        <w:t>4.6 环境保护工程的验收</w:t>
      </w:r>
      <w:r>
        <w:tab/>
      </w:r>
      <w:r>
        <w:fldChar w:fldCharType="begin"/>
      </w:r>
      <w:r>
        <w:instrText xml:space="preserve"> PAGEREF _Toc25290 </w:instrText>
      </w:r>
      <w:r>
        <w:fldChar w:fldCharType="separate"/>
      </w:r>
      <w:r>
        <w:t>80</w:t>
      </w:r>
      <w:r>
        <w:fldChar w:fldCharType="end"/>
      </w:r>
      <w:r>
        <w:fldChar w:fldCharType="end"/>
      </w:r>
    </w:p>
    <w:p>
      <w:pPr>
        <w:pStyle w:val="21"/>
        <w:tabs>
          <w:tab w:val="right" w:leader="dot" w:pos="8959"/>
        </w:tabs>
        <w:ind w:left="480"/>
      </w:pPr>
      <w:r>
        <w:fldChar w:fldCharType="begin"/>
      </w:r>
      <w:r>
        <w:instrText xml:space="preserve"> HYPERLINK \l "_Toc27385" </w:instrText>
      </w:r>
      <w:r>
        <w:fldChar w:fldCharType="separate"/>
      </w:r>
      <w:r>
        <w:rPr>
          <w:rFonts w:hint="eastAsia"/>
          <w:szCs w:val="30"/>
        </w:rPr>
        <w:t>第5节土方明挖</w:t>
      </w:r>
      <w:r>
        <w:tab/>
      </w:r>
      <w:r>
        <w:fldChar w:fldCharType="begin"/>
      </w:r>
      <w:r>
        <w:instrText xml:space="preserve"> PAGEREF _Toc27385 </w:instrText>
      </w:r>
      <w:r>
        <w:fldChar w:fldCharType="separate"/>
      </w:r>
      <w:r>
        <w:t>81</w:t>
      </w:r>
      <w:r>
        <w:fldChar w:fldCharType="end"/>
      </w:r>
      <w:r>
        <w:fldChar w:fldCharType="end"/>
      </w:r>
    </w:p>
    <w:p>
      <w:pPr>
        <w:pStyle w:val="13"/>
        <w:tabs>
          <w:tab w:val="right" w:leader="dot" w:pos="8959"/>
        </w:tabs>
        <w:ind w:left="960"/>
      </w:pPr>
      <w:r>
        <w:fldChar w:fldCharType="begin"/>
      </w:r>
      <w:r>
        <w:instrText xml:space="preserve"> HYPERLINK \l "_Toc20300" </w:instrText>
      </w:r>
      <w:r>
        <w:fldChar w:fldCharType="separate"/>
      </w:r>
      <w:r>
        <w:rPr>
          <w:rFonts w:hAnsi="宋体"/>
          <w:szCs w:val="21"/>
        </w:rPr>
        <w:t>5.1 一般规定</w:t>
      </w:r>
      <w:r>
        <w:tab/>
      </w:r>
      <w:r>
        <w:fldChar w:fldCharType="begin"/>
      </w:r>
      <w:r>
        <w:instrText xml:space="preserve"> PAGEREF _Toc20300 </w:instrText>
      </w:r>
      <w:r>
        <w:fldChar w:fldCharType="separate"/>
      </w:r>
      <w:r>
        <w:t>81</w:t>
      </w:r>
      <w:r>
        <w:fldChar w:fldCharType="end"/>
      </w:r>
      <w:r>
        <w:fldChar w:fldCharType="end"/>
      </w:r>
    </w:p>
    <w:p>
      <w:pPr>
        <w:pStyle w:val="13"/>
        <w:tabs>
          <w:tab w:val="right" w:leader="dot" w:pos="8959"/>
        </w:tabs>
        <w:ind w:left="960"/>
      </w:pPr>
      <w:r>
        <w:fldChar w:fldCharType="begin"/>
      </w:r>
      <w:r>
        <w:instrText xml:space="preserve"> HYPERLINK \l "_Toc10529" </w:instrText>
      </w:r>
      <w:r>
        <w:fldChar w:fldCharType="separate"/>
      </w:r>
      <w:r>
        <w:rPr>
          <w:rFonts w:hint="eastAsia" w:hAnsi="宋体"/>
          <w:szCs w:val="21"/>
        </w:rPr>
        <w:t xml:space="preserve">5.2 </w:t>
      </w:r>
      <w:r>
        <w:rPr>
          <w:rFonts w:hAnsi="宋体"/>
          <w:szCs w:val="21"/>
        </w:rPr>
        <w:t>场地清理</w:t>
      </w:r>
      <w:r>
        <w:tab/>
      </w:r>
      <w:r>
        <w:fldChar w:fldCharType="begin"/>
      </w:r>
      <w:r>
        <w:instrText xml:space="preserve"> PAGEREF _Toc10529 </w:instrText>
      </w:r>
      <w:r>
        <w:fldChar w:fldCharType="separate"/>
      </w:r>
      <w:r>
        <w:t>81</w:t>
      </w:r>
      <w:r>
        <w:fldChar w:fldCharType="end"/>
      </w:r>
      <w:r>
        <w:fldChar w:fldCharType="end"/>
      </w:r>
    </w:p>
    <w:p>
      <w:pPr>
        <w:pStyle w:val="13"/>
        <w:tabs>
          <w:tab w:val="right" w:leader="dot" w:pos="8959"/>
        </w:tabs>
        <w:ind w:left="960"/>
      </w:pPr>
      <w:r>
        <w:fldChar w:fldCharType="begin"/>
      </w:r>
      <w:r>
        <w:instrText xml:space="preserve"> HYPERLINK \l "_Toc20200" </w:instrText>
      </w:r>
      <w:r>
        <w:fldChar w:fldCharType="separate"/>
      </w:r>
      <w:r>
        <w:rPr>
          <w:rFonts w:hint="eastAsia" w:hAnsi="宋体"/>
          <w:szCs w:val="21"/>
        </w:rPr>
        <w:t xml:space="preserve">5.3 </w:t>
      </w:r>
      <w:r>
        <w:rPr>
          <w:rFonts w:hAnsi="宋体"/>
          <w:szCs w:val="21"/>
        </w:rPr>
        <w:t>土方开</w:t>
      </w:r>
      <w:r>
        <w:rPr>
          <w:rFonts w:hint="eastAsia" w:hAnsi="宋体"/>
          <w:szCs w:val="21"/>
        </w:rPr>
        <w:t>挖</w:t>
      </w:r>
      <w:r>
        <w:tab/>
      </w:r>
      <w:r>
        <w:fldChar w:fldCharType="begin"/>
      </w:r>
      <w:r>
        <w:instrText xml:space="preserve"> PAGEREF _Toc20200 </w:instrText>
      </w:r>
      <w:r>
        <w:fldChar w:fldCharType="separate"/>
      </w:r>
      <w:r>
        <w:t>82</w:t>
      </w:r>
      <w:r>
        <w:fldChar w:fldCharType="end"/>
      </w:r>
      <w:r>
        <w:fldChar w:fldCharType="end"/>
      </w:r>
    </w:p>
    <w:p>
      <w:pPr>
        <w:pStyle w:val="13"/>
        <w:tabs>
          <w:tab w:val="right" w:leader="dot" w:pos="8959"/>
        </w:tabs>
        <w:ind w:left="960"/>
      </w:pPr>
      <w:r>
        <w:fldChar w:fldCharType="begin"/>
      </w:r>
      <w:r>
        <w:instrText xml:space="preserve"> HYPERLINK \l "_Toc11442" </w:instrText>
      </w:r>
      <w:r>
        <w:fldChar w:fldCharType="separate"/>
      </w:r>
      <w:r>
        <w:rPr>
          <w:rFonts w:hint="eastAsia" w:hAnsi="宋体"/>
          <w:szCs w:val="21"/>
        </w:rPr>
        <w:t xml:space="preserve">5.4 </w:t>
      </w:r>
      <w:r>
        <w:rPr>
          <w:rFonts w:hAnsi="宋体"/>
          <w:szCs w:val="21"/>
        </w:rPr>
        <w:t>施工期临时排水</w:t>
      </w:r>
      <w:r>
        <w:tab/>
      </w:r>
      <w:r>
        <w:fldChar w:fldCharType="begin"/>
      </w:r>
      <w:r>
        <w:instrText xml:space="preserve"> PAGEREF _Toc11442 </w:instrText>
      </w:r>
      <w:r>
        <w:fldChar w:fldCharType="separate"/>
      </w:r>
      <w:r>
        <w:t>83</w:t>
      </w:r>
      <w:r>
        <w:fldChar w:fldCharType="end"/>
      </w:r>
      <w:r>
        <w:fldChar w:fldCharType="end"/>
      </w:r>
    </w:p>
    <w:p>
      <w:pPr>
        <w:pStyle w:val="13"/>
        <w:tabs>
          <w:tab w:val="right" w:leader="dot" w:pos="8959"/>
        </w:tabs>
        <w:ind w:left="960"/>
      </w:pPr>
      <w:r>
        <w:fldChar w:fldCharType="begin"/>
      </w:r>
      <w:r>
        <w:instrText xml:space="preserve"> HYPERLINK \l "_Toc11046" </w:instrText>
      </w:r>
      <w:r>
        <w:fldChar w:fldCharType="separate"/>
      </w:r>
      <w:r>
        <w:rPr>
          <w:rFonts w:hint="eastAsia" w:hAnsi="宋体"/>
          <w:szCs w:val="21"/>
        </w:rPr>
        <w:t xml:space="preserve">5.5 </w:t>
      </w:r>
      <w:r>
        <w:rPr>
          <w:rFonts w:hAnsi="宋体"/>
          <w:szCs w:val="21"/>
        </w:rPr>
        <w:t>土料场</w:t>
      </w:r>
      <w:r>
        <w:tab/>
      </w:r>
      <w:r>
        <w:fldChar w:fldCharType="begin"/>
      </w:r>
      <w:r>
        <w:instrText xml:space="preserve"> PAGEREF _Toc11046 </w:instrText>
      </w:r>
      <w:r>
        <w:fldChar w:fldCharType="separate"/>
      </w:r>
      <w:r>
        <w:t>83</w:t>
      </w:r>
      <w:r>
        <w:fldChar w:fldCharType="end"/>
      </w:r>
      <w:r>
        <w:fldChar w:fldCharType="end"/>
      </w:r>
    </w:p>
    <w:p>
      <w:pPr>
        <w:pStyle w:val="13"/>
        <w:tabs>
          <w:tab w:val="right" w:leader="dot" w:pos="8959"/>
        </w:tabs>
        <w:ind w:left="960"/>
      </w:pPr>
      <w:r>
        <w:fldChar w:fldCharType="begin"/>
      </w:r>
      <w:r>
        <w:instrText xml:space="preserve"> HYPERLINK \l "_Toc6341" </w:instrText>
      </w:r>
      <w:r>
        <w:fldChar w:fldCharType="separate"/>
      </w:r>
      <w:r>
        <w:rPr>
          <w:rFonts w:hint="eastAsia" w:hAnsi="宋体"/>
          <w:szCs w:val="21"/>
        </w:rPr>
        <w:t>5.6 开挖渣料</w:t>
      </w:r>
      <w:r>
        <w:rPr>
          <w:rFonts w:hAnsi="宋体"/>
          <w:szCs w:val="21"/>
        </w:rPr>
        <w:t>的利用</w:t>
      </w:r>
      <w:r>
        <w:rPr>
          <w:rFonts w:hint="eastAsia" w:hAnsi="宋体"/>
          <w:szCs w:val="21"/>
        </w:rPr>
        <w:t>和弃渣处理</w:t>
      </w:r>
      <w:r>
        <w:tab/>
      </w:r>
      <w:r>
        <w:fldChar w:fldCharType="begin"/>
      </w:r>
      <w:r>
        <w:instrText xml:space="preserve"> PAGEREF _Toc6341 </w:instrText>
      </w:r>
      <w:r>
        <w:fldChar w:fldCharType="separate"/>
      </w:r>
      <w:r>
        <w:t>83</w:t>
      </w:r>
      <w:r>
        <w:fldChar w:fldCharType="end"/>
      </w:r>
      <w:r>
        <w:fldChar w:fldCharType="end"/>
      </w:r>
    </w:p>
    <w:p>
      <w:pPr>
        <w:pStyle w:val="13"/>
        <w:tabs>
          <w:tab w:val="right" w:leader="dot" w:pos="8959"/>
        </w:tabs>
        <w:ind w:left="960"/>
      </w:pPr>
      <w:r>
        <w:fldChar w:fldCharType="begin"/>
      </w:r>
      <w:r>
        <w:instrText xml:space="preserve"> HYPERLINK \l "_Toc17316" </w:instrText>
      </w:r>
      <w:r>
        <w:fldChar w:fldCharType="separate"/>
      </w:r>
      <w:r>
        <w:rPr>
          <w:rFonts w:hint="eastAsia" w:hAnsi="宋体"/>
          <w:szCs w:val="21"/>
        </w:rPr>
        <w:t xml:space="preserve">5.7 </w:t>
      </w:r>
      <w:r>
        <w:rPr>
          <w:rFonts w:hAnsi="宋体"/>
          <w:szCs w:val="21"/>
        </w:rPr>
        <w:t>检查和验收</w:t>
      </w:r>
      <w:r>
        <w:tab/>
      </w:r>
      <w:r>
        <w:fldChar w:fldCharType="begin"/>
      </w:r>
      <w:r>
        <w:instrText xml:space="preserve"> PAGEREF _Toc17316 </w:instrText>
      </w:r>
      <w:r>
        <w:fldChar w:fldCharType="separate"/>
      </w:r>
      <w:r>
        <w:t>84</w:t>
      </w:r>
      <w:r>
        <w:fldChar w:fldCharType="end"/>
      </w:r>
      <w:r>
        <w:fldChar w:fldCharType="end"/>
      </w:r>
    </w:p>
    <w:p>
      <w:pPr>
        <w:pStyle w:val="21"/>
        <w:tabs>
          <w:tab w:val="right" w:leader="dot" w:pos="8959"/>
        </w:tabs>
        <w:ind w:left="480"/>
      </w:pPr>
      <w:r>
        <w:fldChar w:fldCharType="begin"/>
      </w:r>
      <w:r>
        <w:instrText xml:space="preserve"> HYPERLINK \l "_Toc7105" </w:instrText>
      </w:r>
      <w:r>
        <w:fldChar w:fldCharType="separate"/>
      </w:r>
      <w:r>
        <w:rPr>
          <w:szCs w:val="30"/>
        </w:rPr>
        <w:t>第</w:t>
      </w:r>
      <w:r>
        <w:rPr>
          <w:rFonts w:hint="eastAsia"/>
          <w:szCs w:val="30"/>
        </w:rPr>
        <w:t>6</w:t>
      </w:r>
      <w:r>
        <w:rPr>
          <w:szCs w:val="30"/>
        </w:rPr>
        <w:t>节</w:t>
      </w:r>
      <w:r>
        <w:rPr>
          <w:rFonts w:hint="eastAsia"/>
          <w:szCs w:val="30"/>
        </w:rPr>
        <w:t>土石方填筑工程</w:t>
      </w:r>
      <w:r>
        <w:tab/>
      </w:r>
      <w:r>
        <w:fldChar w:fldCharType="begin"/>
      </w:r>
      <w:r>
        <w:instrText xml:space="preserve"> PAGEREF _Toc7105 </w:instrText>
      </w:r>
      <w:r>
        <w:fldChar w:fldCharType="separate"/>
      </w:r>
      <w:r>
        <w:t>85</w:t>
      </w:r>
      <w:r>
        <w:fldChar w:fldCharType="end"/>
      </w:r>
      <w:r>
        <w:fldChar w:fldCharType="end"/>
      </w:r>
    </w:p>
    <w:p>
      <w:pPr>
        <w:pStyle w:val="21"/>
        <w:tabs>
          <w:tab w:val="right" w:leader="dot" w:pos="8959"/>
        </w:tabs>
        <w:ind w:left="480"/>
      </w:pPr>
      <w:r>
        <w:fldChar w:fldCharType="begin"/>
      </w:r>
      <w:r>
        <w:instrText xml:space="preserve"> HYPERLINK \l "_Toc11625" </w:instrText>
      </w:r>
      <w:r>
        <w:fldChar w:fldCharType="separate"/>
      </w:r>
      <w:r>
        <w:rPr>
          <w:szCs w:val="30"/>
        </w:rPr>
        <w:t>第</w:t>
      </w:r>
      <w:r>
        <w:rPr>
          <w:rFonts w:hint="eastAsia"/>
          <w:szCs w:val="30"/>
        </w:rPr>
        <w:t>7节</w:t>
      </w:r>
      <w:r>
        <w:rPr>
          <w:szCs w:val="30"/>
        </w:rPr>
        <w:t>砌体工程</w:t>
      </w:r>
      <w:r>
        <w:tab/>
      </w:r>
      <w:r>
        <w:fldChar w:fldCharType="begin"/>
      </w:r>
      <w:r>
        <w:instrText xml:space="preserve"> PAGEREF _Toc11625 </w:instrText>
      </w:r>
      <w:r>
        <w:fldChar w:fldCharType="separate"/>
      </w:r>
      <w:r>
        <w:t>87</w:t>
      </w:r>
      <w:r>
        <w:fldChar w:fldCharType="end"/>
      </w:r>
      <w:r>
        <w:fldChar w:fldCharType="end"/>
      </w:r>
    </w:p>
    <w:p>
      <w:pPr>
        <w:pStyle w:val="13"/>
        <w:tabs>
          <w:tab w:val="right" w:leader="dot" w:pos="8959"/>
        </w:tabs>
        <w:ind w:left="960"/>
      </w:pPr>
      <w:r>
        <w:fldChar w:fldCharType="begin"/>
      </w:r>
      <w:r>
        <w:instrText xml:space="preserve"> HYPERLINK \l "_Toc32232" </w:instrText>
      </w:r>
      <w:r>
        <w:fldChar w:fldCharType="separate"/>
      </w:r>
      <w:r>
        <w:rPr>
          <w:rFonts w:hint="eastAsia" w:ascii="宋体" w:hAnsi="宋体" w:eastAsia="宋体"/>
          <w:snapToGrid w:val="0"/>
          <w:szCs w:val="21"/>
        </w:rPr>
        <w:t>7.</w:t>
      </w:r>
      <w:r>
        <w:rPr>
          <w:rFonts w:ascii="宋体" w:hAnsi="宋体" w:eastAsia="宋体"/>
          <w:snapToGrid w:val="0"/>
          <w:szCs w:val="21"/>
        </w:rPr>
        <w:t>1</w:t>
      </w:r>
      <w:r>
        <w:rPr>
          <w:rFonts w:hint="eastAsia" w:ascii="宋体" w:hAnsi="宋体" w:eastAsia="宋体"/>
          <w:snapToGrid w:val="0"/>
          <w:szCs w:val="21"/>
        </w:rPr>
        <w:t xml:space="preserve"> 一</w:t>
      </w:r>
      <w:r>
        <w:rPr>
          <w:rFonts w:ascii="宋体" w:hAnsi="宋体" w:eastAsia="宋体"/>
          <w:snapToGrid w:val="0"/>
          <w:szCs w:val="21"/>
        </w:rPr>
        <w:t>般规定</w:t>
      </w:r>
      <w:r>
        <w:tab/>
      </w:r>
      <w:r>
        <w:fldChar w:fldCharType="begin"/>
      </w:r>
      <w:r>
        <w:instrText xml:space="preserve"> PAGEREF _Toc32232 </w:instrText>
      </w:r>
      <w:r>
        <w:fldChar w:fldCharType="separate"/>
      </w:r>
      <w:r>
        <w:t>87</w:t>
      </w:r>
      <w:r>
        <w:fldChar w:fldCharType="end"/>
      </w:r>
      <w:r>
        <w:fldChar w:fldCharType="end"/>
      </w:r>
    </w:p>
    <w:p>
      <w:pPr>
        <w:pStyle w:val="13"/>
        <w:tabs>
          <w:tab w:val="right" w:leader="dot" w:pos="8959"/>
        </w:tabs>
        <w:ind w:left="960"/>
      </w:pPr>
      <w:r>
        <w:fldChar w:fldCharType="begin"/>
      </w:r>
      <w:r>
        <w:instrText xml:space="preserve"> HYPERLINK \l "_Toc16826" </w:instrText>
      </w:r>
      <w:r>
        <w:fldChar w:fldCharType="separate"/>
      </w:r>
      <w:r>
        <w:rPr>
          <w:rFonts w:hint="eastAsia" w:ascii="宋体" w:hAnsi="宋体" w:eastAsia="宋体"/>
          <w:snapToGrid w:val="0"/>
          <w:szCs w:val="21"/>
        </w:rPr>
        <w:t>7.</w:t>
      </w:r>
      <w:r>
        <w:rPr>
          <w:rFonts w:ascii="宋体" w:hAnsi="宋体" w:eastAsia="宋体"/>
          <w:snapToGrid w:val="0"/>
          <w:szCs w:val="21"/>
        </w:rPr>
        <w:t>2 石砌体工程</w:t>
      </w:r>
      <w:r>
        <w:tab/>
      </w:r>
      <w:r>
        <w:fldChar w:fldCharType="begin"/>
      </w:r>
      <w:r>
        <w:instrText xml:space="preserve"> PAGEREF _Toc16826 </w:instrText>
      </w:r>
      <w:r>
        <w:fldChar w:fldCharType="separate"/>
      </w:r>
      <w:r>
        <w:t>88</w:t>
      </w:r>
      <w:r>
        <w:fldChar w:fldCharType="end"/>
      </w:r>
      <w:r>
        <w:fldChar w:fldCharType="end"/>
      </w:r>
    </w:p>
    <w:p>
      <w:pPr>
        <w:pStyle w:val="21"/>
        <w:tabs>
          <w:tab w:val="right" w:leader="dot" w:pos="8959"/>
        </w:tabs>
        <w:ind w:left="480"/>
      </w:pPr>
      <w:r>
        <w:fldChar w:fldCharType="begin"/>
      </w:r>
      <w:r>
        <w:instrText xml:space="preserve"> HYPERLINK \l "_Toc17733" </w:instrText>
      </w:r>
      <w:r>
        <w:fldChar w:fldCharType="separate"/>
      </w:r>
      <w:r>
        <w:rPr>
          <w:szCs w:val="30"/>
        </w:rPr>
        <w:t>第</w:t>
      </w:r>
      <w:r>
        <w:rPr>
          <w:rFonts w:hint="eastAsia"/>
          <w:szCs w:val="30"/>
        </w:rPr>
        <w:t>8节</w:t>
      </w:r>
      <w:r>
        <w:rPr>
          <w:szCs w:val="30"/>
        </w:rPr>
        <w:t>混凝土工程</w:t>
      </w:r>
      <w:r>
        <w:tab/>
      </w:r>
      <w:r>
        <w:fldChar w:fldCharType="begin"/>
      </w:r>
      <w:r>
        <w:instrText xml:space="preserve"> PAGEREF _Toc17733 </w:instrText>
      </w:r>
      <w:r>
        <w:fldChar w:fldCharType="separate"/>
      </w:r>
      <w:r>
        <w:t>90</w:t>
      </w:r>
      <w:r>
        <w:fldChar w:fldCharType="end"/>
      </w:r>
      <w:r>
        <w:fldChar w:fldCharType="end"/>
      </w:r>
    </w:p>
    <w:p>
      <w:pPr>
        <w:pStyle w:val="13"/>
        <w:tabs>
          <w:tab w:val="right" w:leader="dot" w:pos="8959"/>
        </w:tabs>
        <w:ind w:left="960"/>
      </w:pPr>
      <w:r>
        <w:fldChar w:fldCharType="begin"/>
      </w:r>
      <w:r>
        <w:instrText xml:space="preserve"> HYPERLINK \l "_Toc16589" </w:instrText>
      </w:r>
      <w:r>
        <w:fldChar w:fldCharType="separate"/>
      </w:r>
      <w:r>
        <w:rPr>
          <w:rFonts w:ascii="宋体" w:hAnsi="宋体" w:eastAsia="宋体"/>
          <w:snapToGrid w:val="0"/>
          <w:szCs w:val="21"/>
        </w:rPr>
        <w:t>8.1</w:t>
      </w:r>
      <w:r>
        <w:rPr>
          <w:rFonts w:hint="eastAsia" w:ascii="宋体" w:hAnsi="宋体" w:eastAsia="宋体"/>
          <w:snapToGrid w:val="0"/>
          <w:szCs w:val="21"/>
        </w:rPr>
        <w:t xml:space="preserve"> 一</w:t>
      </w:r>
      <w:r>
        <w:rPr>
          <w:rFonts w:ascii="宋体" w:hAnsi="宋体" w:eastAsia="宋体"/>
          <w:snapToGrid w:val="0"/>
          <w:szCs w:val="21"/>
        </w:rPr>
        <w:t>般规定</w:t>
      </w:r>
      <w:r>
        <w:tab/>
      </w:r>
      <w:r>
        <w:fldChar w:fldCharType="begin"/>
      </w:r>
      <w:r>
        <w:instrText xml:space="preserve"> PAGEREF _Toc16589 </w:instrText>
      </w:r>
      <w:r>
        <w:fldChar w:fldCharType="separate"/>
      </w:r>
      <w:r>
        <w:t>90</w:t>
      </w:r>
      <w:r>
        <w:fldChar w:fldCharType="end"/>
      </w:r>
      <w:r>
        <w:fldChar w:fldCharType="end"/>
      </w:r>
    </w:p>
    <w:p>
      <w:pPr>
        <w:pStyle w:val="13"/>
        <w:tabs>
          <w:tab w:val="right" w:leader="dot" w:pos="8959"/>
        </w:tabs>
        <w:ind w:left="960"/>
      </w:pPr>
      <w:r>
        <w:fldChar w:fldCharType="begin"/>
      </w:r>
      <w:r>
        <w:instrText xml:space="preserve"> HYPERLINK \l "_Toc8752" </w:instrText>
      </w:r>
      <w:r>
        <w:fldChar w:fldCharType="separate"/>
      </w:r>
      <w:r>
        <w:rPr>
          <w:rFonts w:ascii="宋体" w:hAnsi="宋体" w:eastAsia="宋体"/>
          <w:snapToGrid w:val="0"/>
          <w:szCs w:val="21"/>
        </w:rPr>
        <w:t>8.2 混凝土生产</w:t>
      </w:r>
      <w:r>
        <w:tab/>
      </w:r>
      <w:r>
        <w:fldChar w:fldCharType="begin"/>
      </w:r>
      <w:r>
        <w:instrText xml:space="preserve"> PAGEREF _Toc8752 </w:instrText>
      </w:r>
      <w:r>
        <w:fldChar w:fldCharType="separate"/>
      </w:r>
      <w:r>
        <w:t>91</w:t>
      </w:r>
      <w:r>
        <w:fldChar w:fldCharType="end"/>
      </w:r>
      <w:r>
        <w:fldChar w:fldCharType="end"/>
      </w:r>
    </w:p>
    <w:p>
      <w:pPr>
        <w:pStyle w:val="13"/>
        <w:tabs>
          <w:tab w:val="right" w:leader="dot" w:pos="8959"/>
        </w:tabs>
        <w:ind w:left="960"/>
      </w:pPr>
      <w:r>
        <w:fldChar w:fldCharType="begin"/>
      </w:r>
      <w:r>
        <w:instrText xml:space="preserve"> HYPERLINK \l "_Toc3780" </w:instrText>
      </w:r>
      <w:r>
        <w:fldChar w:fldCharType="separate"/>
      </w:r>
      <w:r>
        <w:rPr>
          <w:rFonts w:ascii="宋体" w:hAnsi="宋体" w:eastAsia="宋体"/>
          <w:snapToGrid w:val="0"/>
          <w:szCs w:val="21"/>
        </w:rPr>
        <w:t>8.3 模板</w:t>
      </w:r>
      <w:r>
        <w:tab/>
      </w:r>
      <w:r>
        <w:fldChar w:fldCharType="begin"/>
      </w:r>
      <w:r>
        <w:instrText xml:space="preserve"> PAGEREF _Toc3780 </w:instrText>
      </w:r>
      <w:r>
        <w:fldChar w:fldCharType="separate"/>
      </w:r>
      <w:r>
        <w:t>92</w:t>
      </w:r>
      <w:r>
        <w:fldChar w:fldCharType="end"/>
      </w:r>
      <w:r>
        <w:fldChar w:fldCharType="end"/>
      </w:r>
    </w:p>
    <w:p>
      <w:pPr>
        <w:pStyle w:val="13"/>
        <w:tabs>
          <w:tab w:val="right" w:leader="dot" w:pos="8959"/>
        </w:tabs>
        <w:ind w:left="960"/>
      </w:pPr>
      <w:r>
        <w:fldChar w:fldCharType="begin"/>
      </w:r>
      <w:r>
        <w:instrText xml:space="preserve"> HYPERLINK \l "_Toc12479" </w:instrText>
      </w:r>
      <w:r>
        <w:fldChar w:fldCharType="separate"/>
      </w:r>
      <w:r>
        <w:rPr>
          <w:rFonts w:ascii="宋体" w:hAnsi="宋体" w:eastAsia="宋体"/>
          <w:snapToGrid w:val="0"/>
          <w:szCs w:val="21"/>
        </w:rPr>
        <w:t>8.4 钢筋</w:t>
      </w:r>
      <w:r>
        <w:tab/>
      </w:r>
      <w:r>
        <w:fldChar w:fldCharType="begin"/>
      </w:r>
      <w:r>
        <w:instrText xml:space="preserve"> PAGEREF _Toc12479 </w:instrText>
      </w:r>
      <w:r>
        <w:fldChar w:fldCharType="separate"/>
      </w:r>
      <w:r>
        <w:t>93</w:t>
      </w:r>
      <w:r>
        <w:fldChar w:fldCharType="end"/>
      </w:r>
      <w:r>
        <w:fldChar w:fldCharType="end"/>
      </w:r>
    </w:p>
    <w:p>
      <w:pPr>
        <w:pStyle w:val="13"/>
        <w:tabs>
          <w:tab w:val="right" w:leader="dot" w:pos="8959"/>
        </w:tabs>
        <w:ind w:left="960"/>
      </w:pPr>
      <w:r>
        <w:fldChar w:fldCharType="begin"/>
      </w:r>
      <w:r>
        <w:instrText xml:space="preserve"> HYPERLINK \l "_Toc1498" </w:instrText>
      </w:r>
      <w:r>
        <w:fldChar w:fldCharType="separate"/>
      </w:r>
      <w:r>
        <w:rPr>
          <w:rFonts w:ascii="宋体" w:hAnsi="宋体" w:eastAsia="宋体"/>
          <w:snapToGrid w:val="0"/>
          <w:szCs w:val="21"/>
        </w:rPr>
        <w:t>8.5 混凝土（含钢筋混凝土）</w:t>
      </w:r>
      <w:r>
        <w:tab/>
      </w:r>
      <w:r>
        <w:fldChar w:fldCharType="begin"/>
      </w:r>
      <w:r>
        <w:instrText xml:space="preserve"> PAGEREF _Toc1498 </w:instrText>
      </w:r>
      <w:r>
        <w:fldChar w:fldCharType="separate"/>
      </w:r>
      <w:r>
        <w:t>94</w:t>
      </w:r>
      <w:r>
        <w:fldChar w:fldCharType="end"/>
      </w:r>
      <w:r>
        <w:fldChar w:fldCharType="end"/>
      </w:r>
    </w:p>
    <w:p>
      <w:pPr>
        <w:pStyle w:val="13"/>
        <w:tabs>
          <w:tab w:val="right" w:leader="dot" w:pos="8959"/>
        </w:tabs>
        <w:ind w:left="960"/>
      </w:pPr>
      <w:r>
        <w:fldChar w:fldCharType="begin"/>
      </w:r>
      <w:r>
        <w:instrText xml:space="preserve"> HYPERLINK \l "_Toc16085" </w:instrText>
      </w:r>
      <w:r>
        <w:fldChar w:fldCharType="separate"/>
      </w:r>
      <w:r>
        <w:rPr>
          <w:rFonts w:ascii="宋体" w:hAnsi="宋体" w:eastAsia="宋体"/>
          <w:snapToGrid w:val="0"/>
          <w:szCs w:val="21"/>
        </w:rPr>
        <w:t>8.</w:t>
      </w:r>
      <w:r>
        <w:rPr>
          <w:rFonts w:hint="eastAsia" w:ascii="宋体" w:hAnsi="宋体" w:eastAsia="宋体"/>
          <w:snapToGrid w:val="0"/>
          <w:szCs w:val="21"/>
        </w:rPr>
        <w:t xml:space="preserve">6 </w:t>
      </w:r>
      <w:r>
        <w:rPr>
          <w:rFonts w:ascii="宋体" w:hAnsi="宋体" w:eastAsia="宋体"/>
          <w:snapToGrid w:val="0"/>
          <w:szCs w:val="21"/>
        </w:rPr>
        <w:t>计量和支付</w:t>
      </w:r>
      <w:r>
        <w:tab/>
      </w:r>
      <w:r>
        <w:fldChar w:fldCharType="begin"/>
      </w:r>
      <w:r>
        <w:instrText xml:space="preserve"> PAGEREF _Toc16085 </w:instrText>
      </w:r>
      <w:r>
        <w:fldChar w:fldCharType="separate"/>
      </w:r>
      <w:r>
        <w:t>96</w:t>
      </w:r>
      <w:r>
        <w:fldChar w:fldCharType="end"/>
      </w:r>
      <w:r>
        <w:fldChar w:fldCharType="end"/>
      </w:r>
    </w:p>
    <w:p>
      <w:pPr>
        <w:pStyle w:val="21"/>
        <w:tabs>
          <w:tab w:val="right" w:leader="dot" w:pos="8959"/>
        </w:tabs>
        <w:ind w:left="480"/>
      </w:pPr>
      <w:r>
        <w:fldChar w:fldCharType="begin"/>
      </w:r>
      <w:r>
        <w:instrText xml:space="preserve"> HYPERLINK \l "_Toc28105" </w:instrText>
      </w:r>
      <w:r>
        <w:fldChar w:fldCharType="separate"/>
      </w:r>
      <w:r>
        <w:rPr>
          <w:bCs/>
          <w:szCs w:val="32"/>
        </w:rPr>
        <w:t>第</w:t>
      </w:r>
      <w:r>
        <w:rPr>
          <w:rFonts w:hint="eastAsia"/>
          <w:bCs/>
          <w:szCs w:val="32"/>
        </w:rPr>
        <w:t>八</w:t>
      </w:r>
      <w:r>
        <w:rPr>
          <w:bCs/>
          <w:szCs w:val="32"/>
        </w:rPr>
        <w:t>章</w:t>
      </w:r>
      <w:r>
        <w:rPr>
          <w:rFonts w:hint="eastAsia"/>
          <w:bCs/>
          <w:szCs w:val="32"/>
        </w:rPr>
        <w:t>竞包文件</w:t>
      </w:r>
      <w:r>
        <w:rPr>
          <w:bCs/>
          <w:szCs w:val="32"/>
        </w:rPr>
        <w:t>格式</w:t>
      </w:r>
      <w:r>
        <w:tab/>
      </w:r>
      <w:r>
        <w:fldChar w:fldCharType="begin"/>
      </w:r>
      <w:r>
        <w:instrText xml:space="preserve"> PAGEREF _Toc28105 </w:instrText>
      </w:r>
      <w:r>
        <w:fldChar w:fldCharType="separate"/>
      </w:r>
      <w:r>
        <w:t>97</w:t>
      </w:r>
      <w:r>
        <w:fldChar w:fldCharType="end"/>
      </w:r>
      <w:r>
        <w:fldChar w:fldCharType="end"/>
      </w:r>
    </w:p>
    <w:p>
      <w:pPr>
        <w:pStyle w:val="13"/>
        <w:tabs>
          <w:tab w:val="right" w:leader="dot" w:pos="8959"/>
        </w:tabs>
        <w:ind w:left="960"/>
      </w:pPr>
      <w:r>
        <w:fldChar w:fldCharType="begin"/>
      </w:r>
      <w:r>
        <w:instrText xml:space="preserve"> HYPERLINK \l "_Toc15691" </w:instrText>
      </w:r>
      <w:r>
        <w:fldChar w:fldCharType="separate"/>
      </w:r>
      <w:r>
        <w:rPr>
          <w:rFonts w:hint="eastAsia"/>
          <w:bCs/>
          <w:snapToGrid w:val="0"/>
          <w:szCs w:val="28"/>
        </w:rPr>
        <w:t>技术文件</w:t>
      </w:r>
      <w:r>
        <w:rPr>
          <w:bCs/>
          <w:snapToGrid w:val="0"/>
          <w:szCs w:val="28"/>
        </w:rPr>
        <w:t>目录</w:t>
      </w:r>
      <w:r>
        <w:tab/>
      </w:r>
      <w:r>
        <w:fldChar w:fldCharType="begin"/>
      </w:r>
      <w:r>
        <w:instrText xml:space="preserve"> PAGEREF _Toc15691 </w:instrText>
      </w:r>
      <w:r>
        <w:fldChar w:fldCharType="separate"/>
      </w:r>
      <w:r>
        <w:t>97</w:t>
      </w:r>
      <w:r>
        <w:fldChar w:fldCharType="end"/>
      </w:r>
      <w:r>
        <w:fldChar w:fldCharType="end"/>
      </w:r>
    </w:p>
    <w:p>
      <w:pPr>
        <w:pStyle w:val="13"/>
        <w:tabs>
          <w:tab w:val="right" w:leader="dot" w:pos="8959"/>
        </w:tabs>
        <w:ind w:left="960"/>
      </w:pPr>
      <w:r>
        <w:fldChar w:fldCharType="begin"/>
      </w:r>
      <w:r>
        <w:instrText xml:space="preserve"> HYPERLINK \l "_Toc28005" </w:instrText>
      </w:r>
      <w:r>
        <w:fldChar w:fldCharType="separate"/>
      </w:r>
      <w:r>
        <w:rPr>
          <w:rFonts w:hint="eastAsia" w:ascii="宋体" w:hAnsi="宋体" w:eastAsia="宋体"/>
          <w:snapToGrid w:val="0"/>
          <w:szCs w:val="32"/>
        </w:rPr>
        <w:t>一</w:t>
      </w:r>
      <w:r>
        <w:rPr>
          <w:rFonts w:ascii="宋体" w:hAnsi="宋体" w:eastAsia="宋体"/>
          <w:snapToGrid w:val="0"/>
          <w:szCs w:val="32"/>
        </w:rPr>
        <w:t>、</w:t>
      </w:r>
      <w:r>
        <w:rPr>
          <w:rFonts w:hint="eastAsia" w:ascii="宋体" w:hAnsi="宋体" w:eastAsia="宋体"/>
          <w:snapToGrid w:val="0"/>
          <w:szCs w:val="32"/>
        </w:rPr>
        <w:t>技术文件特征值表</w:t>
      </w:r>
      <w:r>
        <w:tab/>
      </w:r>
      <w:r>
        <w:fldChar w:fldCharType="begin"/>
      </w:r>
      <w:r>
        <w:instrText xml:space="preserve"> PAGEREF _Toc28005 </w:instrText>
      </w:r>
      <w:r>
        <w:fldChar w:fldCharType="separate"/>
      </w:r>
      <w:r>
        <w:t>98</w:t>
      </w:r>
      <w:r>
        <w:fldChar w:fldCharType="end"/>
      </w:r>
      <w:r>
        <w:fldChar w:fldCharType="end"/>
      </w:r>
    </w:p>
    <w:p>
      <w:pPr>
        <w:pStyle w:val="13"/>
        <w:tabs>
          <w:tab w:val="right" w:leader="dot" w:pos="8959"/>
        </w:tabs>
        <w:ind w:left="960"/>
      </w:pPr>
      <w:r>
        <w:fldChar w:fldCharType="begin"/>
      </w:r>
      <w:r>
        <w:instrText xml:space="preserve"> HYPERLINK \l "_Toc17059" </w:instrText>
      </w:r>
      <w:r>
        <w:fldChar w:fldCharType="separate"/>
      </w:r>
      <w:r>
        <w:rPr>
          <w:rFonts w:ascii="宋体" w:hAnsi="宋体" w:eastAsia="宋体"/>
          <w:snapToGrid w:val="0"/>
          <w:szCs w:val="32"/>
        </w:rPr>
        <w:t>二、法定代表人身份证明</w:t>
      </w:r>
      <w:r>
        <w:tab/>
      </w:r>
      <w:r>
        <w:fldChar w:fldCharType="begin"/>
      </w:r>
      <w:r>
        <w:instrText xml:space="preserve"> PAGEREF _Toc17059 </w:instrText>
      </w:r>
      <w:r>
        <w:fldChar w:fldCharType="separate"/>
      </w:r>
      <w:r>
        <w:t>99</w:t>
      </w:r>
      <w:r>
        <w:fldChar w:fldCharType="end"/>
      </w:r>
      <w:r>
        <w:fldChar w:fldCharType="end"/>
      </w:r>
    </w:p>
    <w:p>
      <w:pPr>
        <w:pStyle w:val="13"/>
        <w:tabs>
          <w:tab w:val="right" w:leader="dot" w:pos="8959"/>
        </w:tabs>
        <w:ind w:left="960"/>
      </w:pPr>
      <w:r>
        <w:fldChar w:fldCharType="begin"/>
      </w:r>
      <w:r>
        <w:instrText xml:space="preserve"> HYPERLINK \l "_Toc3575" </w:instrText>
      </w:r>
      <w:r>
        <w:fldChar w:fldCharType="separate"/>
      </w:r>
      <w:r>
        <w:rPr>
          <w:rFonts w:hint="eastAsia" w:ascii="宋体" w:hAnsi="宋体" w:eastAsia="宋体"/>
          <w:snapToGrid w:val="0"/>
          <w:szCs w:val="28"/>
        </w:rPr>
        <w:t>二</w:t>
      </w:r>
      <w:r>
        <w:rPr>
          <w:rFonts w:ascii="宋体" w:hAnsi="宋体" w:eastAsia="宋体"/>
          <w:snapToGrid w:val="0"/>
          <w:szCs w:val="32"/>
        </w:rPr>
        <w:t>、授权委托书</w:t>
      </w:r>
      <w:r>
        <w:tab/>
      </w:r>
      <w:r>
        <w:fldChar w:fldCharType="begin"/>
      </w:r>
      <w:r>
        <w:instrText xml:space="preserve"> PAGEREF _Toc3575 </w:instrText>
      </w:r>
      <w:r>
        <w:fldChar w:fldCharType="separate"/>
      </w:r>
      <w:r>
        <w:t>100</w:t>
      </w:r>
      <w:r>
        <w:fldChar w:fldCharType="end"/>
      </w:r>
      <w:r>
        <w:fldChar w:fldCharType="end"/>
      </w:r>
    </w:p>
    <w:p>
      <w:pPr>
        <w:pStyle w:val="13"/>
        <w:tabs>
          <w:tab w:val="right" w:leader="dot" w:pos="8959"/>
        </w:tabs>
        <w:ind w:left="960"/>
      </w:pPr>
      <w:r>
        <w:fldChar w:fldCharType="begin"/>
      </w:r>
      <w:r>
        <w:instrText xml:space="preserve"> HYPERLINK \l "_Toc6079" </w:instrText>
      </w:r>
      <w:r>
        <w:fldChar w:fldCharType="separate"/>
      </w:r>
      <w:r>
        <w:rPr>
          <w:rFonts w:hint="eastAsia"/>
          <w:snapToGrid w:val="0"/>
          <w:szCs w:val="28"/>
        </w:rPr>
        <w:t>四</w:t>
      </w:r>
      <w:r>
        <w:rPr>
          <w:snapToGrid w:val="0"/>
          <w:szCs w:val="28"/>
        </w:rPr>
        <w:t>、施工组织设计</w:t>
      </w:r>
      <w:r>
        <w:tab/>
      </w:r>
      <w:r>
        <w:fldChar w:fldCharType="begin"/>
      </w:r>
      <w:r>
        <w:instrText xml:space="preserve"> PAGEREF _Toc6079 </w:instrText>
      </w:r>
      <w:r>
        <w:fldChar w:fldCharType="separate"/>
      </w:r>
      <w:r>
        <w:t>102</w:t>
      </w:r>
      <w:r>
        <w:fldChar w:fldCharType="end"/>
      </w:r>
      <w:r>
        <w:fldChar w:fldCharType="end"/>
      </w:r>
    </w:p>
    <w:p>
      <w:pPr>
        <w:pStyle w:val="13"/>
        <w:tabs>
          <w:tab w:val="right" w:leader="dot" w:pos="8959"/>
        </w:tabs>
        <w:ind w:left="960"/>
      </w:pPr>
      <w:r>
        <w:fldChar w:fldCharType="begin"/>
      </w:r>
      <w:r>
        <w:instrText xml:space="preserve"> HYPERLINK \l "_Toc4170" </w:instrText>
      </w:r>
      <w:r>
        <w:fldChar w:fldCharType="separate"/>
      </w:r>
      <w:r>
        <w:rPr>
          <w:rFonts w:hint="eastAsia"/>
          <w:snapToGrid w:val="0"/>
          <w:szCs w:val="28"/>
        </w:rPr>
        <w:t>五</w:t>
      </w:r>
      <w:r>
        <w:rPr>
          <w:snapToGrid w:val="0"/>
          <w:szCs w:val="28"/>
        </w:rPr>
        <w:t>、项目管理机构</w:t>
      </w:r>
      <w:r>
        <w:tab/>
      </w:r>
      <w:r>
        <w:fldChar w:fldCharType="begin"/>
      </w:r>
      <w:r>
        <w:instrText xml:space="preserve"> PAGEREF _Toc4170 </w:instrText>
      </w:r>
      <w:r>
        <w:fldChar w:fldCharType="separate"/>
      </w:r>
      <w:r>
        <w:t>108</w:t>
      </w:r>
      <w:r>
        <w:fldChar w:fldCharType="end"/>
      </w:r>
      <w:r>
        <w:fldChar w:fldCharType="end"/>
      </w:r>
    </w:p>
    <w:p>
      <w:pPr>
        <w:pStyle w:val="13"/>
        <w:tabs>
          <w:tab w:val="right" w:leader="dot" w:pos="8959"/>
        </w:tabs>
        <w:ind w:left="960"/>
      </w:pPr>
      <w:r>
        <w:fldChar w:fldCharType="begin"/>
      </w:r>
      <w:r>
        <w:instrText xml:space="preserve"> HYPERLINK \l "_Toc6515" </w:instrText>
      </w:r>
      <w:r>
        <w:fldChar w:fldCharType="separate"/>
      </w:r>
      <w:r>
        <w:rPr>
          <w:rFonts w:hint="eastAsia"/>
          <w:snapToGrid w:val="0"/>
          <w:szCs w:val="28"/>
        </w:rPr>
        <w:t>六</w:t>
      </w:r>
      <w:r>
        <w:rPr>
          <w:snapToGrid w:val="0"/>
          <w:szCs w:val="28"/>
        </w:rPr>
        <w:t>、资格审查资料</w:t>
      </w:r>
      <w:r>
        <w:tab/>
      </w:r>
      <w:r>
        <w:fldChar w:fldCharType="begin"/>
      </w:r>
      <w:r>
        <w:instrText xml:space="preserve"> PAGEREF _Toc6515 </w:instrText>
      </w:r>
      <w:r>
        <w:fldChar w:fldCharType="separate"/>
      </w:r>
      <w:r>
        <w:t>110</w:t>
      </w:r>
      <w:r>
        <w:fldChar w:fldCharType="end"/>
      </w:r>
      <w:r>
        <w:fldChar w:fldCharType="end"/>
      </w:r>
    </w:p>
    <w:p>
      <w:pPr>
        <w:pStyle w:val="13"/>
        <w:tabs>
          <w:tab w:val="right" w:leader="dot" w:pos="8959"/>
        </w:tabs>
        <w:ind w:left="960"/>
      </w:pPr>
      <w:r>
        <w:fldChar w:fldCharType="begin"/>
      </w:r>
      <w:r>
        <w:instrText xml:space="preserve"> HYPERLINK \l "_Toc15578" </w:instrText>
      </w:r>
      <w:r>
        <w:fldChar w:fldCharType="separate"/>
      </w:r>
      <w:r>
        <w:rPr>
          <w:rFonts w:hint="eastAsia"/>
          <w:snapToGrid w:val="0"/>
          <w:szCs w:val="28"/>
        </w:rPr>
        <w:t>七</w:t>
      </w:r>
      <w:r>
        <w:rPr>
          <w:snapToGrid w:val="0"/>
          <w:szCs w:val="28"/>
        </w:rPr>
        <w:t>、</w:t>
      </w:r>
      <w:r>
        <w:rPr>
          <w:rFonts w:hint="eastAsia"/>
          <w:snapToGrid w:val="0"/>
          <w:szCs w:val="21"/>
        </w:rPr>
        <w:t>原件的扫描件或电子件</w:t>
      </w:r>
      <w:r>
        <w:tab/>
      </w:r>
      <w:r>
        <w:fldChar w:fldCharType="begin"/>
      </w:r>
      <w:r>
        <w:instrText xml:space="preserve"> PAGEREF _Toc15578 </w:instrText>
      </w:r>
      <w:r>
        <w:fldChar w:fldCharType="separate"/>
      </w:r>
      <w:r>
        <w:t>116</w:t>
      </w:r>
      <w:r>
        <w:fldChar w:fldCharType="end"/>
      </w:r>
      <w:r>
        <w:fldChar w:fldCharType="end"/>
      </w:r>
    </w:p>
    <w:p>
      <w:pPr>
        <w:pStyle w:val="21"/>
        <w:tabs>
          <w:tab w:val="right" w:leader="dot" w:pos="8959"/>
        </w:tabs>
        <w:ind w:left="480"/>
      </w:pPr>
      <w:r>
        <w:fldChar w:fldCharType="begin"/>
      </w:r>
      <w:r>
        <w:instrText xml:space="preserve"> HYPERLINK \l "_Toc21433" </w:instrText>
      </w:r>
      <w:r>
        <w:fldChar w:fldCharType="separate"/>
      </w:r>
      <w:r>
        <w:rPr>
          <w:rFonts w:hint="eastAsia"/>
        </w:rPr>
        <w:t>商务文件</w:t>
      </w:r>
      <w:r>
        <w:t>目录</w:t>
      </w:r>
      <w:r>
        <w:tab/>
      </w:r>
      <w:r>
        <w:fldChar w:fldCharType="begin"/>
      </w:r>
      <w:r>
        <w:instrText xml:space="preserve"> PAGEREF _Toc21433 </w:instrText>
      </w:r>
      <w:r>
        <w:fldChar w:fldCharType="separate"/>
      </w:r>
      <w:r>
        <w:t>121</w:t>
      </w:r>
      <w:r>
        <w:fldChar w:fldCharType="end"/>
      </w:r>
      <w:r>
        <w:fldChar w:fldCharType="end"/>
      </w:r>
    </w:p>
    <w:p>
      <w:pPr>
        <w:pStyle w:val="13"/>
        <w:tabs>
          <w:tab w:val="right" w:leader="dot" w:pos="8959"/>
        </w:tabs>
        <w:ind w:left="960"/>
      </w:pPr>
      <w:r>
        <w:fldChar w:fldCharType="begin"/>
      </w:r>
      <w:r>
        <w:instrText xml:space="preserve"> HYPERLINK \l "_Toc31444" </w:instrText>
      </w:r>
      <w:r>
        <w:fldChar w:fldCharType="separate"/>
      </w:r>
      <w:r>
        <w:rPr>
          <w:snapToGrid w:val="0"/>
          <w:szCs w:val="30"/>
        </w:rPr>
        <w:t>一、</w:t>
      </w:r>
      <w:r>
        <w:rPr>
          <w:rFonts w:hint="eastAsia"/>
          <w:snapToGrid w:val="0"/>
          <w:szCs w:val="30"/>
        </w:rPr>
        <w:t>竞包</w:t>
      </w:r>
      <w:r>
        <w:rPr>
          <w:snapToGrid w:val="0"/>
          <w:szCs w:val="30"/>
        </w:rPr>
        <w:t>函</w:t>
      </w:r>
      <w:r>
        <w:tab/>
      </w:r>
      <w:r>
        <w:fldChar w:fldCharType="begin"/>
      </w:r>
      <w:r>
        <w:instrText xml:space="preserve"> PAGEREF _Toc31444 </w:instrText>
      </w:r>
      <w:r>
        <w:fldChar w:fldCharType="separate"/>
      </w:r>
      <w:r>
        <w:t>122</w:t>
      </w:r>
      <w:r>
        <w:fldChar w:fldCharType="end"/>
      </w:r>
      <w:r>
        <w:fldChar w:fldCharType="end"/>
      </w:r>
    </w:p>
    <w:p>
      <w:pPr>
        <w:pStyle w:val="13"/>
        <w:tabs>
          <w:tab w:val="right" w:leader="dot" w:pos="8959"/>
        </w:tabs>
        <w:ind w:left="960"/>
      </w:pPr>
      <w:r>
        <w:fldChar w:fldCharType="begin"/>
      </w:r>
      <w:r>
        <w:instrText xml:space="preserve"> HYPERLINK \l "_Toc5453" </w:instrText>
      </w:r>
      <w:r>
        <w:fldChar w:fldCharType="separate"/>
      </w:r>
      <w:r>
        <w:rPr>
          <w:snapToGrid w:val="0"/>
          <w:szCs w:val="30"/>
        </w:rPr>
        <w:t>二、</w:t>
      </w:r>
      <w:r>
        <w:rPr>
          <w:rFonts w:hint="eastAsia"/>
          <w:snapToGrid w:val="0"/>
          <w:szCs w:val="30"/>
        </w:rPr>
        <w:t>已标价的工程量清单</w:t>
      </w:r>
      <w:r>
        <w:tab/>
      </w:r>
      <w:r>
        <w:fldChar w:fldCharType="begin"/>
      </w:r>
      <w:r>
        <w:instrText xml:space="preserve"> PAGEREF _Toc5453 </w:instrText>
      </w:r>
      <w:r>
        <w:fldChar w:fldCharType="separate"/>
      </w:r>
      <w:r>
        <w:t>123</w:t>
      </w:r>
      <w:r>
        <w:fldChar w:fldCharType="end"/>
      </w:r>
      <w:r>
        <w:fldChar w:fldCharType="end"/>
      </w:r>
    </w:p>
    <w:p>
      <w:pPr>
        <w:pStyle w:val="13"/>
        <w:tabs>
          <w:tab w:val="right" w:leader="dot" w:pos="8959"/>
        </w:tabs>
        <w:ind w:left="960"/>
      </w:pPr>
      <w:r>
        <w:fldChar w:fldCharType="begin"/>
      </w:r>
      <w:r>
        <w:instrText xml:space="preserve"> HYPERLINK \l "_Toc23994" </w:instrText>
      </w:r>
      <w:r>
        <w:fldChar w:fldCharType="separate"/>
      </w:r>
      <w:r>
        <w:rPr>
          <w:snapToGrid w:val="0"/>
          <w:szCs w:val="30"/>
        </w:rPr>
        <w:t>三、其他材料</w:t>
      </w:r>
      <w:r>
        <w:tab/>
      </w:r>
      <w:r>
        <w:fldChar w:fldCharType="begin"/>
      </w:r>
      <w:r>
        <w:instrText xml:space="preserve"> PAGEREF _Toc23994 </w:instrText>
      </w:r>
      <w:r>
        <w:fldChar w:fldCharType="separate"/>
      </w:r>
      <w:r>
        <w:t>124</w:t>
      </w:r>
      <w:r>
        <w:fldChar w:fldCharType="end"/>
      </w:r>
      <w:r>
        <w:fldChar w:fldCharType="end"/>
      </w:r>
    </w:p>
    <w:p>
      <w:pPr>
        <w:spacing w:line="420" w:lineRule="exact"/>
        <w:rPr>
          <w:rFonts w:ascii="宋体" w:hAnsi="宋体"/>
          <w:kern w:val="2"/>
        </w:rPr>
      </w:pPr>
      <w:r>
        <w:rPr>
          <w:rFonts w:ascii="宋体" w:hAnsi="宋体"/>
          <w:kern w:val="2"/>
        </w:rPr>
        <w:fldChar w:fldCharType="end"/>
      </w:r>
    </w:p>
    <w:p>
      <w:pPr>
        <w:spacing w:line="720" w:lineRule="auto"/>
        <w:rPr>
          <w:rFonts w:ascii="宋体" w:hAnsi="宋体"/>
          <w:kern w:val="2"/>
        </w:rPr>
      </w:pPr>
    </w:p>
    <w:bookmarkEnd w:id="0"/>
    <w:bookmarkEnd w:id="1"/>
    <w:bookmarkEnd w:id="2"/>
    <w:bookmarkEnd w:id="3"/>
    <w:bookmarkEnd w:id="4"/>
    <w:bookmarkEnd w:id="5"/>
    <w:bookmarkEnd w:id="6"/>
    <w:p>
      <w:pPr>
        <w:pStyle w:val="6"/>
        <w:jc w:val="center"/>
        <w:rPr>
          <w:rFonts w:ascii="宋体" w:hAnsi="宋体"/>
          <w:sz w:val="48"/>
        </w:rPr>
      </w:pPr>
    </w:p>
    <w:p>
      <w:pPr>
        <w:pStyle w:val="6"/>
        <w:jc w:val="center"/>
        <w:rPr>
          <w:rFonts w:ascii="宋体" w:hAnsi="宋体"/>
          <w:sz w:val="48"/>
        </w:rPr>
      </w:pPr>
    </w:p>
    <w:p>
      <w:pPr>
        <w:pStyle w:val="5"/>
        <w:spacing w:line="360" w:lineRule="auto"/>
        <w:jc w:val="center"/>
        <w:rPr>
          <w:rFonts w:ascii="宋体" w:hAnsi="宋体"/>
          <w:sz w:val="52"/>
          <w:szCs w:val="52"/>
        </w:rPr>
      </w:pPr>
    </w:p>
    <w:p>
      <w:pPr>
        <w:pStyle w:val="5"/>
        <w:spacing w:line="360" w:lineRule="auto"/>
        <w:jc w:val="center"/>
        <w:rPr>
          <w:rFonts w:ascii="宋体" w:hAnsi="宋体"/>
          <w:sz w:val="52"/>
          <w:szCs w:val="52"/>
        </w:rPr>
      </w:pPr>
    </w:p>
    <w:p>
      <w:pPr>
        <w:pStyle w:val="5"/>
        <w:spacing w:line="360" w:lineRule="auto"/>
        <w:jc w:val="center"/>
        <w:rPr>
          <w:rFonts w:ascii="宋体" w:hAnsi="宋体"/>
          <w:sz w:val="52"/>
          <w:szCs w:val="52"/>
        </w:rPr>
      </w:pPr>
    </w:p>
    <w:p>
      <w:pPr>
        <w:pStyle w:val="5"/>
        <w:spacing w:line="360" w:lineRule="auto"/>
        <w:jc w:val="center"/>
        <w:rPr>
          <w:rFonts w:ascii="宋体" w:hAnsi="宋体"/>
          <w:sz w:val="52"/>
          <w:szCs w:val="52"/>
        </w:rPr>
      </w:pPr>
    </w:p>
    <w:p>
      <w:pPr>
        <w:pStyle w:val="5"/>
        <w:spacing w:line="360" w:lineRule="auto"/>
        <w:jc w:val="center"/>
        <w:rPr>
          <w:rFonts w:ascii="宋体" w:hAnsi="宋体"/>
          <w:sz w:val="52"/>
          <w:szCs w:val="52"/>
        </w:rPr>
      </w:pPr>
    </w:p>
    <w:p>
      <w:pPr>
        <w:pStyle w:val="5"/>
        <w:spacing w:line="360" w:lineRule="auto"/>
        <w:jc w:val="center"/>
        <w:rPr>
          <w:rFonts w:ascii="宋体" w:hAnsi="宋体"/>
          <w:sz w:val="52"/>
          <w:szCs w:val="52"/>
        </w:rPr>
      </w:pPr>
    </w:p>
    <w:p>
      <w:pPr>
        <w:pStyle w:val="5"/>
        <w:spacing w:line="360" w:lineRule="auto"/>
        <w:jc w:val="center"/>
        <w:rPr>
          <w:rFonts w:ascii="宋体" w:hAnsi="宋体"/>
          <w:sz w:val="52"/>
          <w:szCs w:val="52"/>
        </w:rPr>
      </w:pPr>
      <w:bookmarkStart w:id="8" w:name="_Toc15532"/>
      <w:r>
        <w:rPr>
          <w:rFonts w:hint="eastAsia" w:ascii="宋体" w:hAnsi="宋体"/>
          <w:sz w:val="52"/>
          <w:szCs w:val="52"/>
        </w:rPr>
        <w:t>第   一   卷</w:t>
      </w:r>
      <w:bookmarkEnd w:id="8"/>
    </w:p>
    <w:p>
      <w:pPr>
        <w:pStyle w:val="6"/>
        <w:jc w:val="center"/>
        <w:rPr>
          <w:rFonts w:ascii="宋体" w:hAnsi="宋体"/>
          <w:sz w:val="30"/>
          <w:szCs w:val="30"/>
        </w:rPr>
      </w:pPr>
      <w:r>
        <w:rPr>
          <w:rFonts w:ascii="宋体" w:hAnsi="宋体"/>
          <w:sz w:val="48"/>
        </w:rPr>
        <w:br w:type="page"/>
      </w:r>
      <w:bookmarkEnd w:id="7"/>
      <w:bookmarkStart w:id="9" w:name="_Toc184635060"/>
      <w:bookmarkStart w:id="10" w:name="_Toc450905863"/>
      <w:bookmarkStart w:id="11" w:name="_Toc271200539"/>
      <w:bookmarkStart w:id="12" w:name="_Toc271220705"/>
      <w:bookmarkStart w:id="13" w:name="_Toc261464167"/>
      <w:bookmarkStart w:id="14" w:name="_Toc15286"/>
      <w:bookmarkStart w:id="15" w:name="_Toc271220706"/>
      <w:bookmarkStart w:id="16" w:name="_Toc261464168"/>
      <w:bookmarkStart w:id="17" w:name="_Toc184635069"/>
      <w:bookmarkStart w:id="18" w:name="_Toc271200540"/>
      <w:r>
        <w:rPr>
          <w:rFonts w:ascii="宋体" w:hAnsi="宋体" w:eastAsia="宋体"/>
          <w:snapToGrid w:val="0"/>
          <w:sz w:val="28"/>
          <w:szCs w:val="28"/>
        </w:rPr>
        <w:t>第一章</w:t>
      </w:r>
      <w:bookmarkEnd w:id="9"/>
      <w:r>
        <w:rPr>
          <w:rFonts w:hint="eastAsia" w:ascii="宋体" w:hAnsi="宋体" w:eastAsia="宋体"/>
          <w:snapToGrid w:val="0"/>
          <w:sz w:val="28"/>
          <w:szCs w:val="28"/>
        </w:rPr>
        <w:t>发包公告</w:t>
      </w:r>
      <w:bookmarkEnd w:id="10"/>
      <w:bookmarkEnd w:id="11"/>
      <w:bookmarkEnd w:id="12"/>
      <w:bookmarkEnd w:id="13"/>
      <w:bookmarkEnd w:id="14"/>
    </w:p>
    <w:p>
      <w:pPr>
        <w:jc w:val="center"/>
        <w:rPr>
          <w:b/>
          <w:bCs/>
          <w:sz w:val="22"/>
          <w:szCs w:val="21"/>
        </w:rPr>
      </w:pPr>
      <w:bookmarkStart w:id="19" w:name="OLE_LINK2"/>
      <w:r>
        <w:rPr>
          <w:rFonts w:hint="eastAsia" w:ascii="宋体" w:hAnsi="宋体"/>
          <w:b/>
          <w:bCs/>
          <w:snapToGrid w:val="0"/>
          <w:spacing w:val="-4"/>
          <w:sz w:val="21"/>
          <w:szCs w:val="21"/>
          <w:lang w:eastAsia="zh-CN"/>
        </w:rPr>
        <w:t>杨溇村粮食生产功能区提标改造项目</w:t>
      </w:r>
      <w:r>
        <w:rPr>
          <w:rFonts w:hint="eastAsia" w:ascii="宋体" w:hAnsi="宋体"/>
          <w:b/>
          <w:bCs/>
          <w:snapToGrid w:val="0"/>
          <w:sz w:val="21"/>
          <w:szCs w:val="21"/>
        </w:rPr>
        <w:t>发包公告</w:t>
      </w:r>
    </w:p>
    <w:bookmarkEnd w:id="19"/>
    <w:p>
      <w:pPr>
        <w:numPr>
          <w:ilvl w:val="0"/>
          <w:numId w:val="3"/>
        </w:numPr>
        <w:snapToGrid w:val="0"/>
        <w:spacing w:line="360" w:lineRule="auto"/>
        <w:rPr>
          <w:rFonts w:asciiTheme="minorEastAsia" w:hAnsiTheme="minorEastAsia"/>
          <w:b/>
          <w:snapToGrid w:val="0"/>
          <w:sz w:val="20"/>
          <w:szCs w:val="20"/>
        </w:rPr>
      </w:pPr>
      <w:r>
        <w:rPr>
          <w:rFonts w:hint="eastAsia" w:asciiTheme="minorEastAsia" w:hAnsiTheme="minorEastAsia"/>
          <w:b/>
          <w:snapToGrid w:val="0"/>
          <w:sz w:val="20"/>
          <w:szCs w:val="20"/>
        </w:rPr>
        <w:t>发包</w:t>
      </w:r>
      <w:r>
        <w:rPr>
          <w:rFonts w:asciiTheme="minorEastAsia" w:hAnsiTheme="minorEastAsia"/>
          <w:b/>
          <w:snapToGrid w:val="0"/>
          <w:sz w:val="20"/>
          <w:szCs w:val="20"/>
        </w:rPr>
        <w:t>条件</w:t>
      </w:r>
    </w:p>
    <w:p>
      <w:pPr>
        <w:spacing w:line="276" w:lineRule="auto"/>
        <w:ind w:firstLine="375"/>
        <w:rPr>
          <w:rFonts w:asciiTheme="minorEastAsia" w:hAnsiTheme="minorEastAsia"/>
          <w:b/>
          <w:bCs/>
          <w:spacing w:val="-4"/>
          <w:sz w:val="20"/>
          <w:szCs w:val="20"/>
        </w:rPr>
      </w:pPr>
      <w:r>
        <w:rPr>
          <w:rFonts w:hint="eastAsia" w:asciiTheme="minorEastAsia" w:hAnsiTheme="minorEastAsia"/>
          <w:b/>
          <w:bCs/>
          <w:snapToGrid w:val="0"/>
          <w:spacing w:val="-4"/>
          <w:sz w:val="20"/>
          <w:szCs w:val="20"/>
        </w:rPr>
        <w:t>本项目为全流程电子发竞包水利工程项目。</w:t>
      </w:r>
      <w:r>
        <w:rPr>
          <w:rFonts w:hint="eastAsia" w:asciiTheme="minorEastAsia" w:hAnsiTheme="minorEastAsia"/>
          <w:b/>
          <w:bCs/>
          <w:spacing w:val="-4"/>
          <w:sz w:val="20"/>
          <w:szCs w:val="20"/>
        </w:rPr>
        <w:t>【采用远程不见面竞包方式】</w:t>
      </w:r>
    </w:p>
    <w:p>
      <w:pPr>
        <w:spacing w:line="276" w:lineRule="auto"/>
        <w:ind w:firstLine="375"/>
        <w:jc w:val="left"/>
        <w:rPr>
          <w:rFonts w:asciiTheme="minorEastAsia" w:hAnsiTheme="minorEastAsia"/>
          <w:snapToGrid w:val="0"/>
          <w:color w:val="auto"/>
          <w:spacing w:val="-4"/>
          <w:sz w:val="20"/>
          <w:szCs w:val="20"/>
        </w:rPr>
      </w:pPr>
      <w:r>
        <w:rPr>
          <w:rFonts w:hint="eastAsia" w:asciiTheme="minorEastAsia" w:hAnsiTheme="minorEastAsia"/>
          <w:snapToGrid w:val="0"/>
          <w:spacing w:val="-4"/>
          <w:sz w:val="20"/>
          <w:szCs w:val="20"/>
        </w:rPr>
        <w:t>本发包项目</w:t>
      </w:r>
      <w:r>
        <w:rPr>
          <w:rFonts w:hint="eastAsia" w:asciiTheme="minorEastAsia" w:hAnsiTheme="minorEastAsia"/>
          <w:b/>
          <w:bCs/>
          <w:snapToGrid w:val="0"/>
          <w:spacing w:val="-4"/>
          <w:sz w:val="20"/>
          <w:szCs w:val="20"/>
          <w:lang w:eastAsia="zh-CN"/>
        </w:rPr>
        <w:t>杨溇村粮食生产功能区提标改造项目</w:t>
      </w:r>
      <w:r>
        <w:rPr>
          <w:rFonts w:hint="eastAsia" w:asciiTheme="minorEastAsia" w:hAnsiTheme="minorEastAsia"/>
          <w:bCs/>
          <w:snapToGrid w:val="0"/>
          <w:spacing w:val="-4"/>
          <w:sz w:val="20"/>
          <w:szCs w:val="20"/>
        </w:rPr>
        <w:t>已</w:t>
      </w:r>
      <w:r>
        <w:rPr>
          <w:rFonts w:hint="eastAsia" w:asciiTheme="minorEastAsia" w:hAnsiTheme="minorEastAsia"/>
          <w:snapToGrid w:val="0"/>
          <w:spacing w:val="-4"/>
          <w:sz w:val="20"/>
          <w:szCs w:val="20"/>
        </w:rPr>
        <w:t>批准实施，建设资金来源为</w:t>
      </w:r>
      <w:r>
        <w:rPr>
          <w:rFonts w:hint="eastAsia" w:asciiTheme="minorEastAsia" w:hAnsiTheme="minorEastAsia"/>
          <w:snapToGrid w:val="0"/>
          <w:spacing w:val="-4"/>
          <w:sz w:val="20"/>
          <w:szCs w:val="20"/>
          <w:lang w:eastAsia="zh-CN"/>
        </w:rPr>
        <w:t>上级补助</w:t>
      </w:r>
      <w:r>
        <w:rPr>
          <w:rFonts w:hint="eastAsia" w:asciiTheme="minorEastAsia" w:hAnsiTheme="minorEastAsia"/>
          <w:snapToGrid w:val="0"/>
          <w:spacing w:val="-4"/>
          <w:sz w:val="20"/>
          <w:szCs w:val="20"/>
        </w:rPr>
        <w:t>。本次发包项目法人为</w:t>
      </w:r>
      <w:r>
        <w:rPr>
          <w:rFonts w:hint="eastAsia" w:asciiTheme="minorEastAsia" w:hAnsiTheme="minorEastAsia"/>
          <w:b/>
          <w:bCs/>
          <w:snapToGrid w:val="0"/>
          <w:spacing w:val="-4"/>
          <w:sz w:val="20"/>
          <w:szCs w:val="20"/>
          <w:lang w:eastAsia="zh-CN"/>
        </w:rPr>
        <w:t>湖州南太湖现代农业综合区开发有限公司</w:t>
      </w:r>
      <w:r>
        <w:rPr>
          <w:rFonts w:hint="eastAsia" w:asciiTheme="minorEastAsia" w:hAnsiTheme="minorEastAsia"/>
          <w:snapToGrid w:val="0"/>
          <w:spacing w:val="-4"/>
          <w:sz w:val="20"/>
          <w:szCs w:val="20"/>
        </w:rPr>
        <w:t>（委托代理单位为</w:t>
      </w:r>
      <w:r>
        <w:rPr>
          <w:rFonts w:hint="eastAsia" w:asciiTheme="minorEastAsia" w:hAnsiTheme="minorEastAsia"/>
          <w:b/>
          <w:bCs/>
          <w:snapToGrid w:val="0"/>
          <w:spacing w:val="-4"/>
          <w:sz w:val="20"/>
          <w:szCs w:val="20"/>
          <w:lang w:eastAsia="zh-CN"/>
        </w:rPr>
        <w:t>湖州星兴工程咨询有限公司</w:t>
      </w:r>
      <w:r>
        <w:rPr>
          <w:rFonts w:hint="eastAsia" w:asciiTheme="minorEastAsia" w:hAnsiTheme="minorEastAsia"/>
          <w:snapToGrid w:val="0"/>
          <w:spacing w:val="-4"/>
          <w:sz w:val="20"/>
          <w:szCs w:val="20"/>
        </w:rPr>
        <w:t>），发包</w:t>
      </w:r>
      <w:r>
        <w:rPr>
          <w:rFonts w:hint="eastAsia" w:asciiTheme="minorEastAsia" w:hAnsiTheme="minorEastAsia"/>
          <w:snapToGrid w:val="0"/>
          <w:color w:val="auto"/>
          <w:spacing w:val="-4"/>
          <w:sz w:val="20"/>
          <w:szCs w:val="20"/>
        </w:rPr>
        <w:t>监督小组为</w:t>
      </w:r>
      <w:r>
        <w:rPr>
          <w:rFonts w:hint="eastAsia" w:asciiTheme="minorEastAsia" w:hAnsiTheme="minorEastAsia"/>
          <w:b/>
          <w:bCs/>
          <w:snapToGrid w:val="0"/>
          <w:color w:val="auto"/>
          <w:spacing w:val="-4"/>
          <w:sz w:val="20"/>
          <w:szCs w:val="20"/>
          <w:lang w:eastAsia="zh-CN"/>
        </w:rPr>
        <w:t>湖州南太湖现代农业综合区开发有限公司</w:t>
      </w:r>
      <w:r>
        <w:rPr>
          <w:rFonts w:hint="eastAsia" w:asciiTheme="minorEastAsia" w:hAnsiTheme="minorEastAsia"/>
          <w:b/>
          <w:bCs/>
          <w:snapToGrid w:val="0"/>
          <w:color w:val="auto"/>
          <w:spacing w:val="-4"/>
          <w:sz w:val="20"/>
          <w:szCs w:val="20"/>
        </w:rPr>
        <w:t>发包监督小组。</w:t>
      </w:r>
      <w:r>
        <w:rPr>
          <w:rFonts w:hint="eastAsia" w:asciiTheme="minorEastAsia" w:hAnsiTheme="minorEastAsia"/>
          <w:snapToGrid w:val="0"/>
          <w:color w:val="auto"/>
          <w:spacing w:val="-4"/>
          <w:sz w:val="20"/>
          <w:szCs w:val="20"/>
        </w:rPr>
        <w:t>项目已具备发包条件，现对该项目施工公开发包，项目发包编号为</w:t>
      </w:r>
      <w:r>
        <w:rPr>
          <w:rFonts w:hint="eastAsia" w:asciiTheme="minorEastAsia" w:hAnsiTheme="minorEastAsia"/>
          <w:b/>
          <w:bCs/>
          <w:snapToGrid w:val="0"/>
          <w:color w:val="auto"/>
          <w:spacing w:val="-4"/>
          <w:sz w:val="20"/>
          <w:szCs w:val="20"/>
        </w:rPr>
        <w:t>G20200</w:t>
      </w:r>
      <w:r>
        <w:rPr>
          <w:rFonts w:hint="eastAsia" w:asciiTheme="minorEastAsia" w:hAnsiTheme="minorEastAsia"/>
          <w:b/>
          <w:bCs/>
          <w:snapToGrid w:val="0"/>
          <w:color w:val="auto"/>
          <w:spacing w:val="-4"/>
          <w:sz w:val="20"/>
          <w:szCs w:val="20"/>
          <w:lang w:val="en-US" w:eastAsia="zh-CN"/>
        </w:rPr>
        <w:t>9</w:t>
      </w:r>
      <w:r>
        <w:rPr>
          <w:rFonts w:hint="eastAsia" w:asciiTheme="minorEastAsia" w:hAnsiTheme="minorEastAsia"/>
          <w:b/>
          <w:bCs/>
          <w:snapToGrid w:val="0"/>
          <w:color w:val="auto"/>
          <w:spacing w:val="-4"/>
          <w:sz w:val="20"/>
          <w:szCs w:val="20"/>
        </w:rPr>
        <w:t>0</w:t>
      </w:r>
      <w:r>
        <w:rPr>
          <w:rFonts w:hint="eastAsia" w:asciiTheme="minorEastAsia" w:hAnsiTheme="minorEastAsia"/>
          <w:b/>
          <w:bCs/>
          <w:snapToGrid w:val="0"/>
          <w:color w:val="auto"/>
          <w:spacing w:val="-4"/>
          <w:sz w:val="20"/>
          <w:szCs w:val="20"/>
          <w:lang w:val="en-US" w:eastAsia="zh-CN"/>
        </w:rPr>
        <w:t>61</w:t>
      </w:r>
      <w:r>
        <w:rPr>
          <w:rFonts w:hint="eastAsia" w:asciiTheme="minorEastAsia" w:hAnsiTheme="minorEastAsia"/>
          <w:snapToGrid w:val="0"/>
          <w:color w:val="auto"/>
          <w:spacing w:val="-4"/>
          <w:sz w:val="20"/>
          <w:szCs w:val="20"/>
        </w:rPr>
        <w:t>。</w:t>
      </w:r>
    </w:p>
    <w:p>
      <w:pPr>
        <w:snapToGrid w:val="0"/>
        <w:spacing w:line="480" w:lineRule="auto"/>
        <w:rPr>
          <w:rFonts w:hint="default" w:asciiTheme="minorEastAsia" w:hAnsiTheme="minorEastAsia" w:eastAsiaTheme="minorEastAsia"/>
          <w:b/>
          <w:snapToGrid w:val="0"/>
          <w:color w:val="auto"/>
          <w:sz w:val="20"/>
          <w:szCs w:val="20"/>
          <w:lang w:val="en-US" w:eastAsia="zh-CN"/>
        </w:rPr>
      </w:pPr>
      <w:r>
        <w:rPr>
          <w:rFonts w:asciiTheme="minorEastAsia" w:hAnsiTheme="minorEastAsia"/>
          <w:b/>
          <w:snapToGrid w:val="0"/>
          <w:color w:val="auto"/>
          <w:sz w:val="20"/>
          <w:szCs w:val="20"/>
        </w:rPr>
        <w:t xml:space="preserve">2. </w:t>
      </w:r>
      <w:r>
        <w:rPr>
          <w:rFonts w:hint="eastAsia" w:asciiTheme="minorEastAsia" w:hAnsiTheme="minorEastAsia"/>
          <w:b/>
          <w:snapToGrid w:val="0"/>
          <w:color w:val="auto"/>
          <w:sz w:val="20"/>
          <w:szCs w:val="20"/>
        </w:rPr>
        <w:t>项目概况与发包范围</w:t>
      </w:r>
    </w:p>
    <w:p>
      <w:pPr>
        <w:snapToGrid w:val="0"/>
        <w:spacing w:line="480" w:lineRule="auto"/>
        <w:ind w:firstLine="480" w:firstLineChars="250"/>
        <w:rPr>
          <w:rFonts w:hint="default" w:asciiTheme="minorEastAsia" w:hAnsiTheme="minorEastAsia" w:eastAsiaTheme="minorEastAsia"/>
          <w:bCs/>
          <w:snapToGrid w:val="0"/>
          <w:color w:val="auto"/>
          <w:spacing w:val="-4"/>
          <w:sz w:val="20"/>
          <w:szCs w:val="20"/>
          <w:lang w:val="en-US" w:eastAsia="zh-CN"/>
        </w:rPr>
      </w:pPr>
      <w:r>
        <w:rPr>
          <w:rFonts w:hint="eastAsia" w:asciiTheme="minorEastAsia" w:hAnsiTheme="minorEastAsia"/>
          <w:bCs/>
          <w:snapToGrid w:val="0"/>
          <w:color w:val="auto"/>
          <w:spacing w:val="-4"/>
          <w:sz w:val="20"/>
          <w:szCs w:val="20"/>
          <w:lang w:eastAsia="zh-CN"/>
        </w:rPr>
        <w:t>本项目位于湖州市高新区杨溇村，拟对杨溇村粮食功能区农田区块进行整体提升，总计涉及范围约520亩。主要工程建设规模为：新建渠道1.405公里；排渠加高0.772公里；渠系建筑物55处；新建DN200低压管道1.265公里，修筑机耕路2.775公里，均为砼路面。以及为完成上述工作所必须的措施项目和其他项目的建设及维护。根据发包人要求进行施工，具体工程量按实结算。</w:t>
      </w:r>
    </w:p>
    <w:p>
      <w:pPr>
        <w:snapToGrid w:val="0"/>
        <w:spacing w:line="480" w:lineRule="auto"/>
        <w:ind w:firstLine="480" w:firstLineChars="250"/>
        <w:rPr>
          <w:rFonts w:asciiTheme="minorEastAsia" w:hAnsiTheme="minorEastAsia"/>
          <w:snapToGrid w:val="0"/>
          <w:color w:val="auto"/>
          <w:spacing w:val="-4"/>
          <w:sz w:val="20"/>
          <w:szCs w:val="20"/>
        </w:rPr>
      </w:pPr>
      <w:r>
        <w:rPr>
          <w:rFonts w:hint="eastAsia" w:asciiTheme="minorEastAsia" w:hAnsiTheme="minorEastAsia"/>
          <w:snapToGrid w:val="0"/>
          <w:color w:val="auto"/>
          <w:spacing w:val="-4"/>
          <w:sz w:val="20"/>
          <w:szCs w:val="20"/>
        </w:rPr>
        <w:t>项目</w:t>
      </w:r>
      <w:r>
        <w:rPr>
          <w:rFonts w:hint="eastAsia" w:asciiTheme="minorEastAsia" w:hAnsiTheme="minorEastAsia"/>
          <w:snapToGrid w:val="0"/>
          <w:color w:val="auto"/>
          <w:spacing w:val="-4"/>
          <w:sz w:val="20"/>
          <w:szCs w:val="20"/>
          <w:lang w:eastAsia="zh-CN"/>
        </w:rPr>
        <w:t>计划</w:t>
      </w:r>
      <w:r>
        <w:rPr>
          <w:rFonts w:hint="eastAsia" w:asciiTheme="minorEastAsia" w:hAnsiTheme="minorEastAsia"/>
          <w:snapToGrid w:val="0"/>
          <w:color w:val="auto"/>
          <w:spacing w:val="-4"/>
          <w:sz w:val="20"/>
          <w:szCs w:val="20"/>
        </w:rPr>
        <w:t>投资约</w:t>
      </w:r>
      <w:r>
        <w:rPr>
          <w:rFonts w:hint="eastAsia" w:asciiTheme="minorEastAsia" w:hAnsiTheme="minorEastAsia"/>
          <w:snapToGrid w:val="0"/>
          <w:color w:val="auto"/>
          <w:spacing w:val="-4"/>
          <w:sz w:val="20"/>
          <w:szCs w:val="20"/>
          <w:lang w:val="en-US" w:eastAsia="zh-CN"/>
        </w:rPr>
        <w:t>170</w:t>
      </w:r>
      <w:r>
        <w:rPr>
          <w:rFonts w:hint="eastAsia" w:asciiTheme="minorEastAsia" w:hAnsiTheme="minorEastAsia"/>
          <w:snapToGrid w:val="0"/>
          <w:color w:val="auto"/>
          <w:spacing w:val="-4"/>
          <w:sz w:val="20"/>
          <w:szCs w:val="20"/>
        </w:rPr>
        <w:t>万元。计划工期为</w:t>
      </w:r>
      <w:r>
        <w:rPr>
          <w:rFonts w:hint="eastAsia" w:asciiTheme="minorEastAsia" w:hAnsiTheme="minorEastAsia"/>
          <w:snapToGrid w:val="0"/>
          <w:color w:val="auto"/>
          <w:spacing w:val="-4"/>
          <w:sz w:val="20"/>
          <w:szCs w:val="20"/>
          <w:lang w:val="en-US" w:eastAsia="zh-CN"/>
        </w:rPr>
        <w:t>60</w:t>
      </w:r>
      <w:r>
        <w:rPr>
          <w:rFonts w:hint="eastAsia" w:asciiTheme="minorEastAsia" w:hAnsiTheme="minorEastAsia"/>
          <w:snapToGrid w:val="0"/>
          <w:color w:val="auto"/>
          <w:spacing w:val="-4"/>
          <w:sz w:val="20"/>
          <w:szCs w:val="20"/>
        </w:rPr>
        <w:t>日历天。</w:t>
      </w:r>
    </w:p>
    <w:p>
      <w:pPr>
        <w:snapToGrid w:val="0"/>
        <w:spacing w:line="480" w:lineRule="auto"/>
        <w:ind w:firstLine="487" w:firstLineChars="254"/>
        <w:rPr>
          <w:rFonts w:asciiTheme="minorEastAsia" w:hAnsiTheme="minorEastAsia"/>
          <w:snapToGrid w:val="0"/>
          <w:spacing w:val="-4"/>
          <w:sz w:val="20"/>
          <w:szCs w:val="20"/>
        </w:rPr>
      </w:pPr>
      <w:r>
        <w:rPr>
          <w:rFonts w:hint="eastAsia" w:asciiTheme="minorEastAsia" w:hAnsiTheme="minorEastAsia"/>
          <w:snapToGrid w:val="0"/>
          <w:spacing w:val="-4"/>
          <w:sz w:val="20"/>
          <w:szCs w:val="20"/>
        </w:rPr>
        <w:t>工程质量要求合格。</w:t>
      </w:r>
    </w:p>
    <w:p>
      <w:pPr>
        <w:snapToGrid w:val="0"/>
        <w:spacing w:line="480" w:lineRule="auto"/>
        <w:rPr>
          <w:rFonts w:asciiTheme="minorEastAsia" w:hAnsiTheme="minorEastAsia"/>
          <w:b/>
          <w:snapToGrid w:val="0"/>
          <w:sz w:val="20"/>
          <w:szCs w:val="20"/>
        </w:rPr>
      </w:pPr>
      <w:r>
        <w:rPr>
          <w:rFonts w:hint="eastAsia" w:asciiTheme="minorEastAsia" w:hAnsiTheme="minorEastAsia"/>
          <w:b/>
          <w:snapToGrid w:val="0"/>
          <w:sz w:val="20"/>
          <w:szCs w:val="20"/>
        </w:rPr>
        <w:t>3. 竞包人资格要求</w:t>
      </w:r>
    </w:p>
    <w:p>
      <w:pPr>
        <w:snapToGrid w:val="0"/>
        <w:spacing w:line="480" w:lineRule="auto"/>
        <w:ind w:firstLine="480" w:firstLineChars="250"/>
        <w:rPr>
          <w:rFonts w:asciiTheme="minorEastAsia" w:hAnsiTheme="minorEastAsia"/>
          <w:snapToGrid w:val="0"/>
          <w:spacing w:val="-4"/>
          <w:sz w:val="20"/>
          <w:szCs w:val="20"/>
        </w:rPr>
      </w:pPr>
      <w:r>
        <w:rPr>
          <w:rFonts w:hint="eastAsia" w:asciiTheme="minorEastAsia" w:hAnsiTheme="minorEastAsia"/>
          <w:snapToGrid w:val="0"/>
          <w:spacing w:val="-4"/>
          <w:sz w:val="20"/>
          <w:szCs w:val="20"/>
        </w:rPr>
        <w:t>3.1 本次发包要求竞包人水利水电工程施工总承包叁级及以上资质（浙江省外企业须提供《省外企业进浙承接业务备案证明》 ,其他条件详见附表。</w:t>
      </w:r>
    </w:p>
    <w:p>
      <w:pPr>
        <w:snapToGrid w:val="0"/>
        <w:spacing w:line="480" w:lineRule="auto"/>
        <w:ind w:firstLine="480" w:firstLineChars="250"/>
        <w:rPr>
          <w:rFonts w:asciiTheme="minorEastAsia" w:hAnsiTheme="minorEastAsia"/>
          <w:snapToGrid w:val="0"/>
          <w:spacing w:val="-4"/>
          <w:sz w:val="20"/>
          <w:szCs w:val="20"/>
        </w:rPr>
      </w:pPr>
      <w:r>
        <w:rPr>
          <w:rFonts w:hint="eastAsia" w:asciiTheme="minorEastAsia" w:hAnsiTheme="minorEastAsia"/>
          <w:snapToGrid w:val="0"/>
          <w:spacing w:val="-4"/>
          <w:sz w:val="20"/>
          <w:szCs w:val="20"/>
        </w:rPr>
        <w:t>3.2 本次发包不接受联合体竞包。</w:t>
      </w:r>
    </w:p>
    <w:p>
      <w:pPr>
        <w:snapToGrid w:val="0"/>
        <w:spacing w:line="480" w:lineRule="auto"/>
        <w:ind w:firstLine="480" w:firstLineChars="250"/>
        <w:rPr>
          <w:rFonts w:asciiTheme="minorEastAsia" w:hAnsiTheme="minorEastAsia"/>
          <w:snapToGrid w:val="0"/>
          <w:spacing w:val="-4"/>
          <w:sz w:val="20"/>
          <w:szCs w:val="20"/>
        </w:rPr>
      </w:pPr>
      <w:r>
        <w:rPr>
          <w:rFonts w:hint="eastAsia" w:asciiTheme="minorEastAsia" w:hAnsiTheme="minorEastAsia"/>
          <w:snapToGrid w:val="0"/>
          <w:spacing w:val="-4"/>
          <w:sz w:val="20"/>
          <w:szCs w:val="20"/>
        </w:rPr>
        <w:t xml:space="preserve">3.3 </w:t>
      </w:r>
      <w:r>
        <w:rPr>
          <w:rFonts w:asciiTheme="minorEastAsia" w:hAnsiTheme="minorEastAsia"/>
          <w:snapToGrid w:val="0"/>
          <w:spacing w:val="-4"/>
          <w:sz w:val="20"/>
          <w:szCs w:val="20"/>
        </w:rPr>
        <w:t>其他要求：1、本项目采用电子发竞包，竞包单位必须为已经审核入库的湖州市公共资源电子交易平台成员；2、本项目拒绝被市场监督管理部门列入经营异常名录的竞包企业。”</w:t>
      </w:r>
    </w:p>
    <w:p>
      <w:pPr>
        <w:snapToGrid w:val="0"/>
        <w:spacing w:line="480" w:lineRule="auto"/>
        <w:rPr>
          <w:rFonts w:asciiTheme="minorEastAsia" w:hAnsiTheme="minorEastAsia"/>
          <w:b/>
          <w:snapToGrid w:val="0"/>
          <w:sz w:val="20"/>
          <w:szCs w:val="20"/>
        </w:rPr>
      </w:pPr>
      <w:r>
        <w:rPr>
          <w:rFonts w:hint="eastAsia" w:asciiTheme="minorEastAsia" w:hAnsiTheme="minorEastAsia"/>
          <w:b/>
          <w:snapToGrid w:val="0"/>
          <w:sz w:val="20"/>
          <w:szCs w:val="20"/>
        </w:rPr>
        <w:t>4. 发包文件的获取</w:t>
      </w:r>
    </w:p>
    <w:p>
      <w:pPr>
        <w:snapToGrid w:val="0"/>
        <w:spacing w:line="480" w:lineRule="auto"/>
        <w:ind w:firstLine="480" w:firstLineChars="250"/>
        <w:rPr>
          <w:rFonts w:asciiTheme="minorEastAsia" w:hAnsiTheme="minorEastAsia" w:cstheme="minorEastAsia"/>
          <w:snapToGrid w:val="0"/>
          <w:spacing w:val="-4"/>
          <w:sz w:val="20"/>
          <w:szCs w:val="20"/>
        </w:rPr>
      </w:pPr>
      <w:bookmarkStart w:id="20" w:name="_Toc221949933"/>
      <w:r>
        <w:rPr>
          <w:rFonts w:hint="eastAsia" w:asciiTheme="minorEastAsia" w:hAnsiTheme="minorEastAsia"/>
          <w:snapToGrid w:val="0"/>
          <w:spacing w:val="-4"/>
          <w:sz w:val="20"/>
          <w:szCs w:val="20"/>
        </w:rPr>
        <w:t>4.1</w:t>
      </w:r>
      <w:r>
        <w:rPr>
          <w:rFonts w:hint="eastAsia" w:asciiTheme="minorEastAsia" w:hAnsiTheme="minorEastAsia" w:cstheme="minorEastAsia"/>
          <w:snapToGrid w:val="0"/>
          <w:spacing w:val="-4"/>
          <w:sz w:val="20"/>
          <w:szCs w:val="20"/>
        </w:rPr>
        <w:t>已注册用户，请登陆湖州市公共资源交易系统（http://ggzy.huzhou.gov.cn/hzfront/）—湖州市限额发包平台—“交易主体登录”，下载获取后缀名为“.HZZF”的发包文件等。</w:t>
      </w:r>
    </w:p>
    <w:p>
      <w:pPr>
        <w:snapToGrid w:val="0"/>
        <w:spacing w:line="480" w:lineRule="auto"/>
        <w:ind w:firstLine="480" w:firstLineChars="250"/>
        <w:rPr>
          <w:rFonts w:asciiTheme="minorEastAsia" w:hAnsiTheme="minorEastAsia" w:cstheme="minorEastAsia"/>
          <w:snapToGrid w:val="0"/>
          <w:spacing w:val="-4"/>
          <w:sz w:val="20"/>
          <w:szCs w:val="20"/>
        </w:rPr>
      </w:pPr>
      <w:r>
        <w:rPr>
          <w:rFonts w:hint="eastAsia" w:asciiTheme="minorEastAsia" w:hAnsiTheme="minorEastAsia" w:cstheme="minorEastAsia"/>
          <w:snapToGrid w:val="0"/>
          <w:spacing w:val="-4"/>
          <w:sz w:val="20"/>
          <w:szCs w:val="20"/>
        </w:rPr>
        <w:t>4.2未注册用户可通过“湖州市限额发包平台-水利-发包公告”中附件下载获取发包文件进行查看咨询。</w:t>
      </w:r>
    </w:p>
    <w:p>
      <w:pPr>
        <w:wordWrap w:val="0"/>
        <w:snapToGrid w:val="0"/>
        <w:spacing w:line="480" w:lineRule="auto"/>
        <w:ind w:firstLine="480" w:firstLineChars="250"/>
        <w:rPr>
          <w:rFonts w:hint="eastAsia" w:asciiTheme="minorEastAsia" w:hAnsiTheme="minorEastAsia"/>
          <w:sz w:val="20"/>
          <w:szCs w:val="20"/>
        </w:rPr>
      </w:pPr>
      <w:r>
        <w:rPr>
          <w:rFonts w:hint="eastAsia" w:asciiTheme="minorEastAsia" w:hAnsiTheme="minorEastAsia"/>
          <w:snapToGrid w:val="0"/>
          <w:spacing w:val="-4"/>
          <w:sz w:val="20"/>
          <w:szCs w:val="20"/>
        </w:rPr>
        <w:t>4.3注册咨询、技术服务电话：0572-2220028 ；审核电话：0572-2220011；</w:t>
      </w:r>
      <w:bookmarkEnd w:id="20"/>
      <w:r>
        <w:rPr>
          <w:rFonts w:hint="eastAsia" w:asciiTheme="minorEastAsia" w:hAnsiTheme="minorEastAsia"/>
          <w:snapToGrid w:val="0"/>
          <w:spacing w:val="-4"/>
          <w:sz w:val="20"/>
          <w:szCs w:val="20"/>
        </w:rPr>
        <w:t>CA锁办理：</w:t>
      </w:r>
      <w:r>
        <w:fldChar w:fldCharType="begin"/>
      </w:r>
      <w:r>
        <w:instrText xml:space="preserve"> HYPERLINK "http://ggzy.huzhou.gov.cn/HZfront/InfoDetail/?InfoID=be90c8bc-0bd8-4140-a371-a0ba2181479a&amp;CategoryNum=010007" </w:instrText>
      </w:r>
      <w:r>
        <w:fldChar w:fldCharType="separate"/>
      </w:r>
      <w:r>
        <w:rPr>
          <w:rFonts w:hint="eastAsia" w:asciiTheme="minorEastAsia" w:hAnsiTheme="minorEastAsia"/>
          <w:sz w:val="20"/>
          <w:szCs w:val="20"/>
        </w:rPr>
        <w:t>http://ggzy.huzhou.gov.cn/HZfront/InfoDetail/?InfoID=be90c8bc-0bd8-4140-a371-a0ba2181479a&amp;CategoryNum=010007</w:t>
      </w:r>
      <w:r>
        <w:rPr>
          <w:rFonts w:hint="eastAsia" w:asciiTheme="minorEastAsia" w:hAnsiTheme="minorEastAsia"/>
          <w:sz w:val="20"/>
          <w:szCs w:val="20"/>
        </w:rPr>
        <w:fldChar w:fldCharType="end"/>
      </w:r>
      <w:r>
        <w:rPr>
          <w:rFonts w:hint="eastAsia" w:asciiTheme="minorEastAsia" w:hAnsiTheme="minorEastAsia"/>
          <w:sz w:val="20"/>
          <w:szCs w:val="20"/>
        </w:rPr>
        <w:t>。</w:t>
      </w:r>
    </w:p>
    <w:p>
      <w:pPr>
        <w:wordWrap w:val="0"/>
        <w:snapToGrid w:val="0"/>
        <w:spacing w:line="480" w:lineRule="auto"/>
        <w:ind w:firstLine="480" w:firstLineChars="250"/>
        <w:rPr>
          <w:rFonts w:hint="eastAsia" w:asciiTheme="minorEastAsia" w:hAnsiTheme="minorEastAsia"/>
          <w:snapToGrid w:val="0"/>
          <w:spacing w:val="-4"/>
          <w:sz w:val="20"/>
          <w:szCs w:val="20"/>
        </w:rPr>
      </w:pPr>
      <w:r>
        <w:rPr>
          <w:rFonts w:hint="eastAsia" w:asciiTheme="minorEastAsia" w:hAnsiTheme="minorEastAsia"/>
          <w:snapToGrid w:val="0"/>
          <w:spacing w:val="-4"/>
          <w:sz w:val="20"/>
          <w:szCs w:val="20"/>
        </w:rPr>
        <w:t>4.4、本项目发包文件和补充（答疑、澄清）、修改文件以网上下载方式发放。</w:t>
      </w:r>
    </w:p>
    <w:p>
      <w:pPr>
        <w:wordWrap w:val="0"/>
        <w:snapToGrid w:val="0"/>
        <w:spacing w:line="480" w:lineRule="auto"/>
        <w:ind w:firstLine="480" w:firstLineChars="250"/>
        <w:rPr>
          <w:color w:val="auto"/>
        </w:rPr>
      </w:pPr>
      <w:r>
        <w:rPr>
          <w:rFonts w:hint="eastAsia" w:asciiTheme="minorEastAsia" w:hAnsiTheme="minorEastAsia"/>
          <w:snapToGrid w:val="0"/>
          <w:spacing w:val="-4"/>
          <w:sz w:val="20"/>
          <w:szCs w:val="20"/>
        </w:rPr>
        <w:t xml:space="preserve"> 4.5、潜在竞包人对发包文件有疑问的，通过交易平台提</w:t>
      </w:r>
      <w:r>
        <w:rPr>
          <w:rFonts w:hint="eastAsia" w:asciiTheme="minorEastAsia" w:hAnsiTheme="minorEastAsia"/>
          <w:snapToGrid w:val="0"/>
          <w:color w:val="auto"/>
          <w:spacing w:val="-4"/>
          <w:sz w:val="20"/>
          <w:szCs w:val="20"/>
        </w:rPr>
        <w:t>交。提交疑问截止日为2020年</w:t>
      </w:r>
      <w:r>
        <w:rPr>
          <w:rFonts w:hint="eastAsia" w:asciiTheme="minorEastAsia" w:hAnsiTheme="minorEastAsia"/>
          <w:snapToGrid w:val="0"/>
          <w:color w:val="auto"/>
          <w:spacing w:val="-4"/>
          <w:sz w:val="20"/>
          <w:szCs w:val="20"/>
          <w:lang w:val="en-US" w:eastAsia="zh-CN"/>
        </w:rPr>
        <w:t>9</w:t>
      </w:r>
      <w:r>
        <w:rPr>
          <w:rFonts w:hint="eastAsia" w:asciiTheme="minorEastAsia" w:hAnsiTheme="minorEastAsia"/>
          <w:snapToGrid w:val="0"/>
          <w:color w:val="auto"/>
          <w:spacing w:val="-4"/>
          <w:sz w:val="20"/>
          <w:szCs w:val="20"/>
        </w:rPr>
        <w:t>月</w:t>
      </w:r>
      <w:r>
        <w:rPr>
          <w:rFonts w:hint="eastAsia" w:asciiTheme="minorEastAsia" w:hAnsiTheme="minorEastAsia"/>
          <w:snapToGrid w:val="0"/>
          <w:color w:val="auto"/>
          <w:spacing w:val="-4"/>
          <w:sz w:val="20"/>
          <w:szCs w:val="20"/>
          <w:lang w:val="en-US" w:eastAsia="zh-CN"/>
        </w:rPr>
        <w:t>19</w:t>
      </w:r>
      <w:r>
        <w:rPr>
          <w:rFonts w:hint="eastAsia" w:asciiTheme="minorEastAsia" w:hAnsiTheme="minorEastAsia"/>
          <w:snapToGrid w:val="0"/>
          <w:color w:val="auto"/>
          <w:spacing w:val="-4"/>
          <w:sz w:val="20"/>
          <w:szCs w:val="20"/>
        </w:rPr>
        <w:t>日23：59。发包人将于2020年</w:t>
      </w:r>
      <w:r>
        <w:rPr>
          <w:rFonts w:hint="eastAsia" w:asciiTheme="minorEastAsia" w:hAnsiTheme="minorEastAsia"/>
          <w:snapToGrid w:val="0"/>
          <w:color w:val="auto"/>
          <w:spacing w:val="-4"/>
          <w:sz w:val="20"/>
          <w:szCs w:val="20"/>
          <w:lang w:val="en-US" w:eastAsia="zh-CN"/>
        </w:rPr>
        <w:t>9</w:t>
      </w:r>
      <w:r>
        <w:rPr>
          <w:rFonts w:hint="eastAsia" w:asciiTheme="minorEastAsia" w:hAnsiTheme="minorEastAsia"/>
          <w:snapToGrid w:val="0"/>
          <w:color w:val="auto"/>
          <w:spacing w:val="-4"/>
          <w:sz w:val="20"/>
          <w:szCs w:val="20"/>
        </w:rPr>
        <w:t>月</w:t>
      </w:r>
      <w:r>
        <w:rPr>
          <w:rFonts w:hint="eastAsia" w:asciiTheme="minorEastAsia" w:hAnsiTheme="minorEastAsia"/>
          <w:snapToGrid w:val="0"/>
          <w:color w:val="auto"/>
          <w:spacing w:val="-4"/>
          <w:sz w:val="20"/>
          <w:szCs w:val="20"/>
          <w:lang w:val="en-US" w:eastAsia="zh-CN"/>
        </w:rPr>
        <w:t>21</w:t>
      </w:r>
      <w:r>
        <w:rPr>
          <w:rFonts w:hint="eastAsia" w:asciiTheme="minorEastAsia" w:hAnsiTheme="minorEastAsia"/>
          <w:snapToGrid w:val="0"/>
          <w:color w:val="auto"/>
          <w:spacing w:val="-4"/>
          <w:sz w:val="20"/>
          <w:szCs w:val="20"/>
        </w:rPr>
        <w:t>日在网上发布补充（答疑、澄清）文件。潜在竞包人应自行关注网站公告，发包人不再一一通知。竞包人因自身贻误行为导致竞包失败的，责任自负。</w:t>
      </w:r>
    </w:p>
    <w:p>
      <w:pPr>
        <w:snapToGrid w:val="0"/>
        <w:spacing w:line="480" w:lineRule="auto"/>
        <w:rPr>
          <w:rFonts w:asciiTheme="minorEastAsia" w:hAnsiTheme="minorEastAsia"/>
          <w:b/>
          <w:snapToGrid w:val="0"/>
          <w:color w:val="auto"/>
          <w:sz w:val="20"/>
          <w:szCs w:val="20"/>
        </w:rPr>
      </w:pPr>
      <w:r>
        <w:rPr>
          <w:rFonts w:hint="eastAsia" w:asciiTheme="minorEastAsia" w:hAnsiTheme="minorEastAsia"/>
          <w:b/>
          <w:snapToGrid w:val="0"/>
          <w:color w:val="auto"/>
          <w:sz w:val="20"/>
          <w:szCs w:val="20"/>
        </w:rPr>
        <w:t>5. 竞包文件的递交</w:t>
      </w:r>
    </w:p>
    <w:p>
      <w:pPr>
        <w:snapToGrid w:val="0"/>
        <w:spacing w:line="480" w:lineRule="auto"/>
        <w:ind w:firstLine="480" w:firstLineChars="250"/>
        <w:rPr>
          <w:rFonts w:asciiTheme="minorEastAsia" w:hAnsiTheme="minorEastAsia"/>
          <w:snapToGrid w:val="0"/>
          <w:spacing w:val="-4"/>
          <w:sz w:val="20"/>
          <w:szCs w:val="20"/>
        </w:rPr>
      </w:pPr>
      <w:r>
        <w:rPr>
          <w:rFonts w:hint="eastAsia" w:asciiTheme="minorEastAsia" w:hAnsiTheme="minorEastAsia"/>
          <w:snapToGrid w:val="0"/>
          <w:color w:val="auto"/>
          <w:spacing w:val="-4"/>
          <w:sz w:val="20"/>
          <w:szCs w:val="20"/>
        </w:rPr>
        <w:t>5.1竞包文件递交的截止时间（竞包截止时间，下同）为2020年</w:t>
      </w:r>
      <w:r>
        <w:rPr>
          <w:rFonts w:hint="eastAsia" w:asciiTheme="minorEastAsia" w:hAnsiTheme="minorEastAsia"/>
          <w:snapToGrid w:val="0"/>
          <w:color w:val="auto"/>
          <w:spacing w:val="-4"/>
          <w:sz w:val="20"/>
          <w:szCs w:val="20"/>
          <w:lang w:val="en-US" w:eastAsia="zh-CN"/>
        </w:rPr>
        <w:t>9</w:t>
      </w:r>
      <w:r>
        <w:rPr>
          <w:rFonts w:hint="eastAsia" w:asciiTheme="minorEastAsia" w:hAnsiTheme="minorEastAsia"/>
          <w:snapToGrid w:val="0"/>
          <w:color w:val="auto"/>
          <w:spacing w:val="-4"/>
          <w:sz w:val="20"/>
          <w:szCs w:val="20"/>
        </w:rPr>
        <w:t>月</w:t>
      </w:r>
      <w:r>
        <w:rPr>
          <w:rFonts w:hint="eastAsia" w:asciiTheme="minorEastAsia" w:hAnsiTheme="minorEastAsia"/>
          <w:snapToGrid w:val="0"/>
          <w:color w:val="auto"/>
          <w:spacing w:val="-4"/>
          <w:sz w:val="20"/>
          <w:szCs w:val="20"/>
          <w:lang w:val="en-US" w:eastAsia="zh-CN"/>
        </w:rPr>
        <w:t>23</w:t>
      </w:r>
      <w:r>
        <w:rPr>
          <w:rFonts w:hint="eastAsia" w:asciiTheme="minorEastAsia" w:hAnsiTheme="minorEastAsia"/>
          <w:snapToGrid w:val="0"/>
          <w:color w:val="auto"/>
          <w:spacing w:val="-4"/>
          <w:sz w:val="20"/>
          <w:szCs w:val="20"/>
        </w:rPr>
        <w:t>日</w:t>
      </w:r>
      <w:r>
        <w:rPr>
          <w:rFonts w:hint="eastAsia" w:asciiTheme="minorEastAsia" w:hAnsiTheme="minorEastAsia"/>
          <w:snapToGrid w:val="0"/>
          <w:color w:val="auto"/>
          <w:spacing w:val="-4"/>
          <w:sz w:val="20"/>
          <w:szCs w:val="20"/>
          <w:lang w:val="en-US" w:eastAsia="zh-CN"/>
        </w:rPr>
        <w:t>0</w:t>
      </w:r>
      <w:r>
        <w:rPr>
          <w:rFonts w:hint="eastAsia" w:asciiTheme="minorEastAsia" w:hAnsiTheme="minorEastAsia"/>
          <w:snapToGrid w:val="0"/>
          <w:color w:val="auto"/>
          <w:spacing w:val="-4"/>
          <w:sz w:val="20"/>
          <w:szCs w:val="20"/>
        </w:rPr>
        <w:t>9时</w:t>
      </w:r>
      <w:r>
        <w:rPr>
          <w:rFonts w:hint="eastAsia" w:asciiTheme="minorEastAsia" w:hAnsiTheme="minorEastAsia"/>
          <w:snapToGrid w:val="0"/>
          <w:color w:val="auto"/>
          <w:spacing w:val="-4"/>
          <w:sz w:val="20"/>
          <w:szCs w:val="20"/>
          <w:lang w:val="en-US" w:eastAsia="zh-CN"/>
        </w:rPr>
        <w:t>30</w:t>
      </w:r>
      <w:r>
        <w:rPr>
          <w:rFonts w:hint="eastAsia" w:asciiTheme="minorEastAsia" w:hAnsiTheme="minorEastAsia"/>
          <w:snapToGrid w:val="0"/>
          <w:color w:val="auto"/>
          <w:spacing w:val="-4"/>
          <w:sz w:val="20"/>
          <w:szCs w:val="20"/>
        </w:rPr>
        <w:t>分。竞包人应在竞包截止</w:t>
      </w:r>
      <w:r>
        <w:rPr>
          <w:rFonts w:hint="eastAsia" w:asciiTheme="minorEastAsia" w:hAnsiTheme="minorEastAsia"/>
          <w:snapToGrid w:val="0"/>
          <w:spacing w:val="-4"/>
          <w:sz w:val="20"/>
          <w:szCs w:val="20"/>
        </w:rPr>
        <w:t>时间之前，登陆湖州市公共资源交易信息网—湖州市限额以下平台--交易主体登录—电子交易平台—上传竞包文件模块，上传“CA加密后的电子竞包文件”。</w:t>
      </w:r>
    </w:p>
    <w:p>
      <w:pPr>
        <w:snapToGrid w:val="0"/>
        <w:spacing w:line="480" w:lineRule="auto"/>
        <w:ind w:firstLine="480" w:firstLineChars="250"/>
        <w:rPr>
          <w:rFonts w:asciiTheme="minorEastAsia" w:hAnsiTheme="minorEastAsia"/>
          <w:snapToGrid w:val="0"/>
          <w:spacing w:val="-4"/>
          <w:sz w:val="20"/>
          <w:szCs w:val="20"/>
        </w:rPr>
      </w:pPr>
      <w:r>
        <w:rPr>
          <w:rFonts w:hint="eastAsia" w:asciiTheme="minorEastAsia" w:hAnsiTheme="minorEastAsia"/>
          <w:snapToGrid w:val="0"/>
          <w:spacing w:val="-4"/>
          <w:sz w:val="20"/>
          <w:szCs w:val="20"/>
        </w:rPr>
        <w:t>5.2逾期上传电子竞包文件的，发包人不予受理。</w:t>
      </w:r>
    </w:p>
    <w:p>
      <w:pPr>
        <w:snapToGrid w:val="0"/>
        <w:spacing w:line="480" w:lineRule="auto"/>
        <w:rPr>
          <w:rFonts w:asciiTheme="minorEastAsia" w:hAnsiTheme="minorEastAsia"/>
          <w:b/>
          <w:snapToGrid w:val="0"/>
          <w:sz w:val="20"/>
          <w:szCs w:val="20"/>
        </w:rPr>
      </w:pPr>
      <w:r>
        <w:rPr>
          <w:rFonts w:hint="eastAsia" w:asciiTheme="minorEastAsia" w:hAnsiTheme="minorEastAsia"/>
          <w:b/>
          <w:snapToGrid w:val="0"/>
          <w:sz w:val="20"/>
          <w:szCs w:val="20"/>
        </w:rPr>
        <w:t>6. 发布公告的媒体</w:t>
      </w:r>
    </w:p>
    <w:p>
      <w:pPr>
        <w:snapToGrid w:val="0"/>
        <w:spacing w:line="480" w:lineRule="auto"/>
        <w:ind w:firstLine="450" w:firstLineChars="225"/>
        <w:rPr>
          <w:rFonts w:asciiTheme="minorEastAsia" w:hAnsiTheme="minorEastAsia"/>
          <w:snapToGrid w:val="0"/>
          <w:sz w:val="20"/>
          <w:szCs w:val="20"/>
        </w:rPr>
      </w:pPr>
      <w:r>
        <w:rPr>
          <w:rFonts w:hint="eastAsia" w:asciiTheme="minorEastAsia" w:hAnsiTheme="minorEastAsia"/>
          <w:snapToGrid w:val="0"/>
          <w:sz w:val="20"/>
          <w:szCs w:val="20"/>
        </w:rPr>
        <w:t>本次发包公告同时在</w:t>
      </w:r>
      <w:r>
        <w:rPr>
          <w:rFonts w:hint="eastAsia" w:ascii="宋体" w:hAnsi="宋体" w:eastAsia="宋体" w:cs="宋体"/>
          <w:b/>
          <w:sz w:val="20"/>
          <w:szCs w:val="20"/>
          <w:vertAlign w:val="baseline"/>
        </w:rPr>
        <w:t>湖州市公共资源交易信息网限额发包平台(http://49.4.53.110/hzfront/)</w:t>
      </w:r>
      <w:r>
        <w:rPr>
          <w:rFonts w:hint="eastAsia" w:asciiTheme="minorEastAsia" w:hAnsiTheme="minorEastAsia"/>
          <w:snapToGrid w:val="0"/>
          <w:sz w:val="20"/>
          <w:szCs w:val="20"/>
        </w:rPr>
        <w:t>和</w:t>
      </w:r>
      <w:r>
        <w:rPr>
          <w:rFonts w:hint="eastAsia" w:asciiTheme="minorEastAsia" w:hAnsiTheme="minorEastAsia"/>
          <w:b/>
          <w:bCs/>
          <w:snapToGrid w:val="0"/>
          <w:sz w:val="20"/>
          <w:szCs w:val="20"/>
        </w:rPr>
        <w:t>吴兴区公共资源交易中心</w:t>
      </w:r>
      <w:r>
        <w:rPr>
          <w:rFonts w:hint="eastAsia" w:asciiTheme="minorEastAsia" w:hAnsiTheme="minorEastAsia"/>
          <w:b/>
          <w:bCs/>
          <w:snapToGrid w:val="0"/>
          <w:sz w:val="20"/>
          <w:szCs w:val="20"/>
          <w:lang w:eastAsia="zh-CN"/>
        </w:rPr>
        <w:t>高新区分中心</w:t>
      </w:r>
      <w:r>
        <w:rPr>
          <w:rFonts w:hint="eastAsia" w:asciiTheme="minorEastAsia" w:hAnsiTheme="minorEastAsia"/>
          <w:b/>
          <w:bCs/>
          <w:snapToGrid w:val="0"/>
          <w:sz w:val="20"/>
          <w:szCs w:val="20"/>
        </w:rPr>
        <w:t>网站（http://ggzy.wuxing.gov.cn/zlz/index.php）</w:t>
      </w:r>
      <w:r>
        <w:rPr>
          <w:rFonts w:hint="eastAsia" w:asciiTheme="minorEastAsia" w:hAnsiTheme="minorEastAsia"/>
          <w:snapToGrid w:val="0"/>
          <w:sz w:val="20"/>
          <w:szCs w:val="20"/>
        </w:rPr>
        <w:t>上发布。</w:t>
      </w:r>
    </w:p>
    <w:p>
      <w:pPr>
        <w:pStyle w:val="4"/>
        <w:tabs>
          <w:tab w:val="left" w:pos="4830"/>
        </w:tabs>
        <w:snapToGrid w:val="0"/>
        <w:spacing w:line="480" w:lineRule="auto"/>
        <w:ind w:firstLine="0"/>
        <w:jc w:val="left"/>
        <w:rPr>
          <w:rFonts w:asciiTheme="minorEastAsia" w:hAnsiTheme="minorEastAsia" w:eastAsiaTheme="minorEastAsia"/>
          <w:snapToGrid w:val="0"/>
          <w:sz w:val="20"/>
          <w:szCs w:val="20"/>
        </w:rPr>
      </w:pPr>
      <w:r>
        <w:rPr>
          <w:rFonts w:hint="eastAsia" w:cs="宋体" w:asciiTheme="minorEastAsia" w:hAnsiTheme="minorEastAsia" w:eastAsiaTheme="minorEastAsia"/>
          <w:b/>
          <w:bCs/>
          <w:snapToGrid w:val="0"/>
          <w:sz w:val="20"/>
          <w:szCs w:val="20"/>
        </w:rPr>
        <w:t>7．联系方式</w:t>
      </w:r>
    </w:p>
    <w:p>
      <w:pPr>
        <w:pStyle w:val="4"/>
        <w:tabs>
          <w:tab w:val="left" w:pos="4830"/>
        </w:tabs>
        <w:snapToGrid w:val="0"/>
        <w:spacing w:line="480" w:lineRule="auto"/>
        <w:ind w:firstLine="400" w:firstLineChars="200"/>
        <w:jc w:val="left"/>
        <w:rPr>
          <w:rFonts w:hint="eastAsia" w:cs="宋体" w:asciiTheme="minorEastAsia" w:hAnsiTheme="minorEastAsia" w:eastAsiaTheme="minorEastAsia"/>
          <w:snapToGrid w:val="0"/>
          <w:sz w:val="20"/>
          <w:szCs w:val="20"/>
          <w:lang w:eastAsia="zh-CN"/>
        </w:rPr>
      </w:pPr>
      <w:r>
        <w:rPr>
          <w:rFonts w:hint="eastAsia" w:cs="宋体" w:asciiTheme="minorEastAsia" w:hAnsiTheme="minorEastAsia" w:eastAsiaTheme="minorEastAsia"/>
          <w:snapToGrid w:val="0"/>
          <w:sz w:val="20"/>
          <w:szCs w:val="20"/>
        </w:rPr>
        <w:t>发包人：</w:t>
      </w:r>
      <w:r>
        <w:rPr>
          <w:rFonts w:hint="eastAsia" w:cs="宋体" w:asciiTheme="minorEastAsia" w:hAnsiTheme="minorEastAsia" w:eastAsiaTheme="minorEastAsia"/>
          <w:snapToGrid w:val="0"/>
          <w:sz w:val="20"/>
          <w:szCs w:val="20"/>
          <w:lang w:eastAsia="zh-CN"/>
        </w:rPr>
        <w:t>湖州南太湖现代农业综合区开发有限公司</w:t>
      </w:r>
    </w:p>
    <w:p>
      <w:pPr>
        <w:pStyle w:val="4"/>
        <w:tabs>
          <w:tab w:val="left" w:pos="4830"/>
        </w:tabs>
        <w:snapToGrid w:val="0"/>
        <w:spacing w:line="480" w:lineRule="auto"/>
        <w:ind w:firstLine="400" w:firstLineChars="200"/>
        <w:jc w:val="left"/>
        <w:rPr>
          <w:rFonts w:cs="宋体" w:asciiTheme="minorEastAsia" w:hAnsiTheme="minorEastAsia" w:eastAsiaTheme="minorEastAsia"/>
          <w:snapToGrid w:val="0"/>
          <w:sz w:val="20"/>
          <w:szCs w:val="20"/>
        </w:rPr>
      </w:pPr>
      <w:r>
        <w:rPr>
          <w:rFonts w:hint="eastAsia" w:cs="宋体" w:asciiTheme="minorEastAsia" w:hAnsiTheme="minorEastAsia" w:eastAsiaTheme="minorEastAsia"/>
          <w:snapToGrid w:val="0"/>
          <w:sz w:val="20"/>
          <w:szCs w:val="20"/>
        </w:rPr>
        <w:t>地  址：</w:t>
      </w:r>
      <w:r>
        <w:rPr>
          <w:rFonts w:hint="eastAsia" w:cs="宋体" w:asciiTheme="minorEastAsia" w:hAnsiTheme="minorEastAsia" w:eastAsiaTheme="minorEastAsia"/>
          <w:bCs/>
          <w:snapToGrid w:val="0"/>
          <w:sz w:val="20"/>
          <w:szCs w:val="20"/>
          <w:lang w:eastAsia="zh-CN"/>
        </w:rPr>
        <w:t>湖州市南太湖高新区工业路1号</w:t>
      </w:r>
      <w:r>
        <w:rPr>
          <w:rFonts w:cs="宋体" w:asciiTheme="minorEastAsia" w:hAnsiTheme="minorEastAsia" w:eastAsiaTheme="minorEastAsia"/>
          <w:bCs/>
          <w:snapToGrid w:val="0"/>
          <w:sz w:val="20"/>
          <w:szCs w:val="20"/>
        </w:rPr>
        <w:t> </w:t>
      </w:r>
    </w:p>
    <w:p>
      <w:pPr>
        <w:pStyle w:val="4"/>
        <w:tabs>
          <w:tab w:val="left" w:pos="4830"/>
        </w:tabs>
        <w:snapToGrid w:val="0"/>
        <w:spacing w:line="480" w:lineRule="auto"/>
        <w:ind w:firstLine="400" w:firstLineChars="200"/>
        <w:jc w:val="left"/>
        <w:rPr>
          <w:rFonts w:cs="宋体" w:asciiTheme="minorEastAsia" w:hAnsiTheme="minorEastAsia" w:eastAsiaTheme="minorEastAsia"/>
          <w:snapToGrid w:val="0"/>
          <w:sz w:val="20"/>
          <w:szCs w:val="20"/>
        </w:rPr>
      </w:pPr>
      <w:r>
        <w:rPr>
          <w:rFonts w:hint="eastAsia" w:cs="宋体" w:asciiTheme="minorEastAsia" w:hAnsiTheme="minorEastAsia" w:eastAsiaTheme="minorEastAsia"/>
          <w:snapToGrid w:val="0"/>
          <w:sz w:val="20"/>
          <w:szCs w:val="20"/>
        </w:rPr>
        <w:t>邮  编：313000</w:t>
      </w:r>
    </w:p>
    <w:p>
      <w:pPr>
        <w:pStyle w:val="4"/>
        <w:tabs>
          <w:tab w:val="left" w:pos="4830"/>
        </w:tabs>
        <w:snapToGrid w:val="0"/>
        <w:spacing w:line="480" w:lineRule="auto"/>
        <w:ind w:firstLine="400" w:firstLineChars="200"/>
        <w:jc w:val="left"/>
        <w:rPr>
          <w:rFonts w:hint="eastAsia" w:cs="宋体" w:asciiTheme="minorEastAsia" w:hAnsiTheme="minorEastAsia" w:eastAsiaTheme="minorEastAsia"/>
          <w:snapToGrid w:val="0"/>
          <w:sz w:val="20"/>
          <w:szCs w:val="20"/>
          <w:lang w:eastAsia="zh-CN"/>
        </w:rPr>
      </w:pPr>
      <w:r>
        <w:rPr>
          <w:rFonts w:hint="eastAsia" w:cs="宋体" w:asciiTheme="minorEastAsia" w:hAnsiTheme="minorEastAsia" w:eastAsiaTheme="minorEastAsia"/>
          <w:snapToGrid w:val="0"/>
          <w:sz w:val="20"/>
          <w:szCs w:val="20"/>
        </w:rPr>
        <w:t>联系人：</w:t>
      </w:r>
      <w:r>
        <w:rPr>
          <w:rFonts w:hint="eastAsia" w:cs="宋体" w:asciiTheme="minorEastAsia" w:hAnsiTheme="minorEastAsia" w:eastAsiaTheme="minorEastAsia"/>
          <w:snapToGrid w:val="0"/>
          <w:sz w:val="20"/>
          <w:szCs w:val="20"/>
          <w:lang w:eastAsia="zh-CN"/>
        </w:rPr>
        <w:t>刘传伟</w:t>
      </w:r>
    </w:p>
    <w:p>
      <w:pPr>
        <w:pStyle w:val="4"/>
        <w:tabs>
          <w:tab w:val="left" w:pos="4830"/>
        </w:tabs>
        <w:snapToGrid w:val="0"/>
        <w:spacing w:line="480" w:lineRule="auto"/>
        <w:ind w:firstLine="400" w:firstLineChars="200"/>
        <w:jc w:val="left"/>
        <w:rPr>
          <w:rFonts w:hint="eastAsia" w:cs="宋体" w:asciiTheme="minorEastAsia" w:hAnsiTheme="minorEastAsia" w:eastAsiaTheme="minorEastAsia"/>
          <w:snapToGrid w:val="0"/>
          <w:sz w:val="20"/>
          <w:szCs w:val="20"/>
          <w:lang w:eastAsia="zh-CN"/>
        </w:rPr>
      </w:pPr>
      <w:r>
        <w:rPr>
          <w:rFonts w:hint="eastAsia" w:cs="宋体" w:asciiTheme="minorEastAsia" w:hAnsiTheme="minorEastAsia" w:eastAsiaTheme="minorEastAsia"/>
          <w:snapToGrid w:val="0"/>
          <w:sz w:val="20"/>
          <w:szCs w:val="20"/>
        </w:rPr>
        <w:t>电  话：</w:t>
      </w:r>
      <w:r>
        <w:rPr>
          <w:rFonts w:hint="eastAsia" w:cs="宋体" w:asciiTheme="minorEastAsia" w:hAnsiTheme="minorEastAsia" w:eastAsiaTheme="minorEastAsia"/>
          <w:snapToGrid w:val="0"/>
          <w:sz w:val="20"/>
          <w:szCs w:val="20"/>
          <w:lang w:val="en-US" w:eastAsia="zh-CN"/>
        </w:rPr>
        <w:t>13665751278</w:t>
      </w:r>
      <w:r>
        <w:rPr>
          <w:rFonts w:hint="eastAsia" w:cs="宋体" w:asciiTheme="minorEastAsia" w:hAnsiTheme="minorEastAsia" w:eastAsiaTheme="minorEastAsia"/>
          <w:snapToGrid w:val="0"/>
          <w:sz w:val="20"/>
          <w:szCs w:val="20"/>
          <w:lang w:eastAsia="zh-CN"/>
        </w:rPr>
        <w:t xml:space="preserve"> </w:t>
      </w:r>
    </w:p>
    <w:p>
      <w:pPr>
        <w:pStyle w:val="4"/>
        <w:tabs>
          <w:tab w:val="left" w:pos="4830"/>
        </w:tabs>
        <w:snapToGrid w:val="0"/>
        <w:spacing w:line="480" w:lineRule="auto"/>
        <w:ind w:firstLine="400" w:firstLineChars="200"/>
        <w:jc w:val="left"/>
        <w:rPr>
          <w:rFonts w:hint="eastAsia" w:cs="宋体" w:asciiTheme="minorEastAsia" w:hAnsiTheme="minorEastAsia" w:eastAsiaTheme="minorEastAsia"/>
          <w:snapToGrid w:val="0"/>
          <w:sz w:val="20"/>
          <w:szCs w:val="20"/>
          <w:lang w:eastAsia="zh-CN"/>
        </w:rPr>
      </w:pPr>
      <w:r>
        <w:rPr>
          <w:rFonts w:hint="eastAsia" w:cs="宋体" w:asciiTheme="minorEastAsia" w:hAnsiTheme="minorEastAsia" w:eastAsiaTheme="minorEastAsia"/>
          <w:snapToGrid w:val="0"/>
          <w:sz w:val="20"/>
          <w:szCs w:val="20"/>
        </w:rPr>
        <w:t>代理机构：</w:t>
      </w:r>
      <w:r>
        <w:rPr>
          <w:rFonts w:hint="eastAsia" w:cs="宋体" w:asciiTheme="minorEastAsia" w:hAnsiTheme="minorEastAsia" w:eastAsiaTheme="minorEastAsia"/>
          <w:snapToGrid w:val="0"/>
          <w:sz w:val="20"/>
          <w:szCs w:val="20"/>
          <w:lang w:eastAsia="zh-CN"/>
        </w:rPr>
        <w:t>湖州星兴工程咨询有限公司</w:t>
      </w:r>
    </w:p>
    <w:p>
      <w:pPr>
        <w:pStyle w:val="4"/>
        <w:tabs>
          <w:tab w:val="left" w:pos="4830"/>
        </w:tabs>
        <w:snapToGrid w:val="0"/>
        <w:spacing w:line="480" w:lineRule="auto"/>
        <w:ind w:firstLine="400" w:firstLineChars="200"/>
        <w:jc w:val="left"/>
        <w:rPr>
          <w:rFonts w:hint="eastAsia" w:cs="宋体" w:asciiTheme="minorEastAsia" w:hAnsiTheme="minorEastAsia" w:eastAsiaTheme="minorEastAsia"/>
          <w:snapToGrid w:val="0"/>
          <w:sz w:val="20"/>
          <w:szCs w:val="20"/>
          <w:lang w:eastAsia="zh-CN"/>
        </w:rPr>
      </w:pPr>
      <w:r>
        <w:rPr>
          <w:rFonts w:hint="eastAsia" w:cs="宋体" w:asciiTheme="minorEastAsia" w:hAnsiTheme="minorEastAsia" w:eastAsiaTheme="minorEastAsia"/>
          <w:snapToGrid w:val="0"/>
          <w:sz w:val="20"/>
          <w:szCs w:val="20"/>
        </w:rPr>
        <w:t>地    址：</w:t>
      </w:r>
      <w:r>
        <w:rPr>
          <w:rFonts w:hint="eastAsia" w:cs="宋体" w:asciiTheme="minorEastAsia" w:hAnsiTheme="minorEastAsia" w:eastAsiaTheme="minorEastAsia"/>
          <w:snapToGrid w:val="0"/>
          <w:sz w:val="20"/>
          <w:szCs w:val="20"/>
          <w:lang w:eastAsia="zh-CN"/>
        </w:rPr>
        <w:t>湖州市赵湾仁皇佳苑108-2幢</w:t>
      </w:r>
    </w:p>
    <w:p>
      <w:pPr>
        <w:pStyle w:val="4"/>
        <w:tabs>
          <w:tab w:val="left" w:pos="4830"/>
        </w:tabs>
        <w:snapToGrid w:val="0"/>
        <w:spacing w:line="480" w:lineRule="auto"/>
        <w:ind w:firstLine="400" w:firstLineChars="200"/>
        <w:jc w:val="left"/>
        <w:rPr>
          <w:rFonts w:hint="eastAsia" w:cs="宋体" w:asciiTheme="minorEastAsia" w:hAnsiTheme="minorEastAsia" w:eastAsiaTheme="minorEastAsia"/>
          <w:snapToGrid w:val="0"/>
          <w:sz w:val="20"/>
          <w:szCs w:val="20"/>
          <w:lang w:eastAsia="zh-CN"/>
        </w:rPr>
      </w:pPr>
      <w:r>
        <w:rPr>
          <w:rFonts w:hint="eastAsia" w:cs="宋体" w:asciiTheme="minorEastAsia" w:hAnsiTheme="minorEastAsia" w:eastAsiaTheme="minorEastAsia"/>
          <w:snapToGrid w:val="0"/>
          <w:sz w:val="20"/>
          <w:szCs w:val="20"/>
        </w:rPr>
        <w:t>联 系 人：</w:t>
      </w:r>
      <w:r>
        <w:rPr>
          <w:rFonts w:hint="eastAsia" w:cs="宋体" w:asciiTheme="minorEastAsia" w:hAnsiTheme="minorEastAsia" w:eastAsiaTheme="minorEastAsia"/>
          <w:snapToGrid w:val="0"/>
          <w:sz w:val="20"/>
          <w:szCs w:val="20"/>
          <w:lang w:eastAsia="zh-CN"/>
        </w:rPr>
        <w:t>吕辉、张小冬</w:t>
      </w:r>
    </w:p>
    <w:p>
      <w:pPr>
        <w:pStyle w:val="4"/>
        <w:tabs>
          <w:tab w:val="left" w:pos="4830"/>
        </w:tabs>
        <w:snapToGrid w:val="0"/>
        <w:spacing w:line="480" w:lineRule="auto"/>
        <w:ind w:firstLine="400" w:firstLineChars="200"/>
        <w:jc w:val="left"/>
        <w:rPr>
          <w:rFonts w:cs="宋体" w:asciiTheme="minorEastAsia" w:hAnsiTheme="minorEastAsia" w:eastAsiaTheme="minorEastAsia"/>
          <w:snapToGrid w:val="0"/>
          <w:sz w:val="20"/>
          <w:szCs w:val="20"/>
        </w:rPr>
      </w:pPr>
      <w:r>
        <w:rPr>
          <w:rFonts w:hint="eastAsia" w:cs="宋体" w:asciiTheme="minorEastAsia" w:hAnsiTheme="minorEastAsia" w:eastAsiaTheme="minorEastAsia"/>
          <w:snapToGrid w:val="0"/>
          <w:sz w:val="20"/>
          <w:szCs w:val="20"/>
        </w:rPr>
        <w:t>邮    编：313000</w:t>
      </w:r>
    </w:p>
    <w:p>
      <w:pPr>
        <w:pStyle w:val="4"/>
        <w:tabs>
          <w:tab w:val="left" w:pos="4830"/>
        </w:tabs>
        <w:snapToGrid w:val="0"/>
        <w:spacing w:line="480" w:lineRule="auto"/>
        <w:ind w:firstLine="400" w:firstLineChars="200"/>
        <w:jc w:val="left"/>
        <w:rPr>
          <w:rFonts w:hint="eastAsia" w:cs="宋体" w:asciiTheme="minorEastAsia" w:hAnsiTheme="minorEastAsia" w:eastAsiaTheme="minorEastAsia"/>
          <w:snapToGrid w:val="0"/>
          <w:sz w:val="20"/>
          <w:szCs w:val="20"/>
          <w:lang w:eastAsia="zh-CN"/>
        </w:rPr>
      </w:pPr>
      <w:r>
        <w:rPr>
          <w:rFonts w:hint="eastAsia" w:cs="宋体" w:asciiTheme="minorEastAsia" w:hAnsiTheme="minorEastAsia" w:eastAsiaTheme="minorEastAsia"/>
          <w:snapToGrid w:val="0"/>
          <w:sz w:val="20"/>
          <w:szCs w:val="20"/>
        </w:rPr>
        <w:t>电    话：</w:t>
      </w:r>
      <w:r>
        <w:rPr>
          <w:rFonts w:hint="eastAsia" w:cs="宋体" w:asciiTheme="minorEastAsia" w:hAnsiTheme="minorEastAsia" w:eastAsiaTheme="minorEastAsia"/>
          <w:snapToGrid w:val="0"/>
          <w:sz w:val="20"/>
          <w:szCs w:val="20"/>
          <w:lang w:eastAsia="zh-CN"/>
        </w:rPr>
        <w:t>0572-2630018</w:t>
      </w:r>
    </w:p>
    <w:p>
      <w:pPr>
        <w:pStyle w:val="4"/>
        <w:tabs>
          <w:tab w:val="left" w:pos="4830"/>
        </w:tabs>
        <w:snapToGrid w:val="0"/>
        <w:spacing w:line="480" w:lineRule="auto"/>
        <w:ind w:firstLine="400" w:firstLineChars="200"/>
        <w:jc w:val="left"/>
        <w:rPr>
          <w:rFonts w:cs="宋体" w:asciiTheme="minorEastAsia" w:hAnsiTheme="minorEastAsia" w:eastAsiaTheme="minorEastAsia"/>
          <w:snapToGrid w:val="0"/>
          <w:sz w:val="20"/>
          <w:szCs w:val="20"/>
        </w:rPr>
      </w:pPr>
      <w:r>
        <w:rPr>
          <w:rFonts w:hint="eastAsia" w:cs="宋体" w:asciiTheme="minorEastAsia" w:hAnsiTheme="minorEastAsia" w:eastAsiaTheme="minorEastAsia"/>
          <w:snapToGrid w:val="0"/>
          <w:sz w:val="20"/>
          <w:szCs w:val="20"/>
        </w:rPr>
        <w:t>发包监督小组：</w:t>
      </w:r>
      <w:r>
        <w:rPr>
          <w:rFonts w:hint="eastAsia" w:cs="宋体" w:asciiTheme="minorEastAsia" w:hAnsiTheme="minorEastAsia" w:eastAsiaTheme="minorEastAsia"/>
          <w:snapToGrid w:val="0"/>
          <w:sz w:val="20"/>
          <w:szCs w:val="20"/>
          <w:lang w:eastAsia="zh-CN"/>
        </w:rPr>
        <w:t>湖州南太湖现代农业综合区开发有限公司</w:t>
      </w:r>
      <w:r>
        <w:rPr>
          <w:rFonts w:hint="eastAsia" w:cs="宋体" w:asciiTheme="minorEastAsia" w:hAnsiTheme="minorEastAsia" w:eastAsiaTheme="minorEastAsia"/>
          <w:snapToGrid w:val="0"/>
          <w:sz w:val="20"/>
          <w:szCs w:val="20"/>
        </w:rPr>
        <w:t>发包监督小组</w:t>
      </w:r>
    </w:p>
    <w:p>
      <w:pPr>
        <w:pStyle w:val="4"/>
        <w:tabs>
          <w:tab w:val="left" w:pos="4830"/>
        </w:tabs>
        <w:snapToGrid w:val="0"/>
        <w:spacing w:line="480" w:lineRule="auto"/>
        <w:ind w:firstLine="400" w:firstLineChars="200"/>
        <w:jc w:val="left"/>
        <w:rPr>
          <w:rFonts w:hint="eastAsia" w:cs="宋体" w:asciiTheme="minorEastAsia" w:hAnsiTheme="minorEastAsia" w:eastAsiaTheme="minorEastAsia"/>
          <w:snapToGrid w:val="0"/>
          <w:sz w:val="20"/>
          <w:szCs w:val="20"/>
          <w:lang w:eastAsia="zh-CN"/>
        </w:rPr>
      </w:pPr>
      <w:r>
        <w:rPr>
          <w:rFonts w:hint="eastAsia" w:cs="宋体" w:asciiTheme="minorEastAsia" w:hAnsiTheme="minorEastAsia" w:eastAsiaTheme="minorEastAsia"/>
          <w:snapToGrid w:val="0"/>
          <w:sz w:val="20"/>
          <w:szCs w:val="20"/>
        </w:rPr>
        <w:t>地址：</w:t>
      </w:r>
      <w:r>
        <w:rPr>
          <w:rFonts w:hint="eastAsia" w:cs="宋体" w:asciiTheme="minorEastAsia" w:hAnsiTheme="minorEastAsia" w:eastAsiaTheme="minorEastAsia"/>
          <w:bCs/>
          <w:snapToGrid w:val="0"/>
          <w:sz w:val="20"/>
          <w:szCs w:val="20"/>
          <w:lang w:eastAsia="zh-CN"/>
        </w:rPr>
        <w:t>湖州市南太湖高新区工业路1号</w:t>
      </w:r>
    </w:p>
    <w:p>
      <w:pPr>
        <w:pStyle w:val="4"/>
        <w:tabs>
          <w:tab w:val="left" w:pos="4830"/>
        </w:tabs>
        <w:snapToGrid w:val="0"/>
        <w:spacing w:line="480" w:lineRule="auto"/>
        <w:ind w:firstLine="400" w:firstLineChars="200"/>
        <w:jc w:val="left"/>
        <w:rPr>
          <w:rFonts w:hint="eastAsia" w:cs="宋体" w:asciiTheme="minorEastAsia" w:hAnsiTheme="minorEastAsia" w:eastAsiaTheme="minorEastAsia"/>
          <w:snapToGrid w:val="0"/>
          <w:sz w:val="20"/>
          <w:szCs w:val="20"/>
          <w:lang w:val="en-US" w:eastAsia="zh-CN"/>
        </w:rPr>
      </w:pPr>
      <w:r>
        <w:rPr>
          <w:rFonts w:hint="eastAsia" w:cs="宋体" w:asciiTheme="minorEastAsia" w:hAnsiTheme="minorEastAsia" w:eastAsiaTheme="minorEastAsia"/>
          <w:snapToGrid w:val="0"/>
          <w:sz w:val="20"/>
          <w:szCs w:val="20"/>
        </w:rPr>
        <w:t>联系人：</w:t>
      </w:r>
      <w:r>
        <w:rPr>
          <w:rFonts w:hint="eastAsia" w:cs="宋体" w:asciiTheme="minorEastAsia" w:hAnsiTheme="minorEastAsia" w:eastAsiaTheme="minorEastAsia"/>
          <w:snapToGrid w:val="0"/>
          <w:sz w:val="20"/>
          <w:szCs w:val="20"/>
          <w:lang w:eastAsia="zh-CN"/>
        </w:rPr>
        <w:t>丁旭丹</w:t>
      </w:r>
    </w:p>
    <w:p>
      <w:pPr>
        <w:pStyle w:val="4"/>
        <w:tabs>
          <w:tab w:val="left" w:pos="4830"/>
        </w:tabs>
        <w:snapToGrid w:val="0"/>
        <w:spacing w:line="480" w:lineRule="auto"/>
        <w:ind w:firstLine="400" w:firstLineChars="200"/>
        <w:jc w:val="left"/>
        <w:rPr>
          <w:rFonts w:hint="eastAsia" w:cs="宋体" w:asciiTheme="minorEastAsia" w:hAnsiTheme="minorEastAsia" w:eastAsiaTheme="minorEastAsia"/>
          <w:snapToGrid w:val="0"/>
          <w:sz w:val="20"/>
          <w:szCs w:val="20"/>
          <w:lang w:eastAsia="zh-CN"/>
        </w:rPr>
      </w:pPr>
      <w:r>
        <w:rPr>
          <w:rFonts w:hint="eastAsia" w:cs="宋体" w:asciiTheme="minorEastAsia" w:hAnsiTheme="minorEastAsia" w:eastAsiaTheme="minorEastAsia"/>
          <w:snapToGrid w:val="0"/>
          <w:sz w:val="20"/>
          <w:szCs w:val="20"/>
        </w:rPr>
        <w:t>电话：</w:t>
      </w:r>
      <w:r>
        <w:rPr>
          <w:rFonts w:hint="eastAsia" w:cs="宋体" w:asciiTheme="minorEastAsia" w:hAnsiTheme="minorEastAsia" w:eastAsiaTheme="minorEastAsia"/>
          <w:snapToGrid w:val="0"/>
          <w:sz w:val="20"/>
          <w:szCs w:val="20"/>
          <w:lang w:eastAsia="zh-CN"/>
        </w:rPr>
        <w:t>0572-2592670</w:t>
      </w:r>
    </w:p>
    <w:p>
      <w:pPr>
        <w:snapToGrid w:val="0"/>
        <w:spacing w:line="480" w:lineRule="auto"/>
        <w:rPr>
          <w:rFonts w:asciiTheme="minorEastAsia" w:hAnsiTheme="minorEastAsia"/>
          <w:b/>
          <w:snapToGrid w:val="0"/>
          <w:sz w:val="20"/>
          <w:szCs w:val="20"/>
        </w:rPr>
      </w:pPr>
      <w:r>
        <w:rPr>
          <w:rFonts w:hint="eastAsia" w:asciiTheme="minorEastAsia" w:hAnsiTheme="minorEastAsia"/>
          <w:b/>
          <w:snapToGrid w:val="0"/>
          <w:sz w:val="20"/>
          <w:szCs w:val="20"/>
        </w:rPr>
        <w:t>8. 软件技术支持</w:t>
      </w:r>
    </w:p>
    <w:p>
      <w:pPr>
        <w:pStyle w:val="4"/>
        <w:tabs>
          <w:tab w:val="left" w:pos="4830"/>
        </w:tabs>
        <w:snapToGrid w:val="0"/>
        <w:spacing w:line="480" w:lineRule="auto"/>
        <w:ind w:firstLine="400" w:firstLineChars="200"/>
        <w:jc w:val="left"/>
        <w:rPr>
          <w:rFonts w:cs="宋体" w:asciiTheme="minorEastAsia" w:hAnsiTheme="minorEastAsia" w:eastAsiaTheme="minorEastAsia"/>
          <w:snapToGrid w:val="0"/>
          <w:sz w:val="20"/>
          <w:szCs w:val="20"/>
        </w:rPr>
      </w:pPr>
      <w:r>
        <w:rPr>
          <w:rFonts w:hint="eastAsia" w:cs="宋体" w:asciiTheme="minorEastAsia" w:hAnsiTheme="minorEastAsia" w:eastAsiaTheme="minorEastAsia"/>
          <w:snapToGrid w:val="0"/>
          <w:sz w:val="20"/>
          <w:szCs w:val="20"/>
        </w:rPr>
        <w:t>电 话：0572-2220028</w:t>
      </w:r>
    </w:p>
    <w:p>
      <w:pPr>
        <w:pStyle w:val="4"/>
        <w:tabs>
          <w:tab w:val="left" w:pos="4830"/>
        </w:tabs>
        <w:snapToGrid w:val="0"/>
        <w:spacing w:line="480" w:lineRule="auto"/>
        <w:ind w:firstLine="400" w:firstLineChars="200"/>
        <w:jc w:val="left"/>
        <w:rPr>
          <w:rFonts w:hint="eastAsia" w:cs="宋体" w:asciiTheme="minorEastAsia" w:hAnsiTheme="minorEastAsia" w:eastAsiaTheme="minorEastAsia"/>
          <w:snapToGrid w:val="0"/>
          <w:sz w:val="20"/>
          <w:szCs w:val="20"/>
          <w:lang w:val="en-US" w:eastAsia="zh-CN"/>
        </w:rPr>
      </w:pPr>
      <w:r>
        <w:rPr>
          <w:rFonts w:hint="eastAsia" w:cs="宋体" w:asciiTheme="minorEastAsia" w:hAnsiTheme="minorEastAsia" w:eastAsiaTheme="minorEastAsia"/>
          <w:snapToGrid w:val="0"/>
          <w:sz w:val="20"/>
          <w:szCs w:val="20"/>
          <w:lang w:val="en-US" w:eastAsia="zh-CN"/>
        </w:rPr>
        <w:t>联系人：国泰新点客服    电  话：4009980000</w:t>
      </w:r>
    </w:p>
    <w:p>
      <w:pPr>
        <w:pStyle w:val="4"/>
        <w:tabs>
          <w:tab w:val="left" w:pos="4830"/>
        </w:tabs>
        <w:snapToGrid w:val="0"/>
        <w:spacing w:line="480" w:lineRule="auto"/>
        <w:ind w:firstLine="400" w:firstLineChars="200"/>
        <w:jc w:val="left"/>
        <w:rPr>
          <w:rFonts w:hint="default" w:cs="宋体" w:asciiTheme="minorEastAsia" w:hAnsiTheme="minorEastAsia" w:eastAsiaTheme="minorEastAsia"/>
          <w:snapToGrid w:val="0"/>
          <w:sz w:val="20"/>
          <w:szCs w:val="20"/>
          <w:lang w:val="en-US" w:eastAsia="zh-CN"/>
        </w:rPr>
      </w:pPr>
      <w:r>
        <w:rPr>
          <w:rFonts w:hint="eastAsia" w:cs="宋体" w:asciiTheme="minorEastAsia" w:hAnsiTheme="minorEastAsia" w:eastAsiaTheme="minorEastAsia"/>
          <w:snapToGrid w:val="0"/>
          <w:sz w:val="20"/>
          <w:szCs w:val="20"/>
          <w:lang w:val="en-US" w:eastAsia="zh-CN"/>
        </w:rPr>
        <w:t>联系人：徐振峰（国泰） 电 话：18605722351</w:t>
      </w:r>
    </w:p>
    <w:p>
      <w:pPr>
        <w:pStyle w:val="22"/>
        <w:adjustRightInd w:val="0"/>
        <w:snapToGrid w:val="0"/>
        <w:spacing w:beforeAutospacing="0" w:afterAutospacing="0" w:line="480" w:lineRule="auto"/>
        <w:ind w:firstLine="400" w:firstLineChars="200"/>
        <w:jc w:val="both"/>
        <w:rPr>
          <w:rFonts w:hint="eastAsia" w:ascii="宋体" w:hAnsi="宋体" w:eastAsia="宋体" w:cs="宋体"/>
          <w:bCs/>
          <w:sz w:val="20"/>
          <w:szCs w:val="20"/>
        </w:rPr>
      </w:pPr>
      <w:r>
        <w:rPr>
          <w:rFonts w:hint="eastAsia" w:ascii="宋体" w:hAnsi="宋体" w:eastAsia="宋体" w:cs="宋体"/>
          <w:b/>
          <w:bCs/>
          <w:sz w:val="20"/>
          <w:szCs w:val="20"/>
        </w:rPr>
        <w:t>远程不见面开标：</w:t>
      </w:r>
      <w:r>
        <w:rPr>
          <w:rFonts w:hint="eastAsia" w:ascii="宋体" w:hAnsi="宋体" w:eastAsia="宋体" w:cs="宋体"/>
          <w:bCs/>
          <w:sz w:val="20"/>
          <w:szCs w:val="20"/>
        </w:rPr>
        <w:t>是指将传统的开标场所搬到网上，发包人、竞包人只需登录网上不见面开标大厅，无需到竞包会议现场参与即可进行竞包文件在线解密、竞包人在线质疑、发包人在线回复等操作。</w:t>
      </w:r>
    </w:p>
    <w:p>
      <w:pPr>
        <w:pStyle w:val="4"/>
        <w:tabs>
          <w:tab w:val="left" w:pos="4830"/>
        </w:tabs>
        <w:snapToGrid w:val="0"/>
        <w:spacing w:line="480" w:lineRule="auto"/>
        <w:ind w:firstLine="0"/>
        <w:jc w:val="left"/>
        <w:rPr>
          <w:rFonts w:cs="宋体" w:asciiTheme="minorEastAsia" w:hAnsiTheme="minorEastAsia" w:eastAsiaTheme="minorEastAsia"/>
          <w:snapToGrid w:val="0"/>
          <w:sz w:val="20"/>
          <w:szCs w:val="20"/>
        </w:rPr>
      </w:pPr>
    </w:p>
    <w:p>
      <w:pPr>
        <w:pStyle w:val="4"/>
        <w:tabs>
          <w:tab w:val="left" w:pos="4830"/>
        </w:tabs>
        <w:snapToGrid w:val="0"/>
        <w:spacing w:line="480" w:lineRule="auto"/>
        <w:ind w:firstLine="0"/>
        <w:jc w:val="left"/>
        <w:rPr>
          <w:rFonts w:cs="宋体" w:asciiTheme="minorEastAsia" w:hAnsiTheme="minorEastAsia" w:eastAsiaTheme="minorEastAsia"/>
          <w:snapToGrid w:val="0"/>
          <w:sz w:val="20"/>
          <w:szCs w:val="20"/>
        </w:rPr>
      </w:pPr>
    </w:p>
    <w:p>
      <w:pPr>
        <w:pStyle w:val="4"/>
        <w:tabs>
          <w:tab w:val="left" w:pos="4830"/>
        </w:tabs>
        <w:snapToGrid w:val="0"/>
        <w:spacing w:line="480" w:lineRule="auto"/>
        <w:ind w:firstLine="0"/>
        <w:jc w:val="left"/>
        <w:rPr>
          <w:rFonts w:cs="宋体" w:asciiTheme="minorEastAsia" w:hAnsiTheme="minorEastAsia" w:eastAsiaTheme="minorEastAsia"/>
          <w:snapToGrid w:val="0"/>
          <w:sz w:val="20"/>
          <w:szCs w:val="20"/>
        </w:rPr>
      </w:pPr>
    </w:p>
    <w:p>
      <w:pPr>
        <w:pStyle w:val="4"/>
        <w:tabs>
          <w:tab w:val="left" w:pos="4830"/>
        </w:tabs>
        <w:snapToGrid w:val="0"/>
        <w:spacing w:line="480" w:lineRule="auto"/>
        <w:ind w:firstLine="0"/>
        <w:jc w:val="left"/>
        <w:rPr>
          <w:rFonts w:cs="宋体" w:asciiTheme="minorEastAsia" w:hAnsiTheme="minorEastAsia" w:eastAsiaTheme="minorEastAsia"/>
          <w:snapToGrid w:val="0"/>
          <w:sz w:val="20"/>
          <w:szCs w:val="20"/>
        </w:rPr>
      </w:pPr>
    </w:p>
    <w:p>
      <w:pPr>
        <w:pStyle w:val="4"/>
        <w:tabs>
          <w:tab w:val="left" w:pos="4830"/>
        </w:tabs>
        <w:snapToGrid w:val="0"/>
        <w:spacing w:line="480" w:lineRule="auto"/>
        <w:ind w:firstLine="0"/>
        <w:jc w:val="left"/>
        <w:rPr>
          <w:rFonts w:cs="宋体" w:asciiTheme="minorEastAsia" w:hAnsiTheme="minorEastAsia" w:eastAsiaTheme="minorEastAsia"/>
          <w:snapToGrid w:val="0"/>
          <w:sz w:val="20"/>
          <w:szCs w:val="20"/>
        </w:rPr>
      </w:pPr>
    </w:p>
    <w:p>
      <w:pPr>
        <w:pStyle w:val="4"/>
        <w:tabs>
          <w:tab w:val="left" w:pos="4830"/>
        </w:tabs>
        <w:snapToGrid w:val="0"/>
        <w:spacing w:line="480" w:lineRule="auto"/>
        <w:ind w:firstLine="0"/>
        <w:jc w:val="left"/>
        <w:rPr>
          <w:rFonts w:cs="宋体" w:asciiTheme="minorEastAsia" w:hAnsiTheme="minorEastAsia" w:eastAsiaTheme="minorEastAsia"/>
          <w:snapToGrid w:val="0"/>
          <w:sz w:val="20"/>
          <w:szCs w:val="20"/>
        </w:rPr>
      </w:pPr>
    </w:p>
    <w:p>
      <w:pPr>
        <w:pStyle w:val="4"/>
        <w:tabs>
          <w:tab w:val="left" w:pos="4830"/>
        </w:tabs>
        <w:snapToGrid w:val="0"/>
        <w:spacing w:line="480" w:lineRule="auto"/>
        <w:ind w:firstLine="0"/>
        <w:jc w:val="left"/>
        <w:rPr>
          <w:rFonts w:cs="宋体" w:asciiTheme="minorEastAsia" w:hAnsiTheme="minorEastAsia" w:eastAsiaTheme="minorEastAsia"/>
          <w:snapToGrid w:val="0"/>
          <w:sz w:val="20"/>
          <w:szCs w:val="20"/>
        </w:rPr>
      </w:pPr>
    </w:p>
    <w:p>
      <w:pPr>
        <w:pStyle w:val="4"/>
        <w:tabs>
          <w:tab w:val="left" w:pos="4830"/>
        </w:tabs>
        <w:snapToGrid w:val="0"/>
        <w:spacing w:line="480" w:lineRule="auto"/>
        <w:ind w:firstLine="0"/>
        <w:jc w:val="left"/>
        <w:rPr>
          <w:rFonts w:cs="宋体" w:asciiTheme="minorEastAsia" w:hAnsiTheme="minorEastAsia" w:eastAsiaTheme="minorEastAsia"/>
          <w:snapToGrid w:val="0"/>
          <w:sz w:val="20"/>
          <w:szCs w:val="20"/>
        </w:rPr>
      </w:pPr>
    </w:p>
    <w:p>
      <w:pPr>
        <w:pStyle w:val="4"/>
        <w:tabs>
          <w:tab w:val="left" w:pos="4830"/>
        </w:tabs>
        <w:snapToGrid w:val="0"/>
        <w:spacing w:line="480" w:lineRule="auto"/>
        <w:ind w:firstLine="0"/>
        <w:jc w:val="left"/>
        <w:rPr>
          <w:rFonts w:cs="宋体" w:asciiTheme="minorEastAsia" w:hAnsiTheme="minorEastAsia" w:eastAsiaTheme="minorEastAsia"/>
          <w:snapToGrid w:val="0"/>
          <w:sz w:val="20"/>
          <w:szCs w:val="20"/>
        </w:rPr>
      </w:pPr>
    </w:p>
    <w:p>
      <w:pPr>
        <w:pStyle w:val="4"/>
        <w:tabs>
          <w:tab w:val="left" w:pos="4830"/>
        </w:tabs>
        <w:snapToGrid w:val="0"/>
        <w:spacing w:line="480" w:lineRule="auto"/>
        <w:ind w:firstLine="0"/>
        <w:jc w:val="left"/>
        <w:rPr>
          <w:rFonts w:cs="宋体" w:asciiTheme="minorEastAsia" w:hAnsiTheme="minorEastAsia" w:eastAsiaTheme="minorEastAsia"/>
          <w:snapToGrid w:val="0"/>
          <w:sz w:val="20"/>
          <w:szCs w:val="20"/>
        </w:rPr>
      </w:pPr>
    </w:p>
    <w:p>
      <w:pPr>
        <w:pStyle w:val="4"/>
        <w:tabs>
          <w:tab w:val="left" w:pos="4830"/>
        </w:tabs>
        <w:snapToGrid w:val="0"/>
        <w:spacing w:line="480" w:lineRule="auto"/>
        <w:ind w:firstLine="0"/>
        <w:jc w:val="left"/>
        <w:rPr>
          <w:rFonts w:cs="宋体" w:asciiTheme="minorEastAsia" w:hAnsiTheme="minorEastAsia" w:eastAsiaTheme="minorEastAsia"/>
          <w:snapToGrid w:val="0"/>
          <w:sz w:val="20"/>
          <w:szCs w:val="20"/>
        </w:rPr>
      </w:pPr>
    </w:p>
    <w:p>
      <w:pPr>
        <w:pStyle w:val="4"/>
        <w:tabs>
          <w:tab w:val="left" w:pos="4830"/>
        </w:tabs>
        <w:snapToGrid w:val="0"/>
        <w:spacing w:line="480" w:lineRule="auto"/>
        <w:ind w:firstLine="0"/>
        <w:jc w:val="left"/>
        <w:rPr>
          <w:rFonts w:cs="宋体" w:asciiTheme="minorEastAsia" w:hAnsiTheme="minorEastAsia" w:eastAsiaTheme="minorEastAsia"/>
          <w:snapToGrid w:val="0"/>
          <w:sz w:val="20"/>
          <w:szCs w:val="20"/>
        </w:rPr>
      </w:pPr>
    </w:p>
    <w:p>
      <w:pPr>
        <w:pStyle w:val="4"/>
        <w:tabs>
          <w:tab w:val="left" w:pos="4830"/>
        </w:tabs>
        <w:snapToGrid w:val="0"/>
        <w:spacing w:line="480" w:lineRule="auto"/>
        <w:ind w:firstLine="0"/>
        <w:jc w:val="left"/>
        <w:rPr>
          <w:rFonts w:cs="宋体" w:asciiTheme="minorEastAsia" w:hAnsiTheme="minorEastAsia" w:eastAsiaTheme="minorEastAsia"/>
          <w:snapToGrid w:val="0"/>
          <w:sz w:val="20"/>
          <w:szCs w:val="20"/>
        </w:rPr>
      </w:pPr>
    </w:p>
    <w:p>
      <w:pPr>
        <w:pStyle w:val="4"/>
        <w:tabs>
          <w:tab w:val="left" w:pos="4830"/>
        </w:tabs>
        <w:snapToGrid w:val="0"/>
        <w:spacing w:line="480" w:lineRule="auto"/>
        <w:ind w:firstLine="0"/>
        <w:jc w:val="left"/>
        <w:rPr>
          <w:rFonts w:cs="宋体" w:asciiTheme="minorEastAsia" w:hAnsiTheme="minorEastAsia" w:eastAsiaTheme="minorEastAsia"/>
          <w:snapToGrid w:val="0"/>
          <w:sz w:val="20"/>
          <w:szCs w:val="20"/>
        </w:rPr>
      </w:pPr>
    </w:p>
    <w:p>
      <w:pPr>
        <w:pStyle w:val="4"/>
        <w:tabs>
          <w:tab w:val="left" w:pos="4830"/>
        </w:tabs>
        <w:snapToGrid w:val="0"/>
        <w:spacing w:line="480" w:lineRule="auto"/>
        <w:ind w:firstLine="0"/>
        <w:jc w:val="left"/>
        <w:rPr>
          <w:rFonts w:cs="宋体" w:asciiTheme="minorEastAsia" w:hAnsiTheme="minorEastAsia" w:eastAsiaTheme="minorEastAsia"/>
          <w:snapToGrid w:val="0"/>
          <w:sz w:val="20"/>
          <w:szCs w:val="20"/>
        </w:rPr>
      </w:pPr>
    </w:p>
    <w:p>
      <w:pPr>
        <w:pStyle w:val="4"/>
        <w:tabs>
          <w:tab w:val="left" w:pos="4830"/>
        </w:tabs>
        <w:snapToGrid w:val="0"/>
        <w:spacing w:line="480" w:lineRule="auto"/>
        <w:ind w:firstLine="0"/>
        <w:jc w:val="left"/>
        <w:rPr>
          <w:rFonts w:cs="宋体" w:asciiTheme="minorEastAsia" w:hAnsiTheme="minorEastAsia" w:eastAsiaTheme="minorEastAsia"/>
          <w:snapToGrid w:val="0"/>
          <w:sz w:val="20"/>
          <w:szCs w:val="20"/>
        </w:rPr>
      </w:pPr>
    </w:p>
    <w:p>
      <w:pPr>
        <w:pStyle w:val="4"/>
        <w:tabs>
          <w:tab w:val="left" w:pos="4830"/>
        </w:tabs>
        <w:snapToGrid w:val="0"/>
        <w:spacing w:line="480" w:lineRule="auto"/>
        <w:ind w:firstLine="0"/>
        <w:jc w:val="left"/>
        <w:rPr>
          <w:rFonts w:cs="宋体" w:asciiTheme="minorEastAsia" w:hAnsiTheme="minorEastAsia" w:eastAsiaTheme="minorEastAsia"/>
          <w:snapToGrid w:val="0"/>
          <w:sz w:val="20"/>
          <w:szCs w:val="20"/>
        </w:rPr>
      </w:pPr>
    </w:p>
    <w:p>
      <w:pPr>
        <w:pStyle w:val="4"/>
        <w:tabs>
          <w:tab w:val="left" w:pos="4830"/>
        </w:tabs>
        <w:snapToGrid w:val="0"/>
        <w:spacing w:line="480" w:lineRule="auto"/>
        <w:ind w:firstLine="0"/>
        <w:jc w:val="left"/>
        <w:rPr>
          <w:rFonts w:cs="宋体" w:asciiTheme="minorEastAsia" w:hAnsiTheme="minorEastAsia" w:eastAsiaTheme="minorEastAsia"/>
          <w:snapToGrid w:val="0"/>
          <w:sz w:val="20"/>
          <w:szCs w:val="20"/>
        </w:rPr>
      </w:pPr>
    </w:p>
    <w:p>
      <w:pPr>
        <w:pStyle w:val="4"/>
        <w:tabs>
          <w:tab w:val="left" w:pos="4830"/>
        </w:tabs>
        <w:snapToGrid w:val="0"/>
        <w:spacing w:line="480" w:lineRule="auto"/>
        <w:ind w:firstLine="0"/>
        <w:jc w:val="left"/>
        <w:rPr>
          <w:rFonts w:cs="宋体" w:asciiTheme="minorEastAsia" w:hAnsiTheme="minorEastAsia" w:eastAsiaTheme="minorEastAsia"/>
          <w:snapToGrid w:val="0"/>
          <w:sz w:val="20"/>
          <w:szCs w:val="20"/>
        </w:rPr>
      </w:pPr>
    </w:p>
    <w:p>
      <w:pPr>
        <w:pStyle w:val="4"/>
        <w:tabs>
          <w:tab w:val="left" w:pos="4830"/>
        </w:tabs>
        <w:snapToGrid w:val="0"/>
        <w:spacing w:line="480" w:lineRule="auto"/>
        <w:ind w:firstLine="0"/>
        <w:jc w:val="left"/>
        <w:rPr>
          <w:rFonts w:cs="宋体" w:asciiTheme="minorEastAsia" w:hAnsiTheme="minorEastAsia" w:eastAsiaTheme="minorEastAsia"/>
          <w:snapToGrid w:val="0"/>
          <w:sz w:val="20"/>
          <w:szCs w:val="20"/>
        </w:rPr>
      </w:pPr>
    </w:p>
    <w:p>
      <w:pPr>
        <w:pStyle w:val="4"/>
        <w:tabs>
          <w:tab w:val="left" w:pos="4830"/>
        </w:tabs>
        <w:snapToGrid w:val="0"/>
        <w:spacing w:line="480" w:lineRule="auto"/>
        <w:ind w:firstLine="0"/>
        <w:jc w:val="left"/>
        <w:rPr>
          <w:rFonts w:cs="宋体" w:asciiTheme="minorEastAsia" w:hAnsiTheme="minorEastAsia" w:eastAsiaTheme="minorEastAsia"/>
          <w:sz w:val="20"/>
          <w:szCs w:val="20"/>
        </w:rPr>
      </w:pPr>
      <w:r>
        <w:rPr>
          <w:rFonts w:hint="eastAsia" w:cs="宋体" w:asciiTheme="minorEastAsia" w:hAnsiTheme="minorEastAsia" w:eastAsiaTheme="minorEastAsia"/>
          <w:snapToGrid w:val="0"/>
          <w:sz w:val="20"/>
          <w:szCs w:val="20"/>
        </w:rPr>
        <w:t>竞包人资格条件要求附表</w:t>
      </w:r>
    </w:p>
    <w:tbl>
      <w:tblPr>
        <w:tblStyle w:val="24"/>
        <w:tblW w:w="9313" w:type="dxa"/>
        <w:tblInd w:w="-54"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668"/>
        <w:gridCol w:w="864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668" w:type="dxa"/>
            <w:tcBorders>
              <w:top w:val="single" w:color="auto" w:sz="8" w:space="0"/>
              <w:left w:val="single" w:color="auto" w:sz="8" w:space="0"/>
              <w:bottom w:val="single" w:color="auto" w:sz="4" w:space="0"/>
              <w:right w:val="single" w:color="auto" w:sz="4" w:space="0"/>
            </w:tcBorders>
            <w:vAlign w:val="center"/>
          </w:tcPr>
          <w:p>
            <w:pPr>
              <w:widowControl/>
              <w:autoSpaceDE/>
              <w:autoSpaceDN/>
              <w:adjustRightInd/>
              <w:spacing w:line="240" w:lineRule="exact"/>
              <w:jc w:val="center"/>
              <w:textAlignment w:val="auto"/>
              <w:rPr>
                <w:rFonts w:cs="宋体" w:asciiTheme="minorEastAsia" w:hAnsiTheme="minorEastAsia"/>
                <w:kern w:val="2"/>
                <w:sz w:val="20"/>
                <w:szCs w:val="20"/>
              </w:rPr>
            </w:pPr>
            <w:r>
              <w:rPr>
                <w:rFonts w:hint="eastAsia" w:cs="宋体" w:asciiTheme="minorEastAsia" w:hAnsiTheme="minorEastAsia"/>
                <w:snapToGrid w:val="0"/>
                <w:kern w:val="2"/>
                <w:sz w:val="20"/>
                <w:szCs w:val="20"/>
              </w:rPr>
              <w:t>序号</w:t>
            </w:r>
          </w:p>
        </w:tc>
        <w:tc>
          <w:tcPr>
            <w:tcW w:w="8645" w:type="dxa"/>
            <w:tcBorders>
              <w:top w:val="single" w:color="auto" w:sz="8" w:space="0"/>
              <w:left w:val="single" w:color="auto" w:sz="4" w:space="0"/>
              <w:bottom w:val="single" w:color="auto" w:sz="4" w:space="0"/>
              <w:right w:val="single" w:color="auto" w:sz="8" w:space="0"/>
            </w:tcBorders>
            <w:vAlign w:val="center"/>
          </w:tcPr>
          <w:p>
            <w:pPr>
              <w:widowControl/>
              <w:autoSpaceDE/>
              <w:autoSpaceDN/>
              <w:adjustRightInd/>
              <w:spacing w:line="240" w:lineRule="exact"/>
              <w:jc w:val="center"/>
              <w:textAlignment w:val="auto"/>
              <w:rPr>
                <w:rFonts w:cs="宋体" w:asciiTheme="minorEastAsia" w:hAnsiTheme="minorEastAsia"/>
                <w:kern w:val="2"/>
                <w:sz w:val="20"/>
                <w:szCs w:val="20"/>
              </w:rPr>
            </w:pPr>
            <w:r>
              <w:rPr>
                <w:rFonts w:hint="eastAsia" w:cs="宋体" w:asciiTheme="minorEastAsia" w:hAnsiTheme="minorEastAsia"/>
                <w:snapToGrid w:val="0"/>
                <w:kern w:val="2"/>
                <w:sz w:val="20"/>
                <w:szCs w:val="20"/>
              </w:rPr>
              <w:t>资 格 条 件 内 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668" w:type="dxa"/>
            <w:tcBorders>
              <w:top w:val="single" w:color="auto" w:sz="4" w:space="0"/>
              <w:left w:val="single" w:color="auto" w:sz="8" w:space="0"/>
              <w:bottom w:val="single" w:color="auto" w:sz="4" w:space="0"/>
              <w:right w:val="single" w:color="auto" w:sz="4" w:space="0"/>
            </w:tcBorders>
            <w:vAlign w:val="center"/>
          </w:tcPr>
          <w:p>
            <w:pPr>
              <w:widowControl/>
              <w:autoSpaceDE/>
              <w:autoSpaceDN/>
              <w:adjustRightInd/>
              <w:spacing w:line="240" w:lineRule="exact"/>
              <w:jc w:val="center"/>
              <w:textAlignment w:val="auto"/>
              <w:rPr>
                <w:rFonts w:cs="宋体" w:asciiTheme="minorEastAsia" w:hAnsiTheme="minorEastAsia"/>
                <w:kern w:val="2"/>
                <w:sz w:val="20"/>
                <w:szCs w:val="20"/>
              </w:rPr>
            </w:pPr>
            <w:r>
              <w:rPr>
                <w:rFonts w:hint="eastAsia" w:cs="宋体" w:asciiTheme="minorEastAsia" w:hAnsiTheme="minorEastAsia"/>
                <w:snapToGrid w:val="0"/>
                <w:kern w:val="2"/>
                <w:sz w:val="20"/>
                <w:szCs w:val="20"/>
              </w:rPr>
              <w:t>一</w:t>
            </w:r>
          </w:p>
        </w:tc>
        <w:tc>
          <w:tcPr>
            <w:tcW w:w="8645" w:type="dxa"/>
            <w:tcBorders>
              <w:top w:val="single" w:color="auto" w:sz="4" w:space="0"/>
              <w:left w:val="single" w:color="auto" w:sz="4" w:space="0"/>
              <w:bottom w:val="single" w:color="auto" w:sz="4" w:space="0"/>
              <w:right w:val="single" w:color="auto" w:sz="8" w:space="0"/>
            </w:tcBorders>
            <w:vAlign w:val="center"/>
          </w:tcPr>
          <w:p>
            <w:pPr>
              <w:widowControl/>
              <w:autoSpaceDE/>
              <w:autoSpaceDN/>
              <w:adjustRightInd/>
              <w:snapToGrid w:val="0"/>
              <w:spacing w:line="240" w:lineRule="exact"/>
              <w:jc w:val="left"/>
              <w:textAlignment w:val="auto"/>
              <w:rPr>
                <w:rFonts w:cs="宋体" w:asciiTheme="minorEastAsia" w:hAnsiTheme="minorEastAsia"/>
                <w:kern w:val="2"/>
                <w:sz w:val="20"/>
                <w:szCs w:val="20"/>
              </w:rPr>
            </w:pPr>
            <w:r>
              <w:rPr>
                <w:rFonts w:hint="eastAsia" w:cs="宋体" w:asciiTheme="minorEastAsia" w:hAnsiTheme="minorEastAsia"/>
                <w:snapToGrid w:val="0"/>
                <w:kern w:val="2"/>
                <w:sz w:val="20"/>
                <w:szCs w:val="20"/>
              </w:rPr>
              <w:t>企业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668" w:type="dxa"/>
            <w:tcBorders>
              <w:top w:val="single" w:color="auto" w:sz="4" w:space="0"/>
              <w:left w:val="single" w:color="auto" w:sz="8" w:space="0"/>
              <w:bottom w:val="single" w:color="auto" w:sz="4" w:space="0"/>
              <w:right w:val="single" w:color="auto" w:sz="4" w:space="0"/>
            </w:tcBorders>
            <w:vAlign w:val="center"/>
          </w:tcPr>
          <w:p>
            <w:pPr>
              <w:widowControl/>
              <w:autoSpaceDE/>
              <w:autoSpaceDN/>
              <w:adjustRightInd/>
              <w:spacing w:line="240" w:lineRule="exact"/>
              <w:jc w:val="center"/>
              <w:textAlignment w:val="auto"/>
              <w:rPr>
                <w:rFonts w:cs="宋体" w:asciiTheme="minorEastAsia" w:hAnsiTheme="minorEastAsia"/>
                <w:kern w:val="2"/>
                <w:sz w:val="20"/>
                <w:szCs w:val="20"/>
              </w:rPr>
            </w:pPr>
            <w:r>
              <w:rPr>
                <w:rFonts w:hint="eastAsia" w:cs="宋体" w:asciiTheme="minorEastAsia" w:hAnsiTheme="minorEastAsia"/>
                <w:snapToGrid w:val="0"/>
                <w:kern w:val="2"/>
                <w:sz w:val="20"/>
                <w:szCs w:val="20"/>
              </w:rPr>
              <w:t>1</w:t>
            </w:r>
          </w:p>
        </w:tc>
        <w:tc>
          <w:tcPr>
            <w:tcW w:w="8645" w:type="dxa"/>
            <w:tcBorders>
              <w:top w:val="single" w:color="auto" w:sz="4" w:space="0"/>
              <w:left w:val="single" w:color="auto" w:sz="4" w:space="0"/>
              <w:bottom w:val="single" w:color="auto" w:sz="4" w:space="0"/>
              <w:right w:val="single" w:color="auto" w:sz="8" w:space="0"/>
            </w:tcBorders>
            <w:vAlign w:val="center"/>
          </w:tcPr>
          <w:p>
            <w:pPr>
              <w:widowControl/>
              <w:autoSpaceDE/>
              <w:autoSpaceDN/>
              <w:adjustRightInd/>
              <w:snapToGrid w:val="0"/>
              <w:spacing w:line="240" w:lineRule="exact"/>
              <w:jc w:val="left"/>
              <w:textAlignment w:val="auto"/>
              <w:rPr>
                <w:rFonts w:cs="宋体" w:asciiTheme="minorEastAsia" w:hAnsiTheme="minorEastAsia"/>
                <w:kern w:val="2"/>
                <w:sz w:val="20"/>
                <w:szCs w:val="20"/>
              </w:rPr>
            </w:pPr>
            <w:r>
              <w:rPr>
                <w:rFonts w:hint="eastAsia" w:cs="宋体" w:asciiTheme="minorEastAsia" w:hAnsiTheme="minorEastAsia"/>
                <w:snapToGrid w:val="0"/>
                <w:kern w:val="2"/>
                <w:sz w:val="20"/>
                <w:szCs w:val="20"/>
              </w:rPr>
              <w:t>应具备水利水电工程施工总承包叁级及以上资质（浙江省外企业须提供《省外企业进浙承接业务备案证明》），具有有效的营业执照和安全生产许可证。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668" w:type="dxa"/>
            <w:tcBorders>
              <w:top w:val="single" w:color="auto" w:sz="4" w:space="0"/>
              <w:left w:val="single" w:color="auto" w:sz="8" w:space="0"/>
              <w:bottom w:val="single" w:color="auto" w:sz="4" w:space="0"/>
              <w:right w:val="single" w:color="auto" w:sz="4" w:space="0"/>
            </w:tcBorders>
            <w:vAlign w:val="center"/>
          </w:tcPr>
          <w:p>
            <w:pPr>
              <w:widowControl/>
              <w:autoSpaceDE/>
              <w:autoSpaceDN/>
              <w:adjustRightInd/>
              <w:spacing w:line="240" w:lineRule="exact"/>
              <w:jc w:val="center"/>
              <w:textAlignment w:val="auto"/>
              <w:rPr>
                <w:rFonts w:cs="宋体" w:asciiTheme="minorEastAsia" w:hAnsiTheme="minorEastAsia"/>
                <w:snapToGrid w:val="0"/>
                <w:kern w:val="2"/>
                <w:sz w:val="20"/>
                <w:szCs w:val="20"/>
              </w:rPr>
            </w:pPr>
            <w:r>
              <w:rPr>
                <w:rFonts w:hint="eastAsia" w:cs="宋体" w:asciiTheme="minorEastAsia" w:hAnsiTheme="minorEastAsia"/>
                <w:snapToGrid w:val="0"/>
                <w:kern w:val="2"/>
                <w:sz w:val="20"/>
                <w:szCs w:val="20"/>
              </w:rPr>
              <w:t>2</w:t>
            </w:r>
          </w:p>
        </w:tc>
        <w:tc>
          <w:tcPr>
            <w:tcW w:w="8645" w:type="dxa"/>
            <w:tcBorders>
              <w:top w:val="single" w:color="auto" w:sz="4" w:space="0"/>
              <w:left w:val="single" w:color="auto" w:sz="4" w:space="0"/>
              <w:bottom w:val="single" w:color="auto" w:sz="4" w:space="0"/>
              <w:right w:val="single" w:color="auto" w:sz="8" w:space="0"/>
            </w:tcBorders>
            <w:vAlign w:val="center"/>
          </w:tcPr>
          <w:p>
            <w:pPr>
              <w:widowControl/>
              <w:autoSpaceDE/>
              <w:autoSpaceDN/>
              <w:adjustRightInd/>
              <w:snapToGrid w:val="0"/>
              <w:spacing w:line="240" w:lineRule="exact"/>
              <w:jc w:val="left"/>
              <w:textAlignment w:val="auto"/>
              <w:rPr>
                <w:rFonts w:cs="宋体" w:asciiTheme="minorEastAsia" w:hAnsiTheme="minorEastAsia"/>
                <w:snapToGrid w:val="0"/>
                <w:kern w:val="2"/>
                <w:sz w:val="20"/>
                <w:szCs w:val="20"/>
              </w:rPr>
            </w:pPr>
            <w:r>
              <w:rPr>
                <w:rFonts w:hint="eastAsia" w:cs="宋体" w:asciiTheme="minorEastAsia" w:hAnsiTheme="minorEastAsia"/>
                <w:snapToGrid w:val="0"/>
                <w:kern w:val="2"/>
                <w:sz w:val="20"/>
                <w:szCs w:val="20"/>
              </w:rPr>
              <w:t>发包人在定标前对拟承包单位及拟派项目负责人的行贿犯罪记录进行查询。查询网址：中国裁判文书网（http://wenshu.court.cov.cn）</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36" w:hRule="atLeast"/>
        </w:trPr>
        <w:tc>
          <w:tcPr>
            <w:tcW w:w="668" w:type="dxa"/>
            <w:tcBorders>
              <w:top w:val="single" w:color="auto" w:sz="4" w:space="0"/>
              <w:left w:val="single" w:color="auto" w:sz="8" w:space="0"/>
              <w:bottom w:val="single" w:color="auto" w:sz="4" w:space="0"/>
              <w:right w:val="single" w:color="auto" w:sz="4" w:space="0"/>
            </w:tcBorders>
            <w:vAlign w:val="center"/>
          </w:tcPr>
          <w:p>
            <w:pPr>
              <w:widowControl/>
              <w:autoSpaceDE/>
              <w:autoSpaceDN/>
              <w:adjustRightInd/>
              <w:spacing w:line="240" w:lineRule="exact"/>
              <w:jc w:val="center"/>
              <w:textAlignment w:val="auto"/>
              <w:rPr>
                <w:rFonts w:cs="宋体" w:asciiTheme="minorEastAsia" w:hAnsiTheme="minorEastAsia"/>
                <w:kern w:val="2"/>
                <w:sz w:val="20"/>
                <w:szCs w:val="20"/>
              </w:rPr>
            </w:pPr>
            <w:r>
              <w:rPr>
                <w:rFonts w:hint="eastAsia" w:cs="宋体" w:asciiTheme="minorEastAsia" w:hAnsiTheme="minorEastAsia"/>
                <w:snapToGrid w:val="0"/>
                <w:kern w:val="2"/>
                <w:sz w:val="20"/>
                <w:szCs w:val="20"/>
              </w:rPr>
              <w:t>3</w:t>
            </w:r>
          </w:p>
        </w:tc>
        <w:tc>
          <w:tcPr>
            <w:tcW w:w="8645" w:type="dxa"/>
            <w:tcBorders>
              <w:top w:val="single" w:color="auto" w:sz="4" w:space="0"/>
              <w:left w:val="single" w:color="auto" w:sz="4" w:space="0"/>
              <w:bottom w:val="single" w:color="auto" w:sz="4" w:space="0"/>
              <w:right w:val="single" w:color="auto" w:sz="8" w:space="0"/>
            </w:tcBorders>
            <w:vAlign w:val="center"/>
          </w:tcPr>
          <w:p>
            <w:pPr>
              <w:widowControl/>
              <w:autoSpaceDE/>
              <w:autoSpaceDN/>
              <w:adjustRightInd/>
              <w:snapToGrid w:val="0"/>
              <w:spacing w:line="240" w:lineRule="exact"/>
              <w:jc w:val="left"/>
              <w:textAlignment w:val="auto"/>
              <w:rPr>
                <w:rFonts w:cs="宋体" w:asciiTheme="minorEastAsia" w:hAnsiTheme="minorEastAsia"/>
                <w:kern w:val="2"/>
                <w:sz w:val="20"/>
                <w:szCs w:val="20"/>
              </w:rPr>
            </w:pPr>
            <w:r>
              <w:rPr>
                <w:rFonts w:hint="eastAsia" w:cs="宋体" w:asciiTheme="minorEastAsia" w:hAnsiTheme="minorEastAsia"/>
                <w:snapToGrid w:val="0"/>
                <w:kern w:val="2"/>
                <w:sz w:val="20"/>
                <w:szCs w:val="20"/>
              </w:rPr>
              <w:t>应未被项目所在地区（吴兴区）水利建设市场限制竞包。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668" w:type="dxa"/>
            <w:tcBorders>
              <w:top w:val="single" w:color="auto" w:sz="4" w:space="0"/>
              <w:left w:val="single" w:color="auto" w:sz="8" w:space="0"/>
              <w:bottom w:val="single" w:color="auto" w:sz="4" w:space="0"/>
              <w:right w:val="single" w:color="auto" w:sz="4" w:space="0"/>
            </w:tcBorders>
            <w:vAlign w:val="center"/>
          </w:tcPr>
          <w:p>
            <w:pPr>
              <w:widowControl/>
              <w:autoSpaceDE/>
              <w:autoSpaceDN/>
              <w:adjustRightInd/>
              <w:spacing w:line="240" w:lineRule="exact"/>
              <w:jc w:val="center"/>
              <w:textAlignment w:val="auto"/>
              <w:rPr>
                <w:rFonts w:cs="宋体" w:asciiTheme="minorEastAsia" w:hAnsiTheme="minorEastAsia"/>
                <w:kern w:val="2"/>
                <w:sz w:val="20"/>
                <w:szCs w:val="20"/>
              </w:rPr>
            </w:pPr>
            <w:r>
              <w:rPr>
                <w:rFonts w:hint="eastAsia" w:cs="宋体" w:asciiTheme="minorEastAsia" w:hAnsiTheme="minorEastAsia"/>
                <w:snapToGrid w:val="0"/>
                <w:kern w:val="2"/>
                <w:sz w:val="20"/>
                <w:szCs w:val="20"/>
              </w:rPr>
              <w:t>二</w:t>
            </w:r>
          </w:p>
        </w:tc>
        <w:tc>
          <w:tcPr>
            <w:tcW w:w="8645" w:type="dxa"/>
            <w:tcBorders>
              <w:top w:val="single" w:color="auto" w:sz="4" w:space="0"/>
              <w:left w:val="single" w:color="auto" w:sz="4" w:space="0"/>
              <w:bottom w:val="single" w:color="auto" w:sz="4" w:space="0"/>
              <w:right w:val="single" w:color="auto" w:sz="8" w:space="0"/>
            </w:tcBorders>
            <w:vAlign w:val="center"/>
          </w:tcPr>
          <w:p>
            <w:pPr>
              <w:widowControl/>
              <w:autoSpaceDE/>
              <w:autoSpaceDN/>
              <w:adjustRightInd/>
              <w:snapToGrid w:val="0"/>
              <w:spacing w:line="240" w:lineRule="exact"/>
              <w:jc w:val="left"/>
              <w:textAlignment w:val="auto"/>
              <w:rPr>
                <w:rFonts w:cs="宋体" w:asciiTheme="minorEastAsia" w:hAnsiTheme="minorEastAsia"/>
                <w:kern w:val="2"/>
                <w:sz w:val="20"/>
                <w:szCs w:val="20"/>
              </w:rPr>
            </w:pPr>
            <w:r>
              <w:rPr>
                <w:rFonts w:hint="eastAsia" w:cs="宋体" w:asciiTheme="minorEastAsia" w:hAnsiTheme="minorEastAsia"/>
                <w:snapToGrid w:val="0"/>
                <w:kern w:val="2"/>
                <w:sz w:val="20"/>
                <w:szCs w:val="20"/>
              </w:rPr>
              <w:t>拟派项目组主要人员</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50" w:hRule="atLeast"/>
        </w:trPr>
        <w:tc>
          <w:tcPr>
            <w:tcW w:w="668" w:type="dxa"/>
            <w:tcBorders>
              <w:top w:val="single" w:color="auto" w:sz="4" w:space="0"/>
              <w:left w:val="single" w:color="auto" w:sz="8" w:space="0"/>
              <w:bottom w:val="single" w:color="auto" w:sz="4" w:space="0"/>
              <w:right w:val="single" w:color="auto" w:sz="4" w:space="0"/>
            </w:tcBorders>
            <w:vAlign w:val="center"/>
          </w:tcPr>
          <w:p>
            <w:pPr>
              <w:widowControl/>
              <w:autoSpaceDE/>
              <w:autoSpaceDN/>
              <w:adjustRightInd/>
              <w:spacing w:line="240" w:lineRule="exact"/>
              <w:jc w:val="center"/>
              <w:textAlignment w:val="auto"/>
              <w:rPr>
                <w:rFonts w:cs="宋体" w:asciiTheme="minorEastAsia" w:hAnsiTheme="minorEastAsia"/>
                <w:kern w:val="2"/>
                <w:sz w:val="20"/>
                <w:szCs w:val="20"/>
              </w:rPr>
            </w:pPr>
            <w:r>
              <w:rPr>
                <w:rFonts w:hint="eastAsia" w:cs="宋体" w:asciiTheme="minorEastAsia" w:hAnsiTheme="minorEastAsia"/>
                <w:snapToGrid w:val="0"/>
                <w:kern w:val="2"/>
                <w:sz w:val="20"/>
                <w:szCs w:val="20"/>
              </w:rPr>
              <w:t>1</w:t>
            </w:r>
          </w:p>
        </w:tc>
        <w:tc>
          <w:tcPr>
            <w:tcW w:w="8645" w:type="dxa"/>
            <w:tcBorders>
              <w:top w:val="single" w:color="auto" w:sz="4" w:space="0"/>
              <w:left w:val="single" w:color="auto" w:sz="4" w:space="0"/>
              <w:bottom w:val="single" w:color="auto" w:sz="4" w:space="0"/>
              <w:right w:val="single" w:color="auto" w:sz="8" w:space="0"/>
            </w:tcBorders>
            <w:vAlign w:val="center"/>
          </w:tcPr>
          <w:p>
            <w:pPr>
              <w:spacing w:line="320" w:lineRule="exact"/>
              <w:jc w:val="left"/>
              <w:textAlignment w:val="auto"/>
              <w:rPr>
                <w:rFonts w:cs="宋体" w:asciiTheme="minorEastAsia" w:hAnsiTheme="minorEastAsia"/>
                <w:kern w:val="2"/>
                <w:sz w:val="20"/>
                <w:szCs w:val="20"/>
              </w:rPr>
            </w:pPr>
            <w:r>
              <w:rPr>
                <w:rFonts w:hint="eastAsia" w:cs="宋体" w:asciiTheme="minorEastAsia" w:hAnsiTheme="minorEastAsia"/>
                <w:snapToGrid w:val="0"/>
                <w:kern w:val="2"/>
                <w:sz w:val="20"/>
                <w:szCs w:val="20"/>
              </w:rPr>
              <w:t>项目负责人应持有</w:t>
            </w:r>
            <w:r>
              <w:rPr>
                <w:rFonts w:hint="eastAsia" w:cs="宋体" w:asciiTheme="minorEastAsia" w:hAnsiTheme="minorEastAsia"/>
                <w:b/>
                <w:bCs/>
                <w:snapToGrid w:val="0"/>
                <w:kern w:val="2"/>
                <w:sz w:val="20"/>
                <w:szCs w:val="20"/>
                <w:u w:val="single"/>
              </w:rPr>
              <w:t>水利水电专业贰级</w:t>
            </w:r>
            <w:r>
              <w:rPr>
                <w:rFonts w:hint="eastAsia" w:cs="宋体" w:asciiTheme="minorEastAsia" w:hAnsiTheme="minorEastAsia"/>
                <w:snapToGrid w:val="0"/>
                <w:kern w:val="2"/>
                <w:sz w:val="20"/>
                <w:szCs w:val="20"/>
              </w:rPr>
              <w:t>及以上建造师注册证书，并在竞包截止日不得在其他任何在建合同工程中担任项目负责人。其他在建合同工程的开始时间为合同工程成交通知书发出之日（不通过发包方式的，开始时间为合同签订之日），结束时间为该合同工程通过验收或合同解除之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69" w:hRule="atLeast"/>
        </w:trPr>
        <w:tc>
          <w:tcPr>
            <w:tcW w:w="668" w:type="dxa"/>
            <w:tcBorders>
              <w:top w:val="single" w:color="auto" w:sz="4" w:space="0"/>
              <w:left w:val="single" w:color="auto" w:sz="8" w:space="0"/>
              <w:bottom w:val="single" w:color="auto" w:sz="4" w:space="0"/>
              <w:right w:val="single" w:color="auto" w:sz="4" w:space="0"/>
            </w:tcBorders>
            <w:vAlign w:val="center"/>
          </w:tcPr>
          <w:p>
            <w:pPr>
              <w:widowControl/>
              <w:autoSpaceDE/>
              <w:autoSpaceDN/>
              <w:adjustRightInd/>
              <w:spacing w:line="240" w:lineRule="exact"/>
              <w:jc w:val="center"/>
              <w:textAlignment w:val="auto"/>
              <w:rPr>
                <w:rFonts w:cs="宋体" w:asciiTheme="minorEastAsia" w:hAnsiTheme="minorEastAsia"/>
                <w:kern w:val="2"/>
                <w:sz w:val="20"/>
                <w:szCs w:val="20"/>
              </w:rPr>
            </w:pPr>
            <w:r>
              <w:rPr>
                <w:rFonts w:hint="eastAsia" w:cs="宋体" w:asciiTheme="minorEastAsia" w:hAnsiTheme="minorEastAsia"/>
                <w:snapToGrid w:val="0"/>
                <w:kern w:val="2"/>
                <w:sz w:val="20"/>
                <w:szCs w:val="20"/>
              </w:rPr>
              <w:t>2</w:t>
            </w:r>
          </w:p>
        </w:tc>
        <w:tc>
          <w:tcPr>
            <w:tcW w:w="8645" w:type="dxa"/>
            <w:tcBorders>
              <w:top w:val="single" w:color="auto" w:sz="4" w:space="0"/>
              <w:left w:val="single" w:color="auto" w:sz="4" w:space="0"/>
              <w:bottom w:val="single" w:color="auto" w:sz="4" w:space="0"/>
              <w:right w:val="single" w:color="auto" w:sz="8" w:space="0"/>
            </w:tcBorders>
            <w:vAlign w:val="center"/>
          </w:tcPr>
          <w:p>
            <w:pPr>
              <w:widowControl/>
              <w:autoSpaceDE/>
              <w:autoSpaceDN/>
              <w:adjustRightInd/>
              <w:snapToGrid w:val="0"/>
              <w:spacing w:line="240" w:lineRule="exact"/>
              <w:jc w:val="left"/>
              <w:textAlignment w:val="auto"/>
              <w:rPr>
                <w:rFonts w:cs="宋体" w:asciiTheme="minorEastAsia" w:hAnsiTheme="minorEastAsia"/>
                <w:kern w:val="2"/>
                <w:sz w:val="20"/>
                <w:szCs w:val="20"/>
              </w:rPr>
            </w:pPr>
            <w:r>
              <w:rPr>
                <w:rFonts w:hint="eastAsia" w:cs="宋体" w:asciiTheme="minorEastAsia" w:hAnsiTheme="minorEastAsia"/>
                <w:snapToGrid w:val="0"/>
                <w:kern w:val="2"/>
                <w:sz w:val="20"/>
                <w:szCs w:val="20"/>
              </w:rPr>
              <w:t>项目负责人应未被项目所在地区（吴兴区）水利建设市场限制竞包(以湖州市吴兴区水利局查询为准)。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668" w:type="dxa"/>
            <w:tcBorders>
              <w:top w:val="single" w:color="auto" w:sz="4" w:space="0"/>
              <w:left w:val="single" w:color="auto" w:sz="8" w:space="0"/>
              <w:bottom w:val="single" w:color="auto" w:sz="4" w:space="0"/>
              <w:right w:val="single" w:color="auto" w:sz="4" w:space="0"/>
            </w:tcBorders>
            <w:vAlign w:val="center"/>
          </w:tcPr>
          <w:p>
            <w:pPr>
              <w:widowControl/>
              <w:autoSpaceDE/>
              <w:autoSpaceDN/>
              <w:adjustRightInd/>
              <w:spacing w:line="240" w:lineRule="exact"/>
              <w:jc w:val="center"/>
              <w:textAlignment w:val="auto"/>
              <w:rPr>
                <w:rFonts w:cs="宋体" w:asciiTheme="minorEastAsia" w:hAnsiTheme="minorEastAsia"/>
                <w:kern w:val="2"/>
                <w:sz w:val="20"/>
                <w:szCs w:val="20"/>
              </w:rPr>
            </w:pPr>
            <w:r>
              <w:rPr>
                <w:rFonts w:hint="eastAsia" w:cs="宋体" w:asciiTheme="minorEastAsia" w:hAnsiTheme="minorEastAsia"/>
                <w:snapToGrid w:val="0"/>
                <w:kern w:val="2"/>
                <w:sz w:val="20"/>
                <w:szCs w:val="20"/>
              </w:rPr>
              <w:t>3</w:t>
            </w:r>
          </w:p>
        </w:tc>
        <w:tc>
          <w:tcPr>
            <w:tcW w:w="8645" w:type="dxa"/>
            <w:tcBorders>
              <w:top w:val="single" w:color="auto" w:sz="4" w:space="0"/>
              <w:left w:val="single" w:color="auto" w:sz="4" w:space="0"/>
              <w:bottom w:val="single" w:color="auto" w:sz="4" w:space="0"/>
              <w:right w:val="single" w:color="auto" w:sz="8" w:space="0"/>
            </w:tcBorders>
            <w:vAlign w:val="center"/>
          </w:tcPr>
          <w:p>
            <w:pPr>
              <w:widowControl/>
              <w:autoSpaceDE/>
              <w:autoSpaceDN/>
              <w:adjustRightInd/>
              <w:snapToGrid w:val="0"/>
              <w:spacing w:line="240" w:lineRule="exact"/>
              <w:jc w:val="left"/>
              <w:textAlignment w:val="auto"/>
              <w:rPr>
                <w:rFonts w:cs="宋体" w:asciiTheme="minorEastAsia" w:hAnsiTheme="minorEastAsia"/>
                <w:kern w:val="2"/>
                <w:sz w:val="20"/>
                <w:szCs w:val="20"/>
              </w:rPr>
            </w:pPr>
            <w:r>
              <w:rPr>
                <w:rFonts w:hint="eastAsia" w:cs="宋体" w:asciiTheme="minorEastAsia" w:hAnsiTheme="minorEastAsia"/>
                <w:snapToGrid w:val="0"/>
                <w:kern w:val="2"/>
                <w:sz w:val="20"/>
                <w:szCs w:val="20"/>
              </w:rPr>
              <w:t>项目技术负责人应具有水利及相关专业中级及以上技术职称。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77" w:hRule="atLeast"/>
        </w:trPr>
        <w:tc>
          <w:tcPr>
            <w:tcW w:w="668" w:type="dxa"/>
            <w:tcBorders>
              <w:top w:val="single" w:color="auto" w:sz="4" w:space="0"/>
              <w:left w:val="single" w:color="auto" w:sz="8" w:space="0"/>
              <w:bottom w:val="single" w:color="auto" w:sz="4" w:space="0"/>
              <w:right w:val="single" w:color="auto" w:sz="4" w:space="0"/>
            </w:tcBorders>
            <w:vAlign w:val="center"/>
          </w:tcPr>
          <w:p>
            <w:pPr>
              <w:widowControl/>
              <w:autoSpaceDE/>
              <w:autoSpaceDN/>
              <w:adjustRightInd/>
              <w:spacing w:line="240" w:lineRule="exact"/>
              <w:jc w:val="center"/>
              <w:textAlignment w:val="auto"/>
              <w:rPr>
                <w:rFonts w:cs="宋体" w:asciiTheme="minorEastAsia" w:hAnsiTheme="minorEastAsia"/>
                <w:kern w:val="2"/>
                <w:sz w:val="20"/>
                <w:szCs w:val="20"/>
              </w:rPr>
            </w:pPr>
            <w:r>
              <w:rPr>
                <w:rFonts w:hint="eastAsia" w:cs="宋体" w:asciiTheme="minorEastAsia" w:hAnsiTheme="minorEastAsia"/>
                <w:snapToGrid w:val="0"/>
                <w:kern w:val="2"/>
                <w:sz w:val="20"/>
                <w:szCs w:val="20"/>
              </w:rPr>
              <w:t>4</w:t>
            </w:r>
          </w:p>
        </w:tc>
        <w:tc>
          <w:tcPr>
            <w:tcW w:w="8645" w:type="dxa"/>
            <w:tcBorders>
              <w:top w:val="single" w:color="auto" w:sz="4" w:space="0"/>
              <w:left w:val="single" w:color="auto" w:sz="4" w:space="0"/>
              <w:bottom w:val="single" w:color="auto" w:sz="4" w:space="0"/>
              <w:right w:val="single" w:color="auto" w:sz="8" w:space="0"/>
            </w:tcBorders>
            <w:vAlign w:val="center"/>
          </w:tcPr>
          <w:p>
            <w:pPr>
              <w:widowControl/>
              <w:autoSpaceDE/>
              <w:autoSpaceDN/>
              <w:adjustRightInd/>
              <w:spacing w:line="240" w:lineRule="exact"/>
              <w:jc w:val="left"/>
              <w:textAlignment w:val="auto"/>
              <w:rPr>
                <w:rFonts w:cs="宋体" w:asciiTheme="minorEastAsia" w:hAnsiTheme="minorEastAsia"/>
                <w:kern w:val="2"/>
                <w:sz w:val="20"/>
                <w:szCs w:val="20"/>
              </w:rPr>
            </w:pPr>
            <w:r>
              <w:rPr>
                <w:rFonts w:hint="eastAsia" w:cs="宋体" w:asciiTheme="minorEastAsia" w:hAnsiTheme="minorEastAsia"/>
                <w:kern w:val="2"/>
                <w:sz w:val="20"/>
                <w:szCs w:val="20"/>
              </w:rPr>
              <w:t>质量负责人、安全负责人应持有水利水电专业贰级及以上建造师注册证书。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668" w:type="dxa"/>
            <w:tcBorders>
              <w:top w:val="single" w:color="auto" w:sz="4" w:space="0"/>
              <w:left w:val="single" w:color="auto" w:sz="8" w:space="0"/>
              <w:bottom w:val="single" w:color="auto" w:sz="4" w:space="0"/>
              <w:right w:val="single" w:color="auto" w:sz="4" w:space="0"/>
            </w:tcBorders>
            <w:vAlign w:val="center"/>
          </w:tcPr>
          <w:p>
            <w:pPr>
              <w:widowControl/>
              <w:autoSpaceDE/>
              <w:autoSpaceDN/>
              <w:adjustRightInd/>
              <w:spacing w:line="240" w:lineRule="exact"/>
              <w:jc w:val="center"/>
              <w:textAlignment w:val="auto"/>
              <w:rPr>
                <w:rFonts w:cs="宋体" w:asciiTheme="minorEastAsia" w:hAnsiTheme="minorEastAsia"/>
                <w:kern w:val="2"/>
                <w:sz w:val="20"/>
                <w:szCs w:val="20"/>
              </w:rPr>
            </w:pPr>
            <w:r>
              <w:rPr>
                <w:rFonts w:hint="eastAsia" w:cs="宋体" w:asciiTheme="minorEastAsia" w:hAnsiTheme="minorEastAsia"/>
                <w:snapToGrid w:val="0"/>
                <w:kern w:val="2"/>
                <w:sz w:val="20"/>
                <w:szCs w:val="20"/>
              </w:rPr>
              <w:t>5</w:t>
            </w:r>
          </w:p>
        </w:tc>
        <w:tc>
          <w:tcPr>
            <w:tcW w:w="8645" w:type="dxa"/>
            <w:tcBorders>
              <w:top w:val="single" w:color="auto" w:sz="4" w:space="0"/>
              <w:left w:val="single" w:color="auto" w:sz="4" w:space="0"/>
              <w:bottom w:val="single" w:color="auto" w:sz="4" w:space="0"/>
              <w:right w:val="single" w:color="auto" w:sz="8" w:space="0"/>
            </w:tcBorders>
            <w:vAlign w:val="center"/>
          </w:tcPr>
          <w:p>
            <w:pPr>
              <w:widowControl/>
              <w:autoSpaceDE/>
              <w:autoSpaceDN/>
              <w:adjustRightInd/>
              <w:spacing w:line="240" w:lineRule="exact"/>
              <w:jc w:val="left"/>
              <w:textAlignment w:val="auto"/>
              <w:rPr>
                <w:rFonts w:cs="宋体" w:asciiTheme="minorEastAsia" w:hAnsiTheme="minorEastAsia"/>
                <w:kern w:val="2"/>
                <w:sz w:val="20"/>
                <w:szCs w:val="20"/>
              </w:rPr>
            </w:pPr>
            <w:r>
              <w:rPr>
                <w:rFonts w:hint="eastAsia" w:cs="宋体" w:asciiTheme="minorEastAsia" w:hAnsiTheme="minorEastAsia"/>
                <w:snapToGrid w:val="0"/>
                <w:kern w:val="2"/>
                <w:sz w:val="20"/>
                <w:szCs w:val="20"/>
              </w:rPr>
              <w:t>项目安全员、质量员和施工员必须持有省级及以上水利行政主管部门颁发或认可的上岗证。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668" w:type="dxa"/>
            <w:tcBorders>
              <w:top w:val="single" w:color="auto" w:sz="4" w:space="0"/>
              <w:left w:val="single" w:color="auto" w:sz="8" w:space="0"/>
              <w:bottom w:val="single" w:color="auto" w:sz="4" w:space="0"/>
              <w:right w:val="single" w:color="auto" w:sz="4" w:space="0"/>
            </w:tcBorders>
            <w:vAlign w:val="center"/>
          </w:tcPr>
          <w:p>
            <w:pPr>
              <w:widowControl/>
              <w:autoSpaceDE/>
              <w:autoSpaceDN/>
              <w:adjustRightInd/>
              <w:spacing w:line="240" w:lineRule="exact"/>
              <w:jc w:val="center"/>
              <w:textAlignment w:val="auto"/>
              <w:rPr>
                <w:rFonts w:cs="宋体" w:asciiTheme="minorEastAsia" w:hAnsiTheme="minorEastAsia"/>
                <w:snapToGrid w:val="0"/>
                <w:kern w:val="2"/>
                <w:sz w:val="20"/>
                <w:szCs w:val="20"/>
              </w:rPr>
            </w:pPr>
            <w:r>
              <w:rPr>
                <w:rFonts w:hint="eastAsia" w:cs="宋体" w:asciiTheme="minorEastAsia" w:hAnsiTheme="minorEastAsia"/>
                <w:snapToGrid w:val="0"/>
                <w:kern w:val="2"/>
                <w:sz w:val="20"/>
                <w:szCs w:val="20"/>
              </w:rPr>
              <w:t>6</w:t>
            </w:r>
          </w:p>
        </w:tc>
        <w:tc>
          <w:tcPr>
            <w:tcW w:w="8645" w:type="dxa"/>
            <w:tcBorders>
              <w:top w:val="single" w:color="auto" w:sz="4" w:space="0"/>
              <w:left w:val="single" w:color="auto" w:sz="4" w:space="0"/>
              <w:bottom w:val="single" w:color="auto" w:sz="4" w:space="0"/>
              <w:right w:val="single" w:color="auto" w:sz="8" w:space="0"/>
            </w:tcBorders>
            <w:vAlign w:val="center"/>
          </w:tcPr>
          <w:p>
            <w:pPr>
              <w:widowControl/>
              <w:autoSpaceDE/>
              <w:autoSpaceDN/>
              <w:adjustRightInd/>
              <w:spacing w:line="240" w:lineRule="exact"/>
              <w:jc w:val="left"/>
              <w:textAlignment w:val="auto"/>
              <w:rPr>
                <w:rFonts w:cs="宋体" w:asciiTheme="minorEastAsia" w:hAnsiTheme="minorEastAsia"/>
                <w:snapToGrid w:val="0"/>
                <w:kern w:val="2"/>
                <w:sz w:val="20"/>
                <w:szCs w:val="20"/>
              </w:rPr>
            </w:pPr>
            <w:r>
              <w:rPr>
                <w:rFonts w:asciiTheme="minorEastAsia" w:hAnsiTheme="minorEastAsia"/>
                <w:b/>
                <w:snapToGrid w:val="0"/>
                <w:kern w:val="2"/>
                <w:sz w:val="20"/>
                <w:szCs w:val="20"/>
              </w:rPr>
              <w:t>项目负责人、技术负责人两个岗位不得相互兼任</w:t>
            </w:r>
            <w:r>
              <w:rPr>
                <w:rFonts w:hint="eastAsia" w:asciiTheme="minorEastAsia" w:hAnsiTheme="minorEastAsia"/>
                <w:b/>
                <w:snapToGrid w:val="0"/>
                <w:kern w:val="2"/>
                <w:sz w:val="20"/>
                <w:szCs w:val="20"/>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668" w:type="dxa"/>
            <w:tcBorders>
              <w:top w:val="single" w:color="auto" w:sz="4" w:space="0"/>
              <w:left w:val="single" w:color="auto" w:sz="8" w:space="0"/>
              <w:bottom w:val="single" w:color="auto" w:sz="4" w:space="0"/>
              <w:right w:val="single" w:color="auto" w:sz="4" w:space="0"/>
            </w:tcBorders>
            <w:vAlign w:val="center"/>
          </w:tcPr>
          <w:p>
            <w:pPr>
              <w:widowControl/>
              <w:autoSpaceDE/>
              <w:autoSpaceDN/>
              <w:adjustRightInd/>
              <w:spacing w:line="240" w:lineRule="exact"/>
              <w:jc w:val="center"/>
              <w:textAlignment w:val="auto"/>
              <w:rPr>
                <w:rFonts w:cs="宋体" w:asciiTheme="minorEastAsia" w:hAnsiTheme="minorEastAsia"/>
                <w:kern w:val="2"/>
                <w:sz w:val="20"/>
                <w:szCs w:val="20"/>
              </w:rPr>
            </w:pPr>
            <w:r>
              <w:rPr>
                <w:rFonts w:hint="eastAsia" w:cs="宋体" w:asciiTheme="minorEastAsia" w:hAnsiTheme="minorEastAsia"/>
                <w:snapToGrid w:val="0"/>
                <w:kern w:val="2"/>
                <w:sz w:val="20"/>
                <w:szCs w:val="20"/>
              </w:rPr>
              <w:t>三</w:t>
            </w:r>
          </w:p>
        </w:tc>
        <w:tc>
          <w:tcPr>
            <w:tcW w:w="8645" w:type="dxa"/>
            <w:tcBorders>
              <w:top w:val="single" w:color="auto" w:sz="4" w:space="0"/>
              <w:left w:val="single" w:color="auto" w:sz="4" w:space="0"/>
              <w:bottom w:val="single" w:color="auto" w:sz="4" w:space="0"/>
              <w:right w:val="single" w:color="auto" w:sz="8" w:space="0"/>
            </w:tcBorders>
            <w:vAlign w:val="center"/>
          </w:tcPr>
          <w:p>
            <w:pPr>
              <w:widowControl/>
              <w:autoSpaceDE/>
              <w:autoSpaceDN/>
              <w:adjustRightInd/>
              <w:snapToGrid w:val="0"/>
              <w:spacing w:line="240" w:lineRule="exact"/>
              <w:jc w:val="left"/>
              <w:textAlignment w:val="auto"/>
              <w:rPr>
                <w:rFonts w:cs="宋体" w:asciiTheme="minorEastAsia" w:hAnsiTheme="minorEastAsia"/>
                <w:kern w:val="2"/>
                <w:sz w:val="20"/>
                <w:szCs w:val="20"/>
              </w:rPr>
            </w:pPr>
            <w:r>
              <w:rPr>
                <w:rFonts w:hint="eastAsia" w:cs="宋体" w:asciiTheme="minorEastAsia" w:hAnsiTheme="minorEastAsia"/>
                <w:snapToGrid w:val="0"/>
                <w:kern w:val="2"/>
                <w:sz w:val="20"/>
                <w:szCs w:val="20"/>
              </w:rPr>
              <w:t>其它</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98" w:hRule="atLeast"/>
        </w:trPr>
        <w:tc>
          <w:tcPr>
            <w:tcW w:w="668" w:type="dxa"/>
            <w:tcBorders>
              <w:top w:val="single" w:color="auto" w:sz="4" w:space="0"/>
              <w:left w:val="single" w:color="auto" w:sz="8" w:space="0"/>
              <w:bottom w:val="single" w:color="auto" w:sz="4" w:space="0"/>
              <w:right w:val="single" w:color="auto" w:sz="4" w:space="0"/>
            </w:tcBorders>
            <w:vAlign w:val="center"/>
          </w:tcPr>
          <w:p>
            <w:pPr>
              <w:widowControl/>
              <w:autoSpaceDE/>
              <w:autoSpaceDN/>
              <w:adjustRightInd/>
              <w:spacing w:line="240" w:lineRule="exact"/>
              <w:jc w:val="center"/>
              <w:textAlignment w:val="auto"/>
              <w:rPr>
                <w:rFonts w:cs="宋体" w:asciiTheme="minorEastAsia" w:hAnsiTheme="minorEastAsia"/>
                <w:kern w:val="2"/>
                <w:sz w:val="20"/>
                <w:szCs w:val="20"/>
              </w:rPr>
            </w:pPr>
            <w:r>
              <w:rPr>
                <w:rFonts w:hint="eastAsia" w:cs="宋体" w:asciiTheme="minorEastAsia" w:hAnsiTheme="minorEastAsia"/>
                <w:snapToGrid w:val="0"/>
                <w:kern w:val="2"/>
                <w:sz w:val="20"/>
                <w:szCs w:val="20"/>
              </w:rPr>
              <w:t>1</w:t>
            </w:r>
          </w:p>
        </w:tc>
        <w:tc>
          <w:tcPr>
            <w:tcW w:w="8645" w:type="dxa"/>
            <w:tcBorders>
              <w:top w:val="single" w:color="auto" w:sz="4" w:space="0"/>
              <w:left w:val="single" w:color="auto" w:sz="4" w:space="0"/>
              <w:bottom w:val="single" w:color="auto" w:sz="4" w:space="0"/>
              <w:right w:val="single" w:color="auto" w:sz="8" w:space="0"/>
            </w:tcBorders>
            <w:vAlign w:val="center"/>
          </w:tcPr>
          <w:p>
            <w:pPr>
              <w:widowControl/>
              <w:autoSpaceDE/>
              <w:autoSpaceDN/>
              <w:adjustRightInd/>
              <w:snapToGrid w:val="0"/>
              <w:spacing w:line="240" w:lineRule="exact"/>
              <w:jc w:val="left"/>
              <w:textAlignment w:val="auto"/>
              <w:rPr>
                <w:rFonts w:cs="宋体" w:asciiTheme="minorEastAsia" w:hAnsiTheme="minorEastAsia"/>
                <w:kern w:val="2"/>
                <w:sz w:val="20"/>
                <w:szCs w:val="20"/>
              </w:rPr>
            </w:pPr>
            <w:r>
              <w:rPr>
                <w:rFonts w:hint="eastAsia" w:cs="宋体" w:asciiTheme="minorEastAsia" w:hAnsiTheme="minorEastAsia"/>
                <w:color w:val="3D3D3D"/>
                <w:kern w:val="2"/>
                <w:sz w:val="20"/>
                <w:szCs w:val="20"/>
                <w:shd w:val="clear" w:color="auto" w:fill="FFFFFF"/>
              </w:rPr>
              <w:t>竞包人的“三类人员”（企业主要负责人、项目负责人、专职安全生产管理人员）必须持有省级及以上水利行政主管部门颁发的安全生产考核合格证书（A、B、C证），企业主要负责人是指企业法定代表人、企业总经理、企业技术负责人、企业分管安全生产的副经理；其中企业分管安全生产的副总经理应有任命文件；专职安全生产管理人员不少于1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668" w:type="dxa"/>
            <w:tcBorders>
              <w:top w:val="single" w:color="auto" w:sz="4" w:space="0"/>
              <w:left w:val="single" w:color="auto" w:sz="8" w:space="0"/>
              <w:bottom w:val="single" w:color="auto" w:sz="4" w:space="0"/>
              <w:right w:val="single" w:color="auto" w:sz="4" w:space="0"/>
            </w:tcBorders>
            <w:vAlign w:val="center"/>
          </w:tcPr>
          <w:p>
            <w:pPr>
              <w:widowControl/>
              <w:autoSpaceDE/>
              <w:autoSpaceDN/>
              <w:adjustRightInd/>
              <w:spacing w:line="240" w:lineRule="exact"/>
              <w:jc w:val="center"/>
              <w:textAlignment w:val="auto"/>
              <w:rPr>
                <w:rFonts w:cs="宋体" w:asciiTheme="minorEastAsia" w:hAnsiTheme="minorEastAsia"/>
                <w:snapToGrid w:val="0"/>
                <w:kern w:val="2"/>
                <w:sz w:val="20"/>
                <w:szCs w:val="20"/>
              </w:rPr>
            </w:pPr>
            <w:r>
              <w:rPr>
                <w:rFonts w:hint="eastAsia" w:cs="宋体" w:asciiTheme="minorEastAsia" w:hAnsiTheme="minorEastAsia"/>
                <w:snapToGrid w:val="0"/>
                <w:kern w:val="2"/>
                <w:sz w:val="20"/>
                <w:szCs w:val="20"/>
              </w:rPr>
              <w:t>2</w:t>
            </w:r>
          </w:p>
        </w:tc>
        <w:tc>
          <w:tcPr>
            <w:tcW w:w="8645" w:type="dxa"/>
            <w:tcBorders>
              <w:top w:val="single" w:color="auto" w:sz="4" w:space="0"/>
              <w:left w:val="single" w:color="auto" w:sz="4" w:space="0"/>
              <w:bottom w:val="single" w:color="auto" w:sz="4" w:space="0"/>
              <w:right w:val="single" w:color="auto" w:sz="8" w:space="0"/>
            </w:tcBorders>
            <w:vAlign w:val="center"/>
          </w:tcPr>
          <w:p>
            <w:pPr>
              <w:widowControl/>
              <w:autoSpaceDE/>
              <w:autoSpaceDN/>
              <w:adjustRightInd/>
              <w:snapToGrid w:val="0"/>
              <w:spacing w:line="240" w:lineRule="exact"/>
              <w:jc w:val="left"/>
              <w:textAlignment w:val="auto"/>
              <w:rPr>
                <w:rFonts w:cs="宋体" w:asciiTheme="minorEastAsia" w:hAnsiTheme="minorEastAsia"/>
                <w:snapToGrid w:val="0"/>
                <w:kern w:val="2"/>
                <w:sz w:val="20"/>
                <w:szCs w:val="20"/>
              </w:rPr>
            </w:pPr>
            <w:r>
              <w:rPr>
                <w:rFonts w:asciiTheme="minorEastAsia" w:hAnsiTheme="minorEastAsia"/>
                <w:b/>
                <w:snapToGrid w:val="0"/>
                <w:kern w:val="2"/>
                <w:sz w:val="20"/>
                <w:szCs w:val="20"/>
              </w:rPr>
              <w:t>专职安全生产管理人员</w:t>
            </w:r>
            <w:r>
              <w:rPr>
                <w:rFonts w:hint="eastAsia" w:asciiTheme="minorEastAsia" w:hAnsiTheme="minorEastAsia"/>
                <w:b/>
                <w:snapToGrid w:val="0"/>
                <w:kern w:val="2"/>
                <w:sz w:val="20"/>
                <w:szCs w:val="20"/>
              </w:rPr>
              <w:t>与安全员</w:t>
            </w:r>
            <w:r>
              <w:rPr>
                <w:rFonts w:asciiTheme="minorEastAsia" w:hAnsiTheme="minorEastAsia"/>
                <w:b/>
                <w:snapToGrid w:val="0"/>
                <w:kern w:val="2"/>
                <w:sz w:val="20"/>
                <w:szCs w:val="20"/>
              </w:rPr>
              <w:t>不得相互兼任</w:t>
            </w:r>
            <w:r>
              <w:rPr>
                <w:rFonts w:hint="eastAsia" w:asciiTheme="minorEastAsia" w:hAnsiTheme="minorEastAsia"/>
                <w:b/>
                <w:snapToGrid w:val="0"/>
                <w:kern w:val="2"/>
                <w:sz w:val="20"/>
                <w:szCs w:val="20"/>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09" w:hRule="atLeast"/>
        </w:trPr>
        <w:tc>
          <w:tcPr>
            <w:tcW w:w="668" w:type="dxa"/>
            <w:tcBorders>
              <w:top w:val="single" w:color="auto" w:sz="4" w:space="0"/>
              <w:left w:val="single" w:color="auto" w:sz="8" w:space="0"/>
              <w:bottom w:val="single" w:color="auto" w:sz="4" w:space="0"/>
              <w:right w:val="single" w:color="auto" w:sz="4" w:space="0"/>
            </w:tcBorders>
            <w:vAlign w:val="center"/>
          </w:tcPr>
          <w:p>
            <w:pPr>
              <w:widowControl/>
              <w:autoSpaceDE/>
              <w:autoSpaceDN/>
              <w:adjustRightInd/>
              <w:spacing w:line="240" w:lineRule="exact"/>
              <w:jc w:val="center"/>
              <w:textAlignment w:val="auto"/>
              <w:rPr>
                <w:rFonts w:cs="宋体" w:asciiTheme="minorEastAsia" w:hAnsiTheme="minorEastAsia"/>
                <w:kern w:val="2"/>
                <w:sz w:val="20"/>
                <w:szCs w:val="20"/>
              </w:rPr>
            </w:pPr>
            <w:r>
              <w:rPr>
                <w:rFonts w:hint="eastAsia" w:cs="宋体" w:asciiTheme="minorEastAsia" w:hAnsiTheme="minorEastAsia"/>
                <w:snapToGrid w:val="0"/>
                <w:kern w:val="2"/>
                <w:sz w:val="20"/>
                <w:szCs w:val="20"/>
              </w:rPr>
              <w:t>3</w:t>
            </w:r>
          </w:p>
        </w:tc>
        <w:tc>
          <w:tcPr>
            <w:tcW w:w="8645" w:type="dxa"/>
            <w:tcBorders>
              <w:top w:val="single" w:color="auto" w:sz="4" w:space="0"/>
              <w:left w:val="single" w:color="auto" w:sz="4" w:space="0"/>
              <w:bottom w:val="single" w:color="auto" w:sz="4" w:space="0"/>
              <w:right w:val="single" w:color="auto" w:sz="8" w:space="0"/>
            </w:tcBorders>
            <w:vAlign w:val="center"/>
          </w:tcPr>
          <w:p>
            <w:pPr>
              <w:widowControl/>
              <w:autoSpaceDE/>
              <w:autoSpaceDN/>
              <w:adjustRightInd/>
              <w:snapToGrid w:val="0"/>
              <w:spacing w:line="240" w:lineRule="exact"/>
              <w:jc w:val="left"/>
              <w:textAlignment w:val="auto"/>
              <w:rPr>
                <w:rFonts w:cs="宋体" w:asciiTheme="minorEastAsia" w:hAnsiTheme="minorEastAsia"/>
                <w:kern w:val="2"/>
                <w:sz w:val="20"/>
                <w:szCs w:val="20"/>
              </w:rPr>
            </w:pPr>
            <w:r>
              <w:rPr>
                <w:rFonts w:hint="eastAsia" w:cs="宋体" w:asciiTheme="minorEastAsia" w:hAnsiTheme="minorEastAsia"/>
                <w:snapToGrid w:val="0"/>
                <w:kern w:val="2"/>
                <w:sz w:val="20"/>
                <w:szCs w:val="20"/>
              </w:rPr>
              <w:t>拟派项目组主要人员（指项目负责人、项目技术负责人、专职安全生产管理人员、安全员、质量员、施工员，下同）必须已在 “浙江省水利建设市场信息平台”上公示，外地进浙施工企业的委托代理人必须是在“浙江省水利建设市场信息平台”上已经公示的授权</w:t>
            </w:r>
            <w:r>
              <w:rPr>
                <w:rFonts w:hint="eastAsia" w:cs="宋体" w:asciiTheme="minorEastAsia" w:hAnsiTheme="minorEastAsia"/>
                <w:snapToGrid w:val="0"/>
                <w:kern w:val="2"/>
                <w:sz w:val="20"/>
                <w:szCs w:val="20"/>
                <w:lang w:eastAsia="zh-CN"/>
              </w:rPr>
              <w:t>代理</w:t>
            </w:r>
            <w:r>
              <w:rPr>
                <w:rFonts w:hint="eastAsia" w:cs="宋体" w:asciiTheme="minorEastAsia" w:hAnsiTheme="minorEastAsia"/>
                <w:snapToGrid w:val="0"/>
                <w:kern w:val="2"/>
                <w:sz w:val="20"/>
                <w:szCs w:val="20"/>
              </w:rPr>
              <w:t>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44" w:hRule="atLeast"/>
        </w:trPr>
        <w:tc>
          <w:tcPr>
            <w:tcW w:w="668" w:type="dxa"/>
            <w:tcBorders>
              <w:top w:val="single" w:color="auto" w:sz="4" w:space="0"/>
              <w:left w:val="single" w:color="auto" w:sz="8" w:space="0"/>
              <w:bottom w:val="single" w:color="auto" w:sz="4" w:space="0"/>
              <w:right w:val="single" w:color="auto" w:sz="4" w:space="0"/>
            </w:tcBorders>
            <w:vAlign w:val="center"/>
          </w:tcPr>
          <w:p>
            <w:pPr>
              <w:widowControl/>
              <w:autoSpaceDE/>
              <w:autoSpaceDN/>
              <w:adjustRightInd/>
              <w:spacing w:line="240" w:lineRule="exact"/>
              <w:jc w:val="center"/>
              <w:textAlignment w:val="auto"/>
              <w:rPr>
                <w:rFonts w:cs="宋体" w:asciiTheme="minorEastAsia" w:hAnsiTheme="minorEastAsia"/>
                <w:kern w:val="2"/>
                <w:sz w:val="20"/>
                <w:szCs w:val="20"/>
              </w:rPr>
            </w:pPr>
            <w:r>
              <w:rPr>
                <w:rFonts w:hint="eastAsia" w:cs="宋体" w:asciiTheme="minorEastAsia" w:hAnsiTheme="minorEastAsia"/>
                <w:snapToGrid w:val="0"/>
                <w:kern w:val="2"/>
                <w:sz w:val="20"/>
                <w:szCs w:val="20"/>
              </w:rPr>
              <w:t>4</w:t>
            </w:r>
          </w:p>
        </w:tc>
        <w:tc>
          <w:tcPr>
            <w:tcW w:w="8645" w:type="dxa"/>
            <w:tcBorders>
              <w:top w:val="single" w:color="auto" w:sz="4" w:space="0"/>
              <w:left w:val="single" w:color="auto" w:sz="4" w:space="0"/>
              <w:bottom w:val="single" w:color="auto" w:sz="4" w:space="0"/>
              <w:right w:val="single" w:color="auto" w:sz="8" w:space="0"/>
            </w:tcBorders>
            <w:vAlign w:val="center"/>
          </w:tcPr>
          <w:p>
            <w:pPr>
              <w:widowControl/>
              <w:autoSpaceDE/>
              <w:autoSpaceDN/>
              <w:adjustRightInd/>
              <w:snapToGrid w:val="0"/>
              <w:spacing w:line="240" w:lineRule="exact"/>
              <w:jc w:val="left"/>
              <w:textAlignment w:val="auto"/>
              <w:rPr>
                <w:rFonts w:cs="宋体" w:asciiTheme="minorEastAsia" w:hAnsiTheme="minorEastAsia"/>
                <w:kern w:val="2"/>
                <w:sz w:val="20"/>
                <w:szCs w:val="20"/>
              </w:rPr>
            </w:pPr>
            <w:r>
              <w:rPr>
                <w:rFonts w:hint="eastAsia" w:cs="宋体" w:asciiTheme="minorEastAsia" w:hAnsiTheme="minorEastAsia"/>
                <w:snapToGrid w:val="0"/>
                <w:kern w:val="2"/>
                <w:sz w:val="20"/>
                <w:szCs w:val="20"/>
              </w:rPr>
              <w:t>授权</w:t>
            </w:r>
            <w:r>
              <w:rPr>
                <w:rFonts w:hint="eastAsia" w:cs="宋体" w:asciiTheme="minorEastAsia" w:hAnsiTheme="minorEastAsia"/>
                <w:snapToGrid w:val="0"/>
                <w:kern w:val="2"/>
                <w:sz w:val="20"/>
                <w:szCs w:val="20"/>
                <w:lang w:eastAsia="zh-CN"/>
              </w:rPr>
              <w:t>代理</w:t>
            </w:r>
            <w:r>
              <w:rPr>
                <w:rFonts w:hint="eastAsia" w:cs="宋体" w:asciiTheme="minorEastAsia" w:hAnsiTheme="minorEastAsia"/>
                <w:snapToGrid w:val="0"/>
                <w:kern w:val="2"/>
                <w:sz w:val="20"/>
                <w:szCs w:val="20"/>
              </w:rPr>
              <w:t>人及拟派项目组主要人员应为竞包人本单位正式员工，均须提供</w:t>
            </w:r>
            <w:r>
              <w:rPr>
                <w:rFonts w:hint="eastAsia" w:asciiTheme="minorEastAsia" w:hAnsiTheme="minorEastAsia"/>
                <w:b/>
                <w:snapToGrid w:val="0"/>
                <w:kern w:val="2"/>
                <w:sz w:val="20"/>
                <w:szCs w:val="20"/>
              </w:rPr>
              <w:t>连续</w:t>
            </w:r>
            <w:r>
              <w:rPr>
                <w:rFonts w:hint="eastAsia" w:cs="宋体" w:asciiTheme="minorEastAsia" w:hAnsiTheme="minorEastAsia"/>
                <w:snapToGrid w:val="0"/>
                <w:kern w:val="2"/>
                <w:sz w:val="20"/>
                <w:szCs w:val="20"/>
              </w:rPr>
              <w:t>近3个月出具社保缴费证明（并加盖缴费证明专用章）</w:t>
            </w:r>
            <w:r>
              <w:rPr>
                <w:rFonts w:hint="eastAsia" w:cs="宋体" w:asciiTheme="minorEastAsia" w:hAnsiTheme="minorEastAsia"/>
                <w:b/>
                <w:bCs/>
                <w:snapToGrid w:val="0"/>
                <w:kern w:val="2"/>
                <w:sz w:val="20"/>
                <w:szCs w:val="20"/>
              </w:rPr>
              <w:t>（注：社保机构出具的由本单位或分公司为其缴纳的连续近3 个月（自2020年</w:t>
            </w:r>
            <w:r>
              <w:rPr>
                <w:rFonts w:hint="eastAsia" w:cs="宋体" w:asciiTheme="minorEastAsia" w:hAnsiTheme="minorEastAsia"/>
                <w:b/>
                <w:bCs/>
                <w:snapToGrid w:val="0"/>
                <w:kern w:val="2"/>
                <w:sz w:val="20"/>
                <w:szCs w:val="20"/>
                <w:lang w:val="en-US" w:eastAsia="zh-CN"/>
              </w:rPr>
              <w:t>6</w:t>
            </w:r>
            <w:r>
              <w:rPr>
                <w:rFonts w:hint="eastAsia" w:cs="宋体" w:asciiTheme="minorEastAsia" w:hAnsiTheme="minorEastAsia"/>
                <w:b/>
                <w:bCs/>
                <w:snapToGrid w:val="0"/>
                <w:kern w:val="2"/>
                <w:sz w:val="20"/>
                <w:szCs w:val="20"/>
              </w:rPr>
              <w:t>月1日起）的社保证明，提供汇总表的，为方便查找，请打“√”标明）。</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44" w:hRule="atLeast"/>
        </w:trPr>
        <w:tc>
          <w:tcPr>
            <w:tcW w:w="668" w:type="dxa"/>
            <w:tcBorders>
              <w:top w:val="single" w:color="auto" w:sz="4" w:space="0"/>
              <w:left w:val="single" w:color="auto" w:sz="8" w:space="0"/>
              <w:bottom w:val="single" w:color="auto" w:sz="4" w:space="0"/>
              <w:right w:val="single" w:color="auto" w:sz="4" w:space="0"/>
            </w:tcBorders>
            <w:vAlign w:val="center"/>
          </w:tcPr>
          <w:p>
            <w:pPr>
              <w:widowControl/>
              <w:autoSpaceDE/>
              <w:autoSpaceDN/>
              <w:adjustRightInd/>
              <w:spacing w:line="240" w:lineRule="exact"/>
              <w:jc w:val="center"/>
              <w:textAlignment w:val="auto"/>
              <w:rPr>
                <w:rFonts w:cs="宋体" w:asciiTheme="minorEastAsia" w:hAnsiTheme="minorEastAsia"/>
                <w:snapToGrid w:val="0"/>
                <w:kern w:val="2"/>
                <w:sz w:val="20"/>
                <w:szCs w:val="20"/>
              </w:rPr>
            </w:pPr>
            <w:r>
              <w:rPr>
                <w:rFonts w:hint="eastAsia" w:cs="宋体" w:asciiTheme="minorEastAsia" w:hAnsiTheme="minorEastAsia"/>
                <w:snapToGrid w:val="0"/>
                <w:kern w:val="2"/>
                <w:sz w:val="20"/>
                <w:szCs w:val="20"/>
              </w:rPr>
              <w:t>5</w:t>
            </w:r>
          </w:p>
        </w:tc>
        <w:tc>
          <w:tcPr>
            <w:tcW w:w="8645" w:type="dxa"/>
            <w:tcBorders>
              <w:top w:val="single" w:color="auto" w:sz="4" w:space="0"/>
              <w:left w:val="single" w:color="auto" w:sz="4" w:space="0"/>
              <w:bottom w:val="single" w:color="auto" w:sz="4" w:space="0"/>
              <w:right w:val="single" w:color="auto" w:sz="8" w:space="0"/>
            </w:tcBorders>
            <w:vAlign w:val="center"/>
          </w:tcPr>
          <w:p>
            <w:pPr>
              <w:widowControl/>
              <w:autoSpaceDE/>
              <w:autoSpaceDN/>
              <w:adjustRightInd/>
              <w:snapToGrid w:val="0"/>
              <w:spacing w:line="240" w:lineRule="exact"/>
              <w:jc w:val="left"/>
              <w:textAlignment w:val="auto"/>
              <w:rPr>
                <w:rFonts w:cs="宋体" w:asciiTheme="minorEastAsia" w:hAnsiTheme="minorEastAsia"/>
                <w:snapToGrid w:val="0"/>
                <w:kern w:val="2"/>
                <w:sz w:val="20"/>
                <w:szCs w:val="20"/>
              </w:rPr>
            </w:pPr>
            <w:r>
              <w:rPr>
                <w:rFonts w:hint="eastAsia" w:cs="宋体" w:asciiTheme="minorEastAsia" w:hAnsiTheme="minorEastAsia"/>
                <w:kern w:val="2"/>
                <w:sz w:val="20"/>
                <w:szCs w:val="20"/>
              </w:rPr>
              <w:t>本工程拒绝竞包人及其相关人员在工程建设招投标（发竞包）活动中出现串通投标（竞包）、弄虚作假行为，或在中标（承包）后履约中出现转包、违法分包行为，或发生与工程建设相关的较大工程质量事故、安全事故受到行政处罚且在处罚有效期内（无有效期的按一年计）的参与本项目竞包。</w:t>
            </w:r>
          </w:p>
        </w:tc>
      </w:tr>
    </w:tbl>
    <w:p>
      <w:pPr>
        <w:pStyle w:val="6"/>
        <w:jc w:val="both"/>
        <w:rPr>
          <w:rFonts w:ascii="宋体" w:hAnsi="宋体" w:eastAsia="宋体"/>
          <w:snapToGrid w:val="0"/>
          <w:sz w:val="28"/>
          <w:szCs w:val="28"/>
        </w:rPr>
      </w:pPr>
    </w:p>
    <w:p>
      <w:pPr>
        <w:pStyle w:val="6"/>
        <w:jc w:val="center"/>
        <w:rPr>
          <w:rFonts w:ascii="宋体" w:hAnsi="宋体"/>
          <w:b w:val="0"/>
          <w:bCs/>
          <w:sz w:val="28"/>
          <w:szCs w:val="28"/>
        </w:rPr>
      </w:pPr>
      <w:bookmarkStart w:id="21" w:name="_Toc2275"/>
      <w:r>
        <w:rPr>
          <w:rFonts w:ascii="宋体" w:hAnsi="宋体" w:eastAsia="宋体"/>
          <w:snapToGrid w:val="0"/>
          <w:sz w:val="28"/>
          <w:szCs w:val="28"/>
        </w:rPr>
        <w:t xml:space="preserve">第二章 </w:t>
      </w:r>
      <w:r>
        <w:rPr>
          <w:rFonts w:hint="eastAsia" w:ascii="宋体" w:hAnsi="宋体" w:eastAsia="宋体"/>
          <w:snapToGrid w:val="0"/>
          <w:sz w:val="28"/>
          <w:szCs w:val="28"/>
        </w:rPr>
        <w:t>竞包人</w:t>
      </w:r>
      <w:r>
        <w:rPr>
          <w:rFonts w:ascii="宋体" w:hAnsi="宋体" w:eastAsia="宋体"/>
          <w:snapToGrid w:val="0"/>
          <w:sz w:val="28"/>
          <w:szCs w:val="28"/>
        </w:rPr>
        <w:t>须知</w:t>
      </w:r>
      <w:bookmarkEnd w:id="15"/>
      <w:bookmarkEnd w:id="16"/>
      <w:bookmarkEnd w:id="17"/>
      <w:bookmarkEnd w:id="18"/>
      <w:bookmarkEnd w:id="21"/>
    </w:p>
    <w:p>
      <w:pPr>
        <w:pStyle w:val="6"/>
        <w:jc w:val="center"/>
        <w:rPr>
          <w:rFonts w:ascii="宋体" w:hAnsi="宋体"/>
          <w:b w:val="0"/>
          <w:bCs/>
          <w:sz w:val="28"/>
          <w:szCs w:val="28"/>
        </w:rPr>
      </w:pPr>
      <w:bookmarkStart w:id="22" w:name="_Toc9198"/>
      <w:r>
        <w:rPr>
          <w:rFonts w:hint="eastAsia" w:ascii="宋体" w:hAnsi="宋体" w:eastAsia="宋体"/>
          <w:snapToGrid w:val="0"/>
        </w:rPr>
        <w:t>竞包人须知前附表</w:t>
      </w:r>
      <w:bookmarkEnd w:id="22"/>
    </w:p>
    <w:tbl>
      <w:tblPr>
        <w:tblStyle w:val="24"/>
        <w:tblW w:w="8836" w:type="dxa"/>
        <w:tblInd w:w="108"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76"/>
        <w:gridCol w:w="2280"/>
        <w:gridCol w:w="568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876" w:type="dxa"/>
            <w:vAlign w:val="center"/>
          </w:tcPr>
          <w:p>
            <w:pPr>
              <w:tabs>
                <w:tab w:val="left" w:pos="10324"/>
              </w:tabs>
              <w:spacing w:line="240" w:lineRule="exact"/>
              <w:jc w:val="center"/>
              <w:rPr>
                <w:rFonts w:ascii="宋体" w:hAnsi="宋体"/>
                <w:snapToGrid w:val="0"/>
                <w:kern w:val="2"/>
                <w:sz w:val="20"/>
              </w:rPr>
            </w:pPr>
            <w:r>
              <w:rPr>
                <w:rFonts w:ascii="宋体" w:hAnsi="宋体"/>
                <w:snapToGrid w:val="0"/>
                <w:kern w:val="2"/>
                <w:sz w:val="20"/>
              </w:rPr>
              <w:t>条款号</w:t>
            </w:r>
          </w:p>
        </w:tc>
        <w:tc>
          <w:tcPr>
            <w:tcW w:w="2280" w:type="dxa"/>
            <w:vAlign w:val="center"/>
          </w:tcPr>
          <w:p>
            <w:pPr>
              <w:tabs>
                <w:tab w:val="left" w:pos="5081"/>
                <w:tab w:val="left" w:pos="10324"/>
              </w:tabs>
              <w:spacing w:line="240" w:lineRule="exact"/>
              <w:jc w:val="center"/>
              <w:rPr>
                <w:rFonts w:ascii="宋体" w:hAnsi="宋体"/>
                <w:snapToGrid w:val="0"/>
                <w:kern w:val="2"/>
                <w:sz w:val="20"/>
              </w:rPr>
            </w:pPr>
            <w:r>
              <w:rPr>
                <w:rFonts w:ascii="宋体" w:hAnsi="宋体"/>
                <w:snapToGrid w:val="0"/>
                <w:kern w:val="2"/>
                <w:sz w:val="20"/>
              </w:rPr>
              <w:t>条款名称</w:t>
            </w:r>
          </w:p>
        </w:tc>
        <w:tc>
          <w:tcPr>
            <w:tcW w:w="5680" w:type="dxa"/>
            <w:vAlign w:val="center"/>
          </w:tcPr>
          <w:p>
            <w:pPr>
              <w:tabs>
                <w:tab w:val="left" w:pos="-7368"/>
                <w:tab w:val="left" w:pos="10324"/>
              </w:tabs>
              <w:spacing w:line="240" w:lineRule="exact"/>
              <w:jc w:val="center"/>
              <w:rPr>
                <w:rFonts w:ascii="宋体" w:hAnsi="宋体"/>
                <w:snapToGrid w:val="0"/>
                <w:kern w:val="2"/>
                <w:sz w:val="20"/>
              </w:rPr>
            </w:pPr>
            <w:r>
              <w:rPr>
                <w:rFonts w:ascii="宋体" w:hAnsi="宋体"/>
                <w:snapToGrid w:val="0"/>
                <w:kern w:val="2"/>
                <w:sz w:val="20"/>
              </w:rPr>
              <w:t>编列内容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40" w:hRule="atLeast"/>
        </w:trPr>
        <w:tc>
          <w:tcPr>
            <w:tcW w:w="876" w:type="dxa"/>
            <w:vAlign w:val="center"/>
          </w:tcPr>
          <w:p>
            <w:pPr>
              <w:tabs>
                <w:tab w:val="left" w:pos="10324"/>
              </w:tabs>
              <w:snapToGrid w:val="0"/>
              <w:spacing w:line="240" w:lineRule="exact"/>
              <w:rPr>
                <w:rFonts w:ascii="宋体" w:hAnsi="宋体"/>
                <w:snapToGrid w:val="0"/>
                <w:kern w:val="2"/>
                <w:sz w:val="20"/>
              </w:rPr>
            </w:pPr>
            <w:r>
              <w:rPr>
                <w:rFonts w:ascii="宋体" w:hAnsi="宋体"/>
                <w:snapToGrid w:val="0"/>
                <w:kern w:val="2"/>
                <w:sz w:val="20"/>
              </w:rPr>
              <w:t>1.1.2</w:t>
            </w:r>
          </w:p>
        </w:tc>
        <w:tc>
          <w:tcPr>
            <w:tcW w:w="2280" w:type="dxa"/>
            <w:vAlign w:val="center"/>
          </w:tcPr>
          <w:p>
            <w:pPr>
              <w:pStyle w:val="4"/>
              <w:snapToGrid w:val="0"/>
              <w:spacing w:line="240" w:lineRule="exact"/>
              <w:ind w:firstLine="0"/>
              <w:jc w:val="center"/>
              <w:rPr>
                <w:rFonts w:ascii="宋体" w:hAnsi="宋体"/>
                <w:snapToGrid w:val="0"/>
                <w:kern w:val="2"/>
                <w:sz w:val="20"/>
              </w:rPr>
            </w:pPr>
            <w:r>
              <w:rPr>
                <w:rFonts w:hint="eastAsia" w:ascii="宋体" w:hAnsi="宋体"/>
                <w:snapToGrid w:val="0"/>
                <w:kern w:val="2"/>
                <w:sz w:val="20"/>
              </w:rPr>
              <w:t>发包</w:t>
            </w:r>
            <w:r>
              <w:rPr>
                <w:rFonts w:ascii="宋体" w:hAnsi="宋体"/>
                <w:snapToGrid w:val="0"/>
                <w:kern w:val="2"/>
                <w:sz w:val="20"/>
              </w:rPr>
              <w:t>人</w:t>
            </w:r>
          </w:p>
        </w:tc>
        <w:tc>
          <w:tcPr>
            <w:tcW w:w="5680"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textAlignment w:val="baseline"/>
              <w:rPr>
                <w:rFonts w:hint="eastAsia" w:ascii="宋体" w:hAnsi="宋体" w:eastAsia="宋体" w:cs="宋体"/>
                <w:sz w:val="20"/>
                <w:szCs w:val="20"/>
                <w:lang w:eastAsia="zh-CN"/>
              </w:rPr>
            </w:pPr>
            <w:r>
              <w:rPr>
                <w:rFonts w:hint="eastAsia" w:ascii="宋体" w:hAnsi="宋体" w:eastAsia="宋体" w:cs="宋体"/>
                <w:sz w:val="20"/>
                <w:szCs w:val="20"/>
              </w:rPr>
              <w:t>名</w:t>
            </w:r>
            <w:r>
              <w:rPr>
                <w:rFonts w:hint="eastAsia" w:ascii="宋体" w:hAnsi="宋体" w:eastAsia="宋体" w:cs="宋体"/>
                <w:sz w:val="20"/>
                <w:szCs w:val="20"/>
                <w:lang w:val="en-US" w:eastAsia="zh-CN"/>
              </w:rPr>
              <w:t xml:space="preserve">  </w:t>
            </w:r>
            <w:r>
              <w:rPr>
                <w:rFonts w:hint="eastAsia" w:ascii="宋体" w:hAnsi="宋体" w:eastAsia="宋体" w:cs="宋体"/>
                <w:sz w:val="20"/>
                <w:szCs w:val="20"/>
              </w:rPr>
              <w:t>称：</w:t>
            </w:r>
            <w:r>
              <w:rPr>
                <w:rFonts w:hint="eastAsia" w:ascii="宋体" w:hAnsi="宋体" w:eastAsia="宋体" w:cs="宋体"/>
                <w:sz w:val="20"/>
                <w:szCs w:val="20"/>
                <w:lang w:eastAsia="zh-CN"/>
              </w:rPr>
              <w:t>湖州南太湖现代农业综合区开发有限公司</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baseline"/>
              <w:rPr>
                <w:rFonts w:hint="eastAsia" w:ascii="宋体" w:hAnsi="宋体" w:eastAsia="宋体" w:cs="宋体"/>
                <w:sz w:val="20"/>
                <w:szCs w:val="20"/>
              </w:rPr>
            </w:pPr>
            <w:r>
              <w:rPr>
                <w:rFonts w:hint="eastAsia" w:ascii="宋体" w:hAnsi="宋体" w:eastAsia="宋体" w:cs="宋体"/>
                <w:sz w:val="20"/>
                <w:szCs w:val="20"/>
              </w:rPr>
              <w:t>地  址：</w:t>
            </w:r>
            <w:r>
              <w:rPr>
                <w:rFonts w:hint="eastAsia" w:ascii="宋体" w:hAnsi="宋体" w:eastAsia="宋体" w:cs="宋体"/>
                <w:sz w:val="20"/>
                <w:szCs w:val="20"/>
                <w:lang w:eastAsia="zh-CN"/>
              </w:rPr>
              <w:t>湖州市南太湖高新区工业路1号</w:t>
            </w:r>
            <w:r>
              <w:rPr>
                <w:rFonts w:hint="eastAsia" w:ascii="宋体" w:hAnsi="宋体" w:eastAsia="宋体" w:cs="宋体"/>
                <w:sz w:val="20"/>
                <w:szCs w:val="20"/>
              </w:rPr>
              <w:fldChar w:fldCharType="begin"/>
            </w:r>
            <w:r>
              <w:rPr>
                <w:rFonts w:hint="eastAsia" w:ascii="宋体" w:hAnsi="宋体" w:eastAsia="宋体" w:cs="宋体"/>
                <w:sz w:val="20"/>
                <w:szCs w:val="20"/>
              </w:rPr>
              <w:instrText xml:space="preserve"> HYPERLINK "https://ditu.so.com/?type=drive&amp;src=onebox&amp;start=&amp;end=120.20306,30.81145$$湖州市吴兴区八里店镇永福村股份经济合作社" \t "https://www.so.com/_blank" </w:instrText>
            </w:r>
            <w:r>
              <w:rPr>
                <w:rFonts w:hint="eastAsia" w:ascii="宋体" w:hAnsi="宋体" w:eastAsia="宋体" w:cs="宋体"/>
                <w:sz w:val="20"/>
                <w:szCs w:val="20"/>
              </w:rPr>
              <w:fldChar w:fldCharType="separate"/>
            </w:r>
            <w:r>
              <w:rPr>
                <w:rFonts w:hint="eastAsia" w:ascii="宋体" w:hAnsi="宋体" w:eastAsia="宋体" w:cs="宋体"/>
                <w:sz w:val="20"/>
                <w:szCs w:val="20"/>
              </w:rPr>
              <w:fldChar w:fldCharType="end"/>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baseline"/>
              <w:rPr>
                <w:rFonts w:hint="eastAsia" w:ascii="宋体" w:hAnsi="宋体" w:eastAsia="宋体" w:cs="宋体"/>
                <w:sz w:val="20"/>
                <w:szCs w:val="20"/>
                <w:lang w:eastAsia="zh-CN"/>
              </w:rPr>
            </w:pPr>
            <w:r>
              <w:rPr>
                <w:rFonts w:hint="eastAsia" w:ascii="宋体" w:hAnsi="宋体" w:eastAsia="宋体" w:cs="宋体"/>
                <w:sz w:val="20"/>
                <w:szCs w:val="20"/>
              </w:rPr>
              <w:t>联系人：</w:t>
            </w:r>
            <w:r>
              <w:rPr>
                <w:rFonts w:hint="eastAsia" w:ascii="宋体" w:hAnsi="宋体" w:eastAsia="宋体" w:cs="宋体"/>
                <w:sz w:val="20"/>
                <w:szCs w:val="20"/>
                <w:lang w:eastAsia="zh-CN"/>
              </w:rPr>
              <w:t>刘传伟</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baseline"/>
              <w:rPr>
                <w:rFonts w:hint="eastAsia" w:eastAsia="宋体" w:cs="宋体" w:asciiTheme="minorEastAsia" w:hAnsiTheme="minorEastAsia"/>
                <w:snapToGrid w:val="0"/>
                <w:sz w:val="20"/>
                <w:szCs w:val="20"/>
                <w:lang w:eastAsia="zh-CN"/>
              </w:rPr>
            </w:pPr>
            <w:r>
              <w:rPr>
                <w:rFonts w:hint="eastAsia" w:ascii="宋体" w:hAnsi="宋体" w:eastAsia="宋体" w:cs="宋体"/>
                <w:sz w:val="20"/>
                <w:szCs w:val="20"/>
              </w:rPr>
              <w:t>电  话：</w:t>
            </w:r>
            <w:r>
              <w:rPr>
                <w:rFonts w:hint="eastAsia" w:cs="宋体" w:asciiTheme="minorEastAsia" w:hAnsiTheme="minorEastAsia" w:eastAsiaTheme="minorEastAsia"/>
                <w:snapToGrid w:val="0"/>
                <w:sz w:val="20"/>
                <w:szCs w:val="20"/>
                <w:lang w:val="en-US" w:eastAsia="zh-CN"/>
              </w:rPr>
              <w:t>13665751278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876" w:type="dxa"/>
            <w:vAlign w:val="center"/>
          </w:tcPr>
          <w:p>
            <w:pPr>
              <w:tabs>
                <w:tab w:val="left" w:pos="10324"/>
              </w:tabs>
              <w:snapToGrid w:val="0"/>
              <w:spacing w:line="240" w:lineRule="exact"/>
              <w:jc w:val="center"/>
              <w:rPr>
                <w:rFonts w:ascii="宋体" w:hAnsi="宋体"/>
                <w:snapToGrid w:val="0"/>
                <w:kern w:val="2"/>
                <w:sz w:val="20"/>
              </w:rPr>
            </w:pPr>
            <w:r>
              <w:rPr>
                <w:rFonts w:ascii="宋体" w:hAnsi="宋体"/>
                <w:snapToGrid w:val="0"/>
                <w:kern w:val="2"/>
                <w:sz w:val="20"/>
              </w:rPr>
              <w:t>1.1.3</w:t>
            </w:r>
          </w:p>
        </w:tc>
        <w:tc>
          <w:tcPr>
            <w:tcW w:w="2280" w:type="dxa"/>
            <w:vAlign w:val="center"/>
          </w:tcPr>
          <w:p>
            <w:pPr>
              <w:pStyle w:val="4"/>
              <w:snapToGrid w:val="0"/>
              <w:spacing w:line="240" w:lineRule="exact"/>
              <w:ind w:firstLine="0"/>
              <w:jc w:val="center"/>
              <w:rPr>
                <w:rFonts w:ascii="宋体" w:hAnsi="宋体"/>
                <w:snapToGrid w:val="0"/>
                <w:kern w:val="2"/>
                <w:sz w:val="20"/>
              </w:rPr>
            </w:pPr>
            <w:r>
              <w:rPr>
                <w:rFonts w:ascii="宋体" w:hAnsi="宋体"/>
                <w:snapToGrid w:val="0"/>
                <w:kern w:val="2"/>
                <w:sz w:val="20"/>
              </w:rPr>
              <w:t>代理机构</w:t>
            </w:r>
          </w:p>
        </w:tc>
        <w:tc>
          <w:tcPr>
            <w:tcW w:w="5680" w:type="dxa"/>
            <w:vAlign w:val="center"/>
          </w:tcPr>
          <w:p>
            <w:pPr>
              <w:pStyle w:val="4"/>
              <w:snapToGrid w:val="0"/>
              <w:spacing w:line="240" w:lineRule="exact"/>
              <w:ind w:firstLine="0"/>
              <w:jc w:val="left"/>
              <w:rPr>
                <w:rFonts w:ascii="宋体" w:hAnsi="宋体"/>
                <w:snapToGrid w:val="0"/>
                <w:kern w:val="2"/>
                <w:sz w:val="20"/>
                <w:szCs w:val="20"/>
              </w:rPr>
            </w:pPr>
            <w:r>
              <w:rPr>
                <w:rFonts w:ascii="宋体" w:hAnsi="宋体"/>
                <w:snapToGrid w:val="0"/>
                <w:kern w:val="2"/>
                <w:sz w:val="20"/>
                <w:szCs w:val="20"/>
              </w:rPr>
              <w:t>名</w:t>
            </w:r>
            <w:r>
              <w:rPr>
                <w:rFonts w:hint="eastAsia" w:ascii="宋体" w:hAnsi="宋体"/>
                <w:snapToGrid w:val="0"/>
                <w:kern w:val="2"/>
                <w:sz w:val="20"/>
                <w:szCs w:val="20"/>
                <w:lang w:val="en-US" w:eastAsia="zh-CN"/>
              </w:rPr>
              <w:t xml:space="preserve">  </w:t>
            </w:r>
            <w:r>
              <w:rPr>
                <w:rFonts w:ascii="宋体" w:hAnsi="宋体"/>
                <w:snapToGrid w:val="0"/>
                <w:kern w:val="2"/>
                <w:sz w:val="20"/>
                <w:szCs w:val="20"/>
              </w:rPr>
              <w:t>称：</w:t>
            </w:r>
            <w:r>
              <w:rPr>
                <w:rFonts w:hint="eastAsia" w:ascii="宋体" w:hAnsi="宋体"/>
                <w:snapToGrid w:val="0"/>
                <w:kern w:val="2"/>
                <w:sz w:val="20"/>
                <w:szCs w:val="20"/>
                <w:lang w:eastAsia="zh-CN"/>
              </w:rPr>
              <w:t>湖州星兴工程咨询有限公司</w:t>
            </w:r>
            <w:r>
              <w:rPr>
                <w:rFonts w:hint="eastAsia" w:ascii="宋体" w:hAnsi="宋体"/>
                <w:snapToGrid w:val="0"/>
                <w:kern w:val="2"/>
                <w:sz w:val="20"/>
                <w:szCs w:val="20"/>
              </w:rPr>
              <w:t>　</w:t>
            </w:r>
          </w:p>
          <w:p>
            <w:pPr>
              <w:pStyle w:val="4"/>
              <w:tabs>
                <w:tab w:val="left" w:pos="4410"/>
              </w:tabs>
              <w:snapToGrid w:val="0"/>
              <w:spacing w:line="240" w:lineRule="exact"/>
              <w:ind w:left="5600" w:hanging="5600" w:hangingChars="2800"/>
              <w:jc w:val="left"/>
              <w:rPr>
                <w:rFonts w:ascii="宋体" w:hAnsi="宋体"/>
                <w:snapToGrid w:val="0"/>
                <w:kern w:val="2"/>
                <w:sz w:val="20"/>
                <w:szCs w:val="20"/>
              </w:rPr>
            </w:pPr>
            <w:r>
              <w:rPr>
                <w:rFonts w:ascii="宋体" w:hAnsi="宋体"/>
                <w:snapToGrid w:val="0"/>
                <w:kern w:val="2"/>
                <w:sz w:val="20"/>
                <w:szCs w:val="20"/>
              </w:rPr>
              <w:t>地</w:t>
            </w:r>
            <w:r>
              <w:rPr>
                <w:rFonts w:hint="eastAsia" w:ascii="宋体" w:hAnsi="宋体"/>
                <w:snapToGrid w:val="0"/>
                <w:kern w:val="2"/>
                <w:sz w:val="20"/>
                <w:szCs w:val="20"/>
                <w:lang w:val="en-US" w:eastAsia="zh-CN"/>
              </w:rPr>
              <w:t xml:space="preserve">  </w:t>
            </w:r>
            <w:r>
              <w:rPr>
                <w:rFonts w:ascii="宋体" w:hAnsi="宋体"/>
                <w:snapToGrid w:val="0"/>
                <w:kern w:val="2"/>
                <w:sz w:val="20"/>
                <w:szCs w:val="20"/>
              </w:rPr>
              <w:t>址：</w:t>
            </w:r>
            <w:r>
              <w:rPr>
                <w:rFonts w:hint="eastAsia" w:ascii="宋体" w:hAnsi="宋体"/>
                <w:snapToGrid w:val="0"/>
                <w:kern w:val="2"/>
                <w:sz w:val="20"/>
                <w:szCs w:val="20"/>
                <w:lang w:eastAsia="zh-CN"/>
              </w:rPr>
              <w:t>湖州市赵湾仁皇佳苑108-2幢</w:t>
            </w:r>
            <w:r>
              <w:rPr>
                <w:rFonts w:hint="eastAsia" w:ascii="宋体" w:hAnsi="宋体"/>
                <w:snapToGrid w:val="0"/>
                <w:kern w:val="2"/>
                <w:sz w:val="20"/>
                <w:szCs w:val="20"/>
              </w:rPr>
              <w:t>　</w:t>
            </w:r>
          </w:p>
          <w:p>
            <w:pPr>
              <w:pStyle w:val="4"/>
              <w:snapToGrid w:val="0"/>
              <w:spacing w:line="240" w:lineRule="exact"/>
              <w:ind w:firstLine="0"/>
              <w:jc w:val="left"/>
              <w:rPr>
                <w:rFonts w:hint="eastAsia" w:ascii="宋体" w:hAnsi="宋体" w:eastAsia="宋体"/>
                <w:snapToGrid w:val="0"/>
                <w:kern w:val="2"/>
                <w:sz w:val="20"/>
                <w:szCs w:val="20"/>
                <w:lang w:eastAsia="zh-CN"/>
              </w:rPr>
            </w:pPr>
            <w:r>
              <w:rPr>
                <w:rFonts w:ascii="宋体" w:hAnsi="宋体"/>
                <w:snapToGrid w:val="0"/>
                <w:kern w:val="2"/>
                <w:sz w:val="20"/>
                <w:szCs w:val="20"/>
              </w:rPr>
              <w:t>联系人：</w:t>
            </w:r>
            <w:r>
              <w:rPr>
                <w:rFonts w:hint="eastAsia" w:ascii="宋体" w:hAnsi="宋体"/>
                <w:snapToGrid w:val="0"/>
                <w:kern w:val="2"/>
                <w:sz w:val="20"/>
                <w:szCs w:val="20"/>
                <w:lang w:eastAsia="zh-CN"/>
              </w:rPr>
              <w:t>吕辉、张小冬</w:t>
            </w:r>
          </w:p>
          <w:p>
            <w:pPr>
              <w:pStyle w:val="4"/>
              <w:snapToGrid w:val="0"/>
              <w:spacing w:line="240" w:lineRule="exact"/>
              <w:ind w:firstLine="0"/>
              <w:jc w:val="left"/>
              <w:rPr>
                <w:rFonts w:hint="eastAsia" w:ascii="宋体" w:hAnsi="宋体" w:eastAsia="宋体"/>
                <w:snapToGrid w:val="0"/>
                <w:kern w:val="2"/>
                <w:sz w:val="20"/>
                <w:szCs w:val="20"/>
                <w:lang w:eastAsia="zh-CN"/>
              </w:rPr>
            </w:pPr>
            <w:r>
              <w:rPr>
                <w:rFonts w:ascii="宋体" w:hAnsi="宋体"/>
                <w:snapToGrid w:val="0"/>
                <w:kern w:val="2"/>
                <w:sz w:val="20"/>
                <w:szCs w:val="20"/>
              </w:rPr>
              <w:t>电</w:t>
            </w:r>
            <w:r>
              <w:rPr>
                <w:rFonts w:hint="eastAsia" w:ascii="宋体" w:hAnsi="宋体"/>
                <w:snapToGrid w:val="0"/>
                <w:kern w:val="2"/>
                <w:sz w:val="20"/>
                <w:szCs w:val="20"/>
                <w:lang w:val="en-US" w:eastAsia="zh-CN"/>
              </w:rPr>
              <w:t xml:space="preserve">  </w:t>
            </w:r>
            <w:r>
              <w:rPr>
                <w:rFonts w:ascii="宋体" w:hAnsi="宋体"/>
                <w:snapToGrid w:val="0"/>
                <w:kern w:val="2"/>
                <w:sz w:val="20"/>
                <w:szCs w:val="20"/>
              </w:rPr>
              <w:t>话：</w:t>
            </w:r>
            <w:r>
              <w:rPr>
                <w:rFonts w:hint="eastAsia" w:ascii="宋体" w:hAnsi="宋体"/>
                <w:kern w:val="2"/>
                <w:sz w:val="20"/>
                <w:szCs w:val="20"/>
                <w:shd w:val="clear" w:color="auto" w:fill="FFFFFF"/>
                <w:lang w:eastAsia="zh-CN"/>
              </w:rPr>
              <w:t>0572-2630018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876" w:type="dxa"/>
            <w:vAlign w:val="center"/>
          </w:tcPr>
          <w:p>
            <w:pPr>
              <w:tabs>
                <w:tab w:val="left" w:pos="10324"/>
              </w:tabs>
              <w:snapToGrid w:val="0"/>
              <w:spacing w:line="240" w:lineRule="exact"/>
              <w:jc w:val="center"/>
              <w:rPr>
                <w:rFonts w:ascii="宋体" w:hAnsi="宋体"/>
                <w:snapToGrid w:val="0"/>
                <w:kern w:val="2"/>
                <w:sz w:val="20"/>
              </w:rPr>
            </w:pPr>
            <w:r>
              <w:rPr>
                <w:rFonts w:ascii="宋体" w:hAnsi="宋体"/>
                <w:snapToGrid w:val="0"/>
                <w:kern w:val="2"/>
                <w:sz w:val="20"/>
              </w:rPr>
              <w:t>1.1.4</w:t>
            </w:r>
          </w:p>
        </w:tc>
        <w:tc>
          <w:tcPr>
            <w:tcW w:w="2280" w:type="dxa"/>
            <w:vAlign w:val="center"/>
          </w:tcPr>
          <w:p>
            <w:pPr>
              <w:pStyle w:val="4"/>
              <w:snapToGrid w:val="0"/>
              <w:spacing w:line="240" w:lineRule="exact"/>
              <w:ind w:firstLine="0"/>
              <w:jc w:val="center"/>
              <w:rPr>
                <w:rFonts w:ascii="宋体" w:hAnsi="宋体"/>
                <w:snapToGrid w:val="0"/>
                <w:kern w:val="2"/>
                <w:sz w:val="20"/>
              </w:rPr>
            </w:pPr>
            <w:r>
              <w:rPr>
                <w:rFonts w:ascii="宋体" w:hAnsi="宋体"/>
                <w:snapToGrid w:val="0"/>
                <w:kern w:val="2"/>
                <w:sz w:val="20"/>
              </w:rPr>
              <w:t>项目名称</w:t>
            </w:r>
          </w:p>
        </w:tc>
        <w:tc>
          <w:tcPr>
            <w:tcW w:w="5680" w:type="dxa"/>
            <w:vAlign w:val="center"/>
          </w:tcPr>
          <w:p>
            <w:pPr>
              <w:pStyle w:val="4"/>
              <w:snapToGrid w:val="0"/>
              <w:spacing w:line="240" w:lineRule="exact"/>
              <w:ind w:firstLine="0"/>
              <w:jc w:val="left"/>
              <w:rPr>
                <w:rFonts w:ascii="宋体" w:hAnsi="宋体" w:cs="Times New Roman"/>
                <w:snapToGrid w:val="0"/>
                <w:spacing w:val="-4"/>
                <w:kern w:val="2"/>
                <w:sz w:val="20"/>
                <w:szCs w:val="20"/>
              </w:rPr>
            </w:pPr>
            <w:r>
              <w:rPr>
                <w:rFonts w:hint="eastAsia" w:ascii="宋体" w:hAnsi="宋体" w:cs="Times New Roman"/>
                <w:snapToGrid w:val="0"/>
                <w:spacing w:val="-4"/>
                <w:kern w:val="2"/>
                <w:sz w:val="20"/>
                <w:szCs w:val="20"/>
                <w:lang w:eastAsia="zh-CN"/>
              </w:rPr>
              <w:t>杨溇村粮食生产功能区提标改造项目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876" w:type="dxa"/>
            <w:vAlign w:val="center"/>
          </w:tcPr>
          <w:p>
            <w:pPr>
              <w:tabs>
                <w:tab w:val="left" w:pos="10324"/>
              </w:tabs>
              <w:snapToGrid w:val="0"/>
              <w:spacing w:line="240" w:lineRule="exact"/>
              <w:jc w:val="center"/>
              <w:rPr>
                <w:rFonts w:ascii="宋体" w:hAnsi="宋体"/>
                <w:snapToGrid w:val="0"/>
                <w:kern w:val="2"/>
                <w:sz w:val="20"/>
              </w:rPr>
            </w:pPr>
            <w:r>
              <w:rPr>
                <w:rFonts w:ascii="宋体" w:hAnsi="宋体"/>
                <w:snapToGrid w:val="0"/>
                <w:kern w:val="2"/>
                <w:sz w:val="20"/>
              </w:rPr>
              <w:t>1.1.5</w:t>
            </w:r>
          </w:p>
        </w:tc>
        <w:tc>
          <w:tcPr>
            <w:tcW w:w="2280" w:type="dxa"/>
            <w:vAlign w:val="center"/>
          </w:tcPr>
          <w:p>
            <w:pPr>
              <w:pStyle w:val="4"/>
              <w:snapToGrid w:val="0"/>
              <w:spacing w:line="240" w:lineRule="exact"/>
              <w:ind w:firstLine="0"/>
              <w:jc w:val="center"/>
              <w:rPr>
                <w:rFonts w:ascii="宋体" w:hAnsi="宋体"/>
                <w:snapToGrid w:val="0"/>
                <w:kern w:val="2"/>
                <w:sz w:val="20"/>
              </w:rPr>
            </w:pPr>
            <w:r>
              <w:rPr>
                <w:rFonts w:ascii="宋体" w:hAnsi="宋体"/>
                <w:snapToGrid w:val="0"/>
                <w:kern w:val="2"/>
                <w:sz w:val="20"/>
              </w:rPr>
              <w:t>建设地点</w:t>
            </w:r>
          </w:p>
        </w:tc>
        <w:tc>
          <w:tcPr>
            <w:tcW w:w="5680" w:type="dxa"/>
            <w:vAlign w:val="center"/>
          </w:tcPr>
          <w:p>
            <w:pPr>
              <w:snapToGrid w:val="0"/>
              <w:spacing w:line="240" w:lineRule="exact"/>
              <w:rPr>
                <w:rFonts w:ascii="宋体" w:hAnsi="宋体" w:eastAsia="宋体"/>
                <w:snapToGrid w:val="0"/>
                <w:kern w:val="2"/>
                <w:sz w:val="20"/>
                <w:szCs w:val="20"/>
              </w:rPr>
            </w:pPr>
            <w:r>
              <w:rPr>
                <w:rFonts w:hint="eastAsia" w:ascii="宋体" w:hAnsi="宋体" w:cs="Times New Roman"/>
                <w:snapToGrid w:val="0"/>
                <w:spacing w:val="-4"/>
                <w:kern w:val="2"/>
                <w:sz w:val="20"/>
                <w:szCs w:val="20"/>
                <w:lang w:eastAsia="zh-CN"/>
              </w:rPr>
              <w:t>湖州市高新区杨溇村</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876" w:type="dxa"/>
            <w:vAlign w:val="center"/>
          </w:tcPr>
          <w:p>
            <w:pPr>
              <w:pStyle w:val="4"/>
              <w:snapToGrid w:val="0"/>
              <w:spacing w:line="240" w:lineRule="exact"/>
              <w:ind w:firstLine="0"/>
              <w:jc w:val="center"/>
              <w:rPr>
                <w:rFonts w:ascii="宋体" w:hAnsi="宋体"/>
                <w:snapToGrid w:val="0"/>
                <w:kern w:val="2"/>
                <w:sz w:val="20"/>
              </w:rPr>
            </w:pPr>
            <w:r>
              <w:rPr>
                <w:rFonts w:ascii="宋体" w:hAnsi="宋体"/>
                <w:snapToGrid w:val="0"/>
                <w:kern w:val="2"/>
                <w:sz w:val="20"/>
              </w:rPr>
              <w:t>1.1.6</w:t>
            </w:r>
          </w:p>
        </w:tc>
        <w:tc>
          <w:tcPr>
            <w:tcW w:w="2280" w:type="dxa"/>
            <w:vAlign w:val="center"/>
          </w:tcPr>
          <w:p>
            <w:pPr>
              <w:pStyle w:val="4"/>
              <w:snapToGrid w:val="0"/>
              <w:spacing w:line="240" w:lineRule="exact"/>
              <w:ind w:firstLine="0"/>
              <w:jc w:val="center"/>
              <w:rPr>
                <w:rFonts w:ascii="宋体" w:hAnsi="宋体"/>
                <w:snapToGrid w:val="0"/>
                <w:kern w:val="2"/>
                <w:sz w:val="20"/>
              </w:rPr>
            </w:pPr>
            <w:r>
              <w:rPr>
                <w:rFonts w:ascii="宋体" w:hAnsi="宋体"/>
                <w:snapToGrid w:val="0"/>
                <w:kern w:val="2"/>
                <w:sz w:val="20"/>
              </w:rPr>
              <w:t>现场管理机构</w:t>
            </w:r>
          </w:p>
        </w:tc>
        <w:tc>
          <w:tcPr>
            <w:tcW w:w="5680" w:type="dxa"/>
            <w:vAlign w:val="center"/>
          </w:tcPr>
          <w:p>
            <w:pPr>
              <w:snapToGrid w:val="0"/>
              <w:spacing w:line="240" w:lineRule="exact"/>
              <w:rPr>
                <w:rFonts w:hint="eastAsia" w:ascii="宋体" w:hAnsi="宋体" w:eastAsia="宋体"/>
                <w:snapToGrid w:val="0"/>
                <w:kern w:val="2"/>
                <w:sz w:val="20"/>
                <w:szCs w:val="20"/>
                <w:lang w:eastAsia="zh-CN"/>
              </w:rPr>
            </w:pPr>
            <w:r>
              <w:rPr>
                <w:rFonts w:hint="eastAsia" w:ascii="宋体" w:hAnsi="宋体" w:eastAsia="宋体"/>
                <w:kern w:val="2"/>
                <w:sz w:val="20"/>
                <w:szCs w:val="20"/>
                <w:lang w:eastAsia="zh-CN"/>
              </w:rPr>
              <w:t>湖州南太湖现代农业综合区开发有限公司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876" w:type="dxa"/>
            <w:vAlign w:val="center"/>
          </w:tcPr>
          <w:p>
            <w:pPr>
              <w:pStyle w:val="4"/>
              <w:snapToGrid w:val="0"/>
              <w:spacing w:line="240" w:lineRule="exact"/>
              <w:ind w:firstLine="0"/>
              <w:jc w:val="center"/>
              <w:rPr>
                <w:rFonts w:ascii="宋体" w:hAnsi="宋体"/>
                <w:snapToGrid w:val="0"/>
                <w:kern w:val="2"/>
                <w:sz w:val="20"/>
              </w:rPr>
            </w:pPr>
            <w:r>
              <w:rPr>
                <w:rFonts w:ascii="宋体" w:hAnsi="宋体"/>
                <w:snapToGrid w:val="0"/>
                <w:kern w:val="2"/>
                <w:sz w:val="20"/>
              </w:rPr>
              <w:t>1.1.7</w:t>
            </w:r>
          </w:p>
        </w:tc>
        <w:tc>
          <w:tcPr>
            <w:tcW w:w="2280" w:type="dxa"/>
            <w:vAlign w:val="center"/>
          </w:tcPr>
          <w:p>
            <w:pPr>
              <w:pStyle w:val="4"/>
              <w:snapToGrid w:val="0"/>
              <w:spacing w:line="240" w:lineRule="exact"/>
              <w:ind w:firstLine="0"/>
              <w:jc w:val="center"/>
              <w:rPr>
                <w:rFonts w:ascii="宋体" w:hAnsi="宋体"/>
                <w:snapToGrid w:val="0"/>
                <w:kern w:val="2"/>
                <w:sz w:val="20"/>
              </w:rPr>
            </w:pPr>
            <w:r>
              <w:rPr>
                <w:rFonts w:ascii="宋体" w:hAnsi="宋体"/>
                <w:snapToGrid w:val="0"/>
                <w:kern w:val="2"/>
                <w:sz w:val="20"/>
              </w:rPr>
              <w:t>设计人</w:t>
            </w:r>
          </w:p>
        </w:tc>
        <w:tc>
          <w:tcPr>
            <w:tcW w:w="5680" w:type="dxa"/>
            <w:vAlign w:val="center"/>
          </w:tcPr>
          <w:p>
            <w:pPr>
              <w:snapToGrid w:val="0"/>
              <w:spacing w:line="240" w:lineRule="exact"/>
              <w:rPr>
                <w:rFonts w:hint="default" w:ascii="宋体" w:hAnsi="宋体" w:eastAsiaTheme="minorEastAsia"/>
                <w:snapToGrid w:val="0"/>
                <w:kern w:val="2"/>
                <w:sz w:val="20"/>
                <w:szCs w:val="20"/>
                <w:lang w:val="en-US" w:eastAsia="zh-CN"/>
              </w:rPr>
            </w:pPr>
            <w:r>
              <w:rPr>
                <w:rFonts w:hint="eastAsia" w:ascii="宋体" w:hAnsi="宋体" w:eastAsia="宋体"/>
                <w:color w:val="auto"/>
                <w:kern w:val="2"/>
                <w:sz w:val="20"/>
                <w:szCs w:val="20"/>
                <w:lang w:eastAsia="zh-CN"/>
              </w:rPr>
              <w:t>浙江中水工程技术有限公司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876" w:type="dxa"/>
            <w:vAlign w:val="center"/>
          </w:tcPr>
          <w:p>
            <w:pPr>
              <w:pStyle w:val="4"/>
              <w:snapToGrid w:val="0"/>
              <w:spacing w:line="240" w:lineRule="exact"/>
              <w:ind w:firstLine="0"/>
              <w:jc w:val="center"/>
              <w:rPr>
                <w:rFonts w:ascii="宋体" w:hAnsi="宋体"/>
                <w:snapToGrid w:val="0"/>
                <w:kern w:val="2"/>
                <w:sz w:val="20"/>
              </w:rPr>
            </w:pPr>
            <w:r>
              <w:rPr>
                <w:rFonts w:ascii="宋体" w:hAnsi="宋体"/>
                <w:snapToGrid w:val="0"/>
                <w:kern w:val="2"/>
                <w:sz w:val="20"/>
              </w:rPr>
              <w:t>1.1.8</w:t>
            </w:r>
          </w:p>
        </w:tc>
        <w:tc>
          <w:tcPr>
            <w:tcW w:w="2280" w:type="dxa"/>
            <w:vAlign w:val="center"/>
          </w:tcPr>
          <w:p>
            <w:pPr>
              <w:pStyle w:val="4"/>
              <w:snapToGrid w:val="0"/>
              <w:spacing w:line="240" w:lineRule="exact"/>
              <w:ind w:firstLine="0"/>
              <w:jc w:val="center"/>
              <w:rPr>
                <w:rFonts w:ascii="宋体" w:hAnsi="宋体"/>
                <w:snapToGrid w:val="0"/>
                <w:kern w:val="2"/>
                <w:sz w:val="20"/>
              </w:rPr>
            </w:pPr>
            <w:r>
              <w:rPr>
                <w:rFonts w:ascii="宋体" w:hAnsi="宋体"/>
                <w:snapToGrid w:val="0"/>
                <w:kern w:val="2"/>
                <w:sz w:val="20"/>
              </w:rPr>
              <w:t>监理人</w:t>
            </w:r>
          </w:p>
        </w:tc>
        <w:tc>
          <w:tcPr>
            <w:tcW w:w="5680" w:type="dxa"/>
            <w:vAlign w:val="center"/>
          </w:tcPr>
          <w:p>
            <w:pPr>
              <w:snapToGrid w:val="0"/>
              <w:spacing w:line="240" w:lineRule="exact"/>
              <w:rPr>
                <w:rFonts w:ascii="宋体" w:hAnsi="宋体"/>
                <w:snapToGrid w:val="0"/>
                <w:kern w:val="2"/>
                <w:sz w:val="20"/>
                <w:szCs w:val="20"/>
              </w:rPr>
            </w:pPr>
            <w:r>
              <w:rPr>
                <w:rFonts w:hint="eastAsia" w:ascii="宋体" w:hAnsi="宋体"/>
                <w:snapToGrid w:val="0"/>
                <w:kern w:val="2"/>
                <w:sz w:val="20"/>
                <w:szCs w:val="20"/>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876" w:type="dxa"/>
            <w:vAlign w:val="center"/>
          </w:tcPr>
          <w:p>
            <w:pPr>
              <w:tabs>
                <w:tab w:val="left" w:pos="10324"/>
              </w:tabs>
              <w:snapToGrid w:val="0"/>
              <w:spacing w:line="240" w:lineRule="exact"/>
              <w:jc w:val="center"/>
              <w:rPr>
                <w:rFonts w:ascii="宋体" w:hAnsi="宋体"/>
                <w:snapToGrid w:val="0"/>
                <w:kern w:val="2"/>
                <w:sz w:val="20"/>
              </w:rPr>
            </w:pPr>
            <w:r>
              <w:rPr>
                <w:rFonts w:ascii="宋体" w:hAnsi="宋体"/>
                <w:snapToGrid w:val="0"/>
                <w:kern w:val="2"/>
                <w:sz w:val="20"/>
              </w:rPr>
              <w:t>1.2.1</w:t>
            </w:r>
          </w:p>
        </w:tc>
        <w:tc>
          <w:tcPr>
            <w:tcW w:w="2280" w:type="dxa"/>
            <w:vAlign w:val="center"/>
          </w:tcPr>
          <w:p>
            <w:pPr>
              <w:pStyle w:val="4"/>
              <w:snapToGrid w:val="0"/>
              <w:spacing w:line="240" w:lineRule="exact"/>
              <w:ind w:firstLine="0"/>
              <w:jc w:val="center"/>
              <w:rPr>
                <w:rFonts w:ascii="宋体" w:hAnsi="宋体"/>
                <w:snapToGrid w:val="0"/>
                <w:kern w:val="2"/>
                <w:sz w:val="20"/>
              </w:rPr>
            </w:pPr>
            <w:r>
              <w:rPr>
                <w:rFonts w:ascii="宋体" w:hAnsi="宋体"/>
                <w:snapToGrid w:val="0"/>
                <w:kern w:val="2"/>
                <w:sz w:val="20"/>
              </w:rPr>
              <w:t>资金来源</w:t>
            </w:r>
          </w:p>
        </w:tc>
        <w:tc>
          <w:tcPr>
            <w:tcW w:w="5680" w:type="dxa"/>
            <w:vAlign w:val="center"/>
          </w:tcPr>
          <w:p>
            <w:pPr>
              <w:pStyle w:val="4"/>
              <w:snapToGrid w:val="0"/>
              <w:spacing w:line="240" w:lineRule="exact"/>
              <w:ind w:firstLine="0"/>
              <w:jc w:val="left"/>
              <w:rPr>
                <w:rFonts w:hint="eastAsia" w:ascii="宋体" w:hAnsi="宋体" w:eastAsia="宋体"/>
                <w:snapToGrid w:val="0"/>
                <w:kern w:val="2"/>
                <w:sz w:val="20"/>
                <w:szCs w:val="20"/>
                <w:lang w:eastAsia="zh-CN"/>
              </w:rPr>
            </w:pPr>
            <w:r>
              <w:rPr>
                <w:rFonts w:hint="eastAsia" w:ascii="宋体" w:hAnsi="宋体"/>
                <w:snapToGrid w:val="0"/>
                <w:kern w:val="2"/>
                <w:sz w:val="20"/>
                <w:szCs w:val="20"/>
                <w:lang w:eastAsia="zh-CN"/>
              </w:rPr>
              <w:t>上级补助</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9" w:hRule="atLeast"/>
        </w:trPr>
        <w:tc>
          <w:tcPr>
            <w:tcW w:w="876" w:type="dxa"/>
            <w:vAlign w:val="center"/>
          </w:tcPr>
          <w:p>
            <w:pPr>
              <w:tabs>
                <w:tab w:val="left" w:pos="10324"/>
              </w:tabs>
              <w:snapToGrid w:val="0"/>
              <w:spacing w:line="240" w:lineRule="exact"/>
              <w:jc w:val="center"/>
              <w:rPr>
                <w:rFonts w:ascii="宋体" w:hAnsi="宋体"/>
                <w:snapToGrid w:val="0"/>
                <w:kern w:val="2"/>
                <w:sz w:val="20"/>
              </w:rPr>
            </w:pPr>
            <w:r>
              <w:rPr>
                <w:rFonts w:ascii="宋体" w:hAnsi="宋体"/>
                <w:snapToGrid w:val="0"/>
                <w:kern w:val="2"/>
                <w:sz w:val="20"/>
              </w:rPr>
              <w:t>1.2.2</w:t>
            </w:r>
          </w:p>
        </w:tc>
        <w:tc>
          <w:tcPr>
            <w:tcW w:w="2280" w:type="dxa"/>
            <w:vAlign w:val="center"/>
          </w:tcPr>
          <w:p>
            <w:pPr>
              <w:pStyle w:val="4"/>
              <w:snapToGrid w:val="0"/>
              <w:spacing w:line="240" w:lineRule="exact"/>
              <w:ind w:firstLine="0"/>
              <w:jc w:val="center"/>
              <w:rPr>
                <w:rFonts w:ascii="宋体" w:hAnsi="宋体"/>
                <w:snapToGrid w:val="0"/>
                <w:kern w:val="2"/>
                <w:sz w:val="20"/>
              </w:rPr>
            </w:pPr>
            <w:r>
              <w:rPr>
                <w:rFonts w:ascii="宋体" w:hAnsi="宋体"/>
                <w:snapToGrid w:val="0"/>
                <w:kern w:val="2"/>
                <w:sz w:val="20"/>
              </w:rPr>
              <w:t>出资比例</w:t>
            </w:r>
          </w:p>
        </w:tc>
        <w:tc>
          <w:tcPr>
            <w:tcW w:w="5680" w:type="dxa"/>
            <w:vAlign w:val="center"/>
          </w:tcPr>
          <w:p>
            <w:pPr>
              <w:pStyle w:val="4"/>
              <w:snapToGrid w:val="0"/>
              <w:spacing w:line="240" w:lineRule="exact"/>
              <w:ind w:firstLine="0"/>
              <w:jc w:val="left"/>
              <w:rPr>
                <w:rFonts w:ascii="宋体" w:hAnsi="宋体"/>
                <w:snapToGrid w:val="0"/>
                <w:kern w:val="2"/>
                <w:sz w:val="20"/>
              </w:rPr>
            </w:pPr>
            <w:r>
              <w:rPr>
                <w:rFonts w:hint="eastAsia" w:ascii="宋体" w:hAnsi="宋体"/>
                <w:snapToGrid w:val="0"/>
                <w:spacing w:val="-4"/>
                <w:kern w:val="2"/>
                <w:sz w:val="20"/>
              </w:rPr>
              <w:t>100%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876" w:type="dxa"/>
            <w:vAlign w:val="center"/>
          </w:tcPr>
          <w:p>
            <w:pPr>
              <w:tabs>
                <w:tab w:val="left" w:pos="10324"/>
              </w:tabs>
              <w:snapToGrid w:val="0"/>
              <w:spacing w:line="240" w:lineRule="exact"/>
              <w:jc w:val="center"/>
              <w:rPr>
                <w:rFonts w:ascii="宋体" w:hAnsi="宋体"/>
                <w:snapToGrid w:val="0"/>
                <w:kern w:val="2"/>
                <w:sz w:val="20"/>
              </w:rPr>
            </w:pPr>
            <w:r>
              <w:rPr>
                <w:rFonts w:ascii="宋体" w:hAnsi="宋体"/>
                <w:snapToGrid w:val="0"/>
                <w:kern w:val="2"/>
                <w:sz w:val="20"/>
              </w:rPr>
              <w:t>1.2.3</w:t>
            </w:r>
          </w:p>
        </w:tc>
        <w:tc>
          <w:tcPr>
            <w:tcW w:w="2280" w:type="dxa"/>
            <w:vAlign w:val="center"/>
          </w:tcPr>
          <w:p>
            <w:pPr>
              <w:pStyle w:val="4"/>
              <w:snapToGrid w:val="0"/>
              <w:spacing w:line="240" w:lineRule="exact"/>
              <w:ind w:firstLine="0"/>
              <w:jc w:val="center"/>
              <w:rPr>
                <w:rFonts w:ascii="宋体" w:hAnsi="宋体"/>
                <w:snapToGrid w:val="0"/>
                <w:kern w:val="2"/>
                <w:sz w:val="20"/>
              </w:rPr>
            </w:pPr>
            <w:r>
              <w:rPr>
                <w:rFonts w:ascii="宋体" w:hAnsi="宋体"/>
                <w:snapToGrid w:val="0"/>
                <w:kern w:val="2"/>
                <w:sz w:val="20"/>
              </w:rPr>
              <w:t>资金落实情况</w:t>
            </w:r>
          </w:p>
        </w:tc>
        <w:tc>
          <w:tcPr>
            <w:tcW w:w="5680" w:type="dxa"/>
            <w:vAlign w:val="center"/>
          </w:tcPr>
          <w:p>
            <w:pPr>
              <w:pStyle w:val="4"/>
              <w:snapToGrid w:val="0"/>
              <w:spacing w:line="240" w:lineRule="exact"/>
              <w:ind w:firstLine="0"/>
              <w:jc w:val="left"/>
              <w:rPr>
                <w:rFonts w:ascii="宋体" w:hAnsi="宋体"/>
                <w:snapToGrid w:val="0"/>
                <w:kern w:val="2"/>
                <w:sz w:val="20"/>
              </w:rPr>
            </w:pPr>
            <w:r>
              <w:rPr>
                <w:rFonts w:ascii="宋体" w:hAnsi="宋体"/>
                <w:snapToGrid w:val="0"/>
                <w:kern w:val="2"/>
                <w:sz w:val="20"/>
              </w:rPr>
              <w:t>已落实</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63" w:hRule="atLeast"/>
        </w:trPr>
        <w:tc>
          <w:tcPr>
            <w:tcW w:w="876" w:type="dxa"/>
            <w:vAlign w:val="center"/>
          </w:tcPr>
          <w:p>
            <w:pPr>
              <w:tabs>
                <w:tab w:val="left" w:pos="10324"/>
              </w:tabs>
              <w:snapToGrid w:val="0"/>
              <w:spacing w:line="240" w:lineRule="exact"/>
              <w:jc w:val="center"/>
              <w:rPr>
                <w:rFonts w:ascii="宋体" w:hAnsi="宋体"/>
                <w:snapToGrid w:val="0"/>
                <w:kern w:val="2"/>
                <w:sz w:val="20"/>
              </w:rPr>
            </w:pPr>
            <w:r>
              <w:rPr>
                <w:rFonts w:ascii="宋体" w:hAnsi="宋体"/>
                <w:snapToGrid w:val="0"/>
                <w:kern w:val="2"/>
                <w:sz w:val="20"/>
              </w:rPr>
              <w:t>1.3.1</w:t>
            </w:r>
          </w:p>
        </w:tc>
        <w:tc>
          <w:tcPr>
            <w:tcW w:w="2280" w:type="dxa"/>
            <w:vAlign w:val="center"/>
          </w:tcPr>
          <w:p>
            <w:pPr>
              <w:pStyle w:val="4"/>
              <w:snapToGrid w:val="0"/>
              <w:spacing w:line="240" w:lineRule="exact"/>
              <w:ind w:firstLine="0"/>
              <w:jc w:val="center"/>
              <w:rPr>
                <w:rFonts w:ascii="宋体" w:hAnsi="宋体"/>
                <w:snapToGrid w:val="0"/>
                <w:color w:val="auto"/>
                <w:kern w:val="2"/>
                <w:sz w:val="20"/>
              </w:rPr>
            </w:pPr>
            <w:r>
              <w:rPr>
                <w:rFonts w:hint="eastAsia" w:ascii="宋体" w:hAnsi="宋体"/>
                <w:snapToGrid w:val="0"/>
                <w:color w:val="auto"/>
                <w:kern w:val="2"/>
                <w:sz w:val="20"/>
              </w:rPr>
              <w:t>发包</w:t>
            </w:r>
            <w:r>
              <w:rPr>
                <w:rFonts w:ascii="宋体" w:hAnsi="宋体"/>
                <w:snapToGrid w:val="0"/>
                <w:color w:val="auto"/>
                <w:kern w:val="2"/>
                <w:sz w:val="20"/>
              </w:rPr>
              <w:t>范围</w:t>
            </w:r>
          </w:p>
        </w:tc>
        <w:tc>
          <w:tcPr>
            <w:tcW w:w="5680" w:type="dxa"/>
            <w:vAlign w:val="center"/>
          </w:tcPr>
          <w:p>
            <w:pPr>
              <w:snapToGrid w:val="0"/>
              <w:spacing w:line="240" w:lineRule="exact"/>
              <w:rPr>
                <w:rFonts w:ascii="宋体" w:hAnsi="宋体"/>
                <w:bCs/>
                <w:snapToGrid w:val="0"/>
                <w:color w:val="auto"/>
                <w:kern w:val="2"/>
                <w:sz w:val="20"/>
              </w:rPr>
            </w:pPr>
            <w:r>
              <w:rPr>
                <w:rFonts w:hint="eastAsia" w:asciiTheme="minorEastAsia" w:hAnsiTheme="minorEastAsia"/>
                <w:bCs/>
                <w:snapToGrid w:val="0"/>
                <w:color w:val="auto"/>
                <w:spacing w:val="-4"/>
                <w:sz w:val="20"/>
                <w:szCs w:val="20"/>
                <w:lang w:eastAsia="zh-CN"/>
              </w:rPr>
              <w:t>本项目拟对杨溇村粮食功能区农田区块进行整体提升，总计涉及范围约520亩。主要工程建设规模为：新建渠道1.405公里；排渠加高0.772公里；渠系建筑物55处；新建DN200低压管道1.265公里，修筑机耕路2.775公里，均为砼路面。以及为完成上述工作所必须的措施项目和其他项目的建设及维护。根据发包人要求进行施工，具体工程量按实结算。</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876" w:type="dxa"/>
            <w:vAlign w:val="center"/>
          </w:tcPr>
          <w:p>
            <w:pPr>
              <w:tabs>
                <w:tab w:val="left" w:pos="10324"/>
              </w:tabs>
              <w:snapToGrid w:val="0"/>
              <w:spacing w:line="240" w:lineRule="exact"/>
              <w:jc w:val="center"/>
              <w:rPr>
                <w:rFonts w:ascii="宋体" w:hAnsi="宋体"/>
                <w:snapToGrid w:val="0"/>
                <w:kern w:val="2"/>
                <w:sz w:val="20"/>
              </w:rPr>
            </w:pPr>
            <w:r>
              <w:rPr>
                <w:rFonts w:ascii="宋体" w:hAnsi="宋体"/>
                <w:snapToGrid w:val="0"/>
                <w:kern w:val="2"/>
                <w:sz w:val="20"/>
              </w:rPr>
              <w:t>1.3.2</w:t>
            </w:r>
          </w:p>
        </w:tc>
        <w:tc>
          <w:tcPr>
            <w:tcW w:w="2280" w:type="dxa"/>
            <w:vAlign w:val="center"/>
          </w:tcPr>
          <w:p>
            <w:pPr>
              <w:tabs>
                <w:tab w:val="left" w:pos="10324"/>
              </w:tabs>
              <w:snapToGrid w:val="0"/>
              <w:spacing w:line="240" w:lineRule="exact"/>
              <w:jc w:val="center"/>
              <w:rPr>
                <w:rFonts w:ascii="宋体" w:hAnsi="宋体"/>
                <w:snapToGrid w:val="0"/>
                <w:color w:val="auto"/>
                <w:kern w:val="2"/>
                <w:sz w:val="20"/>
              </w:rPr>
            </w:pPr>
            <w:r>
              <w:rPr>
                <w:rFonts w:ascii="宋体" w:hAnsi="宋体"/>
                <w:snapToGrid w:val="0"/>
                <w:color w:val="auto"/>
                <w:kern w:val="2"/>
                <w:sz w:val="20"/>
              </w:rPr>
              <w:t>计划工期</w:t>
            </w:r>
          </w:p>
        </w:tc>
        <w:tc>
          <w:tcPr>
            <w:tcW w:w="5680" w:type="dxa"/>
            <w:vAlign w:val="center"/>
          </w:tcPr>
          <w:p>
            <w:pPr>
              <w:pStyle w:val="4"/>
              <w:snapToGrid w:val="0"/>
              <w:spacing w:line="240" w:lineRule="exact"/>
              <w:ind w:firstLine="0"/>
              <w:jc w:val="left"/>
              <w:rPr>
                <w:rFonts w:ascii="宋体" w:hAnsi="宋体"/>
                <w:snapToGrid w:val="0"/>
                <w:color w:val="auto"/>
                <w:kern w:val="2"/>
                <w:sz w:val="20"/>
                <w:szCs w:val="20"/>
              </w:rPr>
            </w:pPr>
            <w:r>
              <w:rPr>
                <w:rFonts w:ascii="宋体" w:hAnsi="宋体"/>
                <w:snapToGrid w:val="0"/>
                <w:color w:val="auto"/>
                <w:kern w:val="2"/>
                <w:sz w:val="20"/>
                <w:szCs w:val="20"/>
              </w:rPr>
              <w:t>计划工期：</w:t>
            </w:r>
            <w:r>
              <w:rPr>
                <w:rFonts w:hint="eastAsia" w:ascii="宋体" w:hAnsi="宋体"/>
                <w:b/>
                <w:snapToGrid w:val="0"/>
                <w:color w:val="auto"/>
                <w:kern w:val="2"/>
                <w:sz w:val="20"/>
                <w:szCs w:val="20"/>
                <w:u w:val="single"/>
                <w:lang w:val="en-US" w:eastAsia="zh-CN"/>
              </w:rPr>
              <w:t>60</w:t>
            </w:r>
            <w:r>
              <w:rPr>
                <w:rFonts w:hint="eastAsia" w:ascii="宋体" w:hAnsi="宋体"/>
                <w:b/>
                <w:snapToGrid w:val="0"/>
                <w:color w:val="auto"/>
                <w:kern w:val="2"/>
                <w:sz w:val="20"/>
                <w:szCs w:val="20"/>
                <w:u w:val="single"/>
              </w:rPr>
              <w:t>日历天</w:t>
            </w:r>
          </w:p>
          <w:p>
            <w:pPr>
              <w:pStyle w:val="4"/>
              <w:snapToGrid w:val="0"/>
              <w:spacing w:line="240" w:lineRule="exact"/>
              <w:ind w:firstLine="0"/>
              <w:jc w:val="left"/>
              <w:rPr>
                <w:rFonts w:ascii="宋体" w:hAnsi="宋体"/>
                <w:b/>
                <w:snapToGrid w:val="0"/>
                <w:color w:val="auto"/>
                <w:kern w:val="2"/>
                <w:sz w:val="20"/>
                <w:szCs w:val="20"/>
                <w:u w:val="single"/>
              </w:rPr>
            </w:pPr>
            <w:r>
              <w:rPr>
                <w:rFonts w:ascii="宋体" w:hAnsi="宋体"/>
                <w:snapToGrid w:val="0"/>
                <w:color w:val="auto"/>
                <w:kern w:val="2"/>
                <w:sz w:val="20"/>
                <w:szCs w:val="20"/>
              </w:rPr>
              <w:t>计划开工日期：</w:t>
            </w:r>
            <w:r>
              <w:rPr>
                <w:rFonts w:hint="eastAsia" w:ascii="宋体" w:hAnsi="宋体"/>
                <w:b/>
                <w:snapToGrid w:val="0"/>
                <w:color w:val="auto"/>
                <w:kern w:val="2"/>
                <w:sz w:val="20"/>
                <w:szCs w:val="20"/>
                <w:u w:val="single"/>
              </w:rPr>
              <w:t>2020</w:t>
            </w:r>
            <w:r>
              <w:rPr>
                <w:rFonts w:ascii="宋体" w:hAnsi="宋体"/>
                <w:b/>
                <w:snapToGrid w:val="0"/>
                <w:color w:val="auto"/>
                <w:kern w:val="2"/>
                <w:sz w:val="20"/>
                <w:szCs w:val="20"/>
                <w:u w:val="single"/>
              </w:rPr>
              <w:t>年</w:t>
            </w:r>
            <w:r>
              <w:rPr>
                <w:rFonts w:hint="eastAsia" w:ascii="宋体" w:hAnsi="宋体"/>
                <w:b/>
                <w:snapToGrid w:val="0"/>
                <w:color w:val="auto"/>
                <w:kern w:val="2"/>
                <w:sz w:val="20"/>
                <w:szCs w:val="20"/>
                <w:u w:val="single"/>
                <w:lang w:val="en-US" w:eastAsia="zh-CN"/>
              </w:rPr>
              <w:t xml:space="preserve">  </w:t>
            </w:r>
            <w:r>
              <w:rPr>
                <w:rFonts w:ascii="宋体" w:hAnsi="宋体"/>
                <w:b/>
                <w:snapToGrid w:val="0"/>
                <w:color w:val="auto"/>
                <w:kern w:val="2"/>
                <w:sz w:val="20"/>
                <w:szCs w:val="20"/>
                <w:u w:val="single"/>
              </w:rPr>
              <w:t>月</w:t>
            </w:r>
            <w:r>
              <w:rPr>
                <w:rFonts w:hint="eastAsia" w:ascii="宋体" w:hAnsi="宋体"/>
                <w:b/>
                <w:snapToGrid w:val="0"/>
                <w:color w:val="auto"/>
                <w:kern w:val="2"/>
                <w:sz w:val="20"/>
                <w:szCs w:val="20"/>
                <w:u w:val="single"/>
                <w:lang w:val="en-US" w:eastAsia="zh-CN"/>
              </w:rPr>
              <w:t xml:space="preserve">  </w:t>
            </w:r>
            <w:r>
              <w:rPr>
                <w:rFonts w:ascii="宋体" w:hAnsi="宋体"/>
                <w:b/>
                <w:snapToGrid w:val="0"/>
                <w:color w:val="auto"/>
                <w:kern w:val="2"/>
                <w:sz w:val="20"/>
                <w:szCs w:val="20"/>
                <w:u w:val="single"/>
              </w:rPr>
              <w:t>日</w:t>
            </w:r>
          </w:p>
          <w:p>
            <w:pPr>
              <w:pStyle w:val="4"/>
              <w:snapToGrid w:val="0"/>
              <w:spacing w:line="240" w:lineRule="exact"/>
              <w:ind w:firstLine="0"/>
              <w:jc w:val="left"/>
              <w:rPr>
                <w:rFonts w:ascii="宋体" w:hAnsi="宋体"/>
                <w:snapToGrid w:val="0"/>
                <w:color w:val="auto"/>
                <w:kern w:val="2"/>
                <w:sz w:val="20"/>
              </w:rPr>
            </w:pPr>
            <w:r>
              <w:rPr>
                <w:rFonts w:ascii="宋体" w:hAnsi="宋体"/>
                <w:snapToGrid w:val="0"/>
                <w:color w:val="auto"/>
                <w:kern w:val="2"/>
                <w:sz w:val="20"/>
                <w:szCs w:val="20"/>
              </w:rPr>
              <w:t>计划</w:t>
            </w:r>
            <w:r>
              <w:rPr>
                <w:rFonts w:hint="eastAsia" w:ascii="宋体" w:hAnsi="宋体"/>
                <w:snapToGrid w:val="0"/>
                <w:color w:val="auto"/>
                <w:kern w:val="2"/>
                <w:sz w:val="20"/>
                <w:szCs w:val="20"/>
              </w:rPr>
              <w:t>完</w:t>
            </w:r>
            <w:r>
              <w:rPr>
                <w:rFonts w:ascii="宋体" w:hAnsi="宋体"/>
                <w:snapToGrid w:val="0"/>
                <w:color w:val="auto"/>
                <w:kern w:val="2"/>
                <w:sz w:val="20"/>
                <w:szCs w:val="20"/>
              </w:rPr>
              <w:t>工日期：</w:t>
            </w:r>
            <w:r>
              <w:rPr>
                <w:rFonts w:hint="eastAsia" w:ascii="宋体" w:hAnsi="宋体"/>
                <w:b/>
                <w:snapToGrid w:val="0"/>
                <w:color w:val="auto"/>
                <w:kern w:val="2"/>
                <w:sz w:val="20"/>
                <w:szCs w:val="20"/>
                <w:u w:val="single"/>
              </w:rPr>
              <w:t>2020</w:t>
            </w:r>
            <w:r>
              <w:rPr>
                <w:rFonts w:ascii="宋体" w:hAnsi="宋体"/>
                <w:b/>
                <w:snapToGrid w:val="0"/>
                <w:color w:val="auto"/>
                <w:kern w:val="2"/>
                <w:sz w:val="20"/>
                <w:szCs w:val="20"/>
                <w:u w:val="single"/>
              </w:rPr>
              <w:t>年</w:t>
            </w:r>
            <w:r>
              <w:rPr>
                <w:rFonts w:hint="eastAsia" w:ascii="宋体" w:hAnsi="宋体"/>
                <w:b/>
                <w:snapToGrid w:val="0"/>
                <w:color w:val="auto"/>
                <w:kern w:val="2"/>
                <w:sz w:val="20"/>
                <w:szCs w:val="20"/>
                <w:u w:val="single"/>
                <w:lang w:val="en-US" w:eastAsia="zh-CN"/>
              </w:rPr>
              <w:t xml:space="preserve">  </w:t>
            </w:r>
            <w:r>
              <w:rPr>
                <w:rFonts w:ascii="宋体" w:hAnsi="宋体"/>
                <w:b/>
                <w:snapToGrid w:val="0"/>
                <w:color w:val="auto"/>
                <w:kern w:val="2"/>
                <w:sz w:val="20"/>
                <w:szCs w:val="20"/>
                <w:u w:val="single"/>
              </w:rPr>
              <w:t>月</w:t>
            </w:r>
            <w:r>
              <w:rPr>
                <w:rFonts w:hint="eastAsia" w:ascii="宋体" w:hAnsi="宋体"/>
                <w:b/>
                <w:snapToGrid w:val="0"/>
                <w:color w:val="auto"/>
                <w:kern w:val="2"/>
                <w:sz w:val="20"/>
                <w:szCs w:val="20"/>
                <w:u w:val="single"/>
              </w:rPr>
              <w:t xml:space="preserve">  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876" w:type="dxa"/>
            <w:vAlign w:val="center"/>
          </w:tcPr>
          <w:p>
            <w:pPr>
              <w:tabs>
                <w:tab w:val="left" w:pos="10324"/>
              </w:tabs>
              <w:snapToGrid w:val="0"/>
              <w:spacing w:line="240" w:lineRule="exact"/>
              <w:jc w:val="center"/>
              <w:rPr>
                <w:rFonts w:ascii="宋体" w:hAnsi="宋体"/>
                <w:snapToGrid w:val="0"/>
                <w:kern w:val="2"/>
                <w:sz w:val="20"/>
              </w:rPr>
            </w:pPr>
            <w:r>
              <w:rPr>
                <w:rFonts w:ascii="宋体" w:hAnsi="宋体"/>
                <w:snapToGrid w:val="0"/>
                <w:kern w:val="2"/>
                <w:sz w:val="20"/>
              </w:rPr>
              <w:t>1.3.3</w:t>
            </w:r>
          </w:p>
        </w:tc>
        <w:tc>
          <w:tcPr>
            <w:tcW w:w="2280" w:type="dxa"/>
            <w:vAlign w:val="center"/>
          </w:tcPr>
          <w:p>
            <w:pPr>
              <w:tabs>
                <w:tab w:val="left" w:pos="10324"/>
              </w:tabs>
              <w:snapToGrid w:val="0"/>
              <w:spacing w:line="240" w:lineRule="exact"/>
              <w:jc w:val="center"/>
              <w:rPr>
                <w:rFonts w:ascii="宋体" w:hAnsi="宋体"/>
                <w:snapToGrid w:val="0"/>
                <w:kern w:val="2"/>
                <w:sz w:val="20"/>
              </w:rPr>
            </w:pPr>
            <w:r>
              <w:rPr>
                <w:rFonts w:ascii="宋体" w:hAnsi="宋体"/>
                <w:snapToGrid w:val="0"/>
                <w:kern w:val="2"/>
                <w:sz w:val="20"/>
              </w:rPr>
              <w:t>质量要求</w:t>
            </w:r>
          </w:p>
        </w:tc>
        <w:tc>
          <w:tcPr>
            <w:tcW w:w="5680" w:type="dxa"/>
            <w:vAlign w:val="center"/>
          </w:tcPr>
          <w:p>
            <w:pPr>
              <w:pStyle w:val="4"/>
              <w:snapToGrid w:val="0"/>
              <w:spacing w:line="240" w:lineRule="exact"/>
              <w:ind w:firstLine="0"/>
              <w:jc w:val="left"/>
              <w:rPr>
                <w:rFonts w:ascii="宋体" w:hAnsi="宋体"/>
                <w:snapToGrid w:val="0"/>
                <w:kern w:val="2"/>
                <w:sz w:val="20"/>
              </w:rPr>
            </w:pPr>
            <w:r>
              <w:rPr>
                <w:rFonts w:ascii="宋体" w:hAnsi="宋体"/>
                <w:snapToGrid w:val="0"/>
                <w:kern w:val="2"/>
                <w:sz w:val="20"/>
              </w:rPr>
              <w:t>合格</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911" w:hRule="atLeast"/>
        </w:trPr>
        <w:tc>
          <w:tcPr>
            <w:tcW w:w="876" w:type="dxa"/>
            <w:vAlign w:val="center"/>
          </w:tcPr>
          <w:p>
            <w:pPr>
              <w:tabs>
                <w:tab w:val="left" w:pos="10324"/>
              </w:tabs>
              <w:snapToGrid w:val="0"/>
              <w:spacing w:line="240" w:lineRule="exact"/>
              <w:jc w:val="center"/>
              <w:rPr>
                <w:rFonts w:ascii="宋体" w:hAnsi="宋体"/>
                <w:snapToGrid w:val="0"/>
                <w:kern w:val="2"/>
                <w:sz w:val="20"/>
              </w:rPr>
            </w:pPr>
            <w:r>
              <w:rPr>
                <w:rFonts w:ascii="宋体" w:hAnsi="宋体"/>
                <w:snapToGrid w:val="0"/>
                <w:kern w:val="2"/>
                <w:sz w:val="20"/>
              </w:rPr>
              <w:t>1.4.1</w:t>
            </w:r>
          </w:p>
        </w:tc>
        <w:tc>
          <w:tcPr>
            <w:tcW w:w="2280" w:type="dxa"/>
            <w:vAlign w:val="center"/>
          </w:tcPr>
          <w:p>
            <w:pPr>
              <w:tabs>
                <w:tab w:val="left" w:pos="10324"/>
              </w:tabs>
              <w:snapToGrid w:val="0"/>
              <w:spacing w:line="240" w:lineRule="exact"/>
              <w:jc w:val="center"/>
              <w:rPr>
                <w:rFonts w:ascii="宋体" w:hAnsi="宋体"/>
                <w:snapToGrid w:val="0"/>
                <w:kern w:val="2"/>
                <w:sz w:val="20"/>
              </w:rPr>
            </w:pPr>
            <w:r>
              <w:rPr>
                <w:rFonts w:hint="eastAsia" w:ascii="宋体" w:hAnsi="宋体"/>
                <w:snapToGrid w:val="0"/>
                <w:kern w:val="2"/>
                <w:sz w:val="20"/>
              </w:rPr>
              <w:t>竞包人</w:t>
            </w:r>
            <w:r>
              <w:rPr>
                <w:rFonts w:ascii="宋体" w:hAnsi="宋体"/>
                <w:snapToGrid w:val="0"/>
                <w:kern w:val="2"/>
                <w:sz w:val="20"/>
              </w:rPr>
              <w:t>资质条件、能力和信誉</w:t>
            </w:r>
          </w:p>
        </w:tc>
        <w:tc>
          <w:tcPr>
            <w:tcW w:w="5680" w:type="dxa"/>
          </w:tcPr>
          <w:p>
            <w:pPr>
              <w:tabs>
                <w:tab w:val="left" w:pos="10324"/>
              </w:tabs>
              <w:snapToGrid w:val="0"/>
              <w:spacing w:line="240" w:lineRule="exact"/>
              <w:ind w:right="-28"/>
              <w:jc w:val="left"/>
              <w:rPr>
                <w:rFonts w:ascii="宋体" w:cs="宋体"/>
                <w:kern w:val="2"/>
                <w:sz w:val="20"/>
              </w:rPr>
            </w:pPr>
            <w:r>
              <w:rPr>
                <w:rFonts w:hint="eastAsia" w:ascii="宋体" w:cs="宋体"/>
                <w:kern w:val="2"/>
                <w:sz w:val="20"/>
              </w:rPr>
              <w:t>资质条件：</w:t>
            </w:r>
            <w:r>
              <w:rPr>
                <w:rFonts w:hint="eastAsia" w:ascii="宋体" w:cs="宋体"/>
                <w:kern w:val="2"/>
                <w:sz w:val="20"/>
                <w:szCs w:val="20"/>
              </w:rPr>
              <w:t>竞包人应具备</w:t>
            </w:r>
            <w:r>
              <w:rPr>
                <w:rFonts w:hint="eastAsia" w:ascii="宋体" w:cs="宋体"/>
                <w:kern w:val="2"/>
                <w:sz w:val="20"/>
                <w:szCs w:val="20"/>
                <w:u w:val="single"/>
              </w:rPr>
              <w:t>水利水电工程施工总承包叁级及以上独立法人资质，并具有有效营业执照和安全生产许可证。</w:t>
            </w:r>
            <w:r>
              <w:rPr>
                <w:rFonts w:hint="eastAsia" w:ascii="宋体" w:cs="宋体"/>
                <w:kern w:val="2"/>
                <w:sz w:val="20"/>
              </w:rPr>
              <w:t>财务要求：拟投入本项目的流动资金不少于/万元。</w:t>
            </w:r>
          </w:p>
          <w:p>
            <w:pPr>
              <w:tabs>
                <w:tab w:val="left" w:pos="10324"/>
              </w:tabs>
              <w:snapToGrid w:val="0"/>
              <w:spacing w:line="240" w:lineRule="exact"/>
              <w:ind w:right="-28"/>
              <w:jc w:val="left"/>
              <w:rPr>
                <w:rFonts w:ascii="宋体" w:cs="宋体"/>
                <w:kern w:val="2"/>
                <w:sz w:val="20"/>
              </w:rPr>
            </w:pPr>
            <w:r>
              <w:rPr>
                <w:rFonts w:hint="eastAsia" w:ascii="宋体" w:cs="宋体"/>
                <w:kern w:val="2"/>
                <w:sz w:val="20"/>
              </w:rPr>
              <w:t>业绩要求：见发包公告及竞包人资格条件要求附表。</w:t>
            </w:r>
          </w:p>
          <w:p>
            <w:pPr>
              <w:tabs>
                <w:tab w:val="left" w:pos="10324"/>
              </w:tabs>
              <w:snapToGrid w:val="0"/>
              <w:spacing w:line="240" w:lineRule="exact"/>
              <w:ind w:right="-28"/>
              <w:jc w:val="left"/>
              <w:rPr>
                <w:rFonts w:ascii="宋体" w:cs="宋体"/>
                <w:kern w:val="2"/>
                <w:sz w:val="20"/>
              </w:rPr>
            </w:pPr>
            <w:r>
              <w:rPr>
                <w:rFonts w:hint="eastAsia" w:ascii="宋体" w:cs="宋体"/>
                <w:kern w:val="2"/>
                <w:sz w:val="20"/>
              </w:rPr>
              <w:t>信誉要求：见发包公告及竞包人资格条件要求附表。</w:t>
            </w:r>
          </w:p>
          <w:p>
            <w:pPr>
              <w:tabs>
                <w:tab w:val="left" w:pos="10324"/>
              </w:tabs>
              <w:snapToGrid w:val="0"/>
              <w:spacing w:line="240" w:lineRule="exact"/>
              <w:ind w:right="-28"/>
              <w:jc w:val="left"/>
              <w:rPr>
                <w:rFonts w:ascii="宋体" w:cs="宋体"/>
                <w:kern w:val="2"/>
                <w:sz w:val="20"/>
              </w:rPr>
            </w:pPr>
            <w:r>
              <w:rPr>
                <w:rFonts w:hint="eastAsia" w:ascii="宋体" w:cs="宋体"/>
                <w:kern w:val="2"/>
                <w:sz w:val="20"/>
              </w:rPr>
              <w:t>项目负责人资格：详见竞包人资格条件要求附表。</w:t>
            </w:r>
          </w:p>
          <w:p>
            <w:pPr>
              <w:tabs>
                <w:tab w:val="left" w:pos="10324"/>
              </w:tabs>
              <w:snapToGrid w:val="0"/>
              <w:spacing w:line="240" w:lineRule="exact"/>
              <w:ind w:right="-28"/>
              <w:jc w:val="left"/>
              <w:rPr>
                <w:rFonts w:ascii="宋体" w:cs="宋体"/>
                <w:kern w:val="2"/>
                <w:sz w:val="20"/>
              </w:rPr>
            </w:pPr>
            <w:r>
              <w:rPr>
                <w:rFonts w:hint="eastAsia" w:ascii="宋体" w:cs="宋体"/>
                <w:kern w:val="2"/>
                <w:sz w:val="20"/>
              </w:rPr>
              <w:t>项目技术负责人资格：详见竞包人资格条件要求附表。</w:t>
            </w:r>
          </w:p>
          <w:p>
            <w:pPr>
              <w:tabs>
                <w:tab w:val="left" w:pos="10324"/>
              </w:tabs>
              <w:snapToGrid w:val="0"/>
              <w:spacing w:line="240" w:lineRule="exact"/>
              <w:ind w:right="-28"/>
              <w:jc w:val="left"/>
              <w:rPr>
                <w:rFonts w:ascii="宋体" w:hAnsi="宋体"/>
                <w:snapToGrid w:val="0"/>
                <w:kern w:val="2"/>
                <w:sz w:val="20"/>
              </w:rPr>
            </w:pPr>
            <w:r>
              <w:rPr>
                <w:rFonts w:hint="eastAsia" w:ascii="宋体" w:cs="宋体"/>
                <w:kern w:val="2"/>
                <w:sz w:val="20"/>
              </w:rPr>
              <w:t>其他要求：详见竞包人资格条件要求附表。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31" w:hRule="atLeast"/>
        </w:trPr>
        <w:tc>
          <w:tcPr>
            <w:tcW w:w="876" w:type="dxa"/>
            <w:vAlign w:val="center"/>
          </w:tcPr>
          <w:p>
            <w:pPr>
              <w:snapToGrid w:val="0"/>
              <w:spacing w:line="240" w:lineRule="exact"/>
              <w:jc w:val="center"/>
              <w:rPr>
                <w:rFonts w:ascii="宋体" w:hAnsi="宋体"/>
                <w:snapToGrid w:val="0"/>
                <w:kern w:val="2"/>
                <w:sz w:val="20"/>
              </w:rPr>
            </w:pPr>
            <w:r>
              <w:rPr>
                <w:rFonts w:ascii="宋体" w:hAnsi="宋体"/>
                <w:snapToGrid w:val="0"/>
                <w:kern w:val="2"/>
                <w:sz w:val="20"/>
              </w:rPr>
              <w:t>1.4.2</w:t>
            </w:r>
          </w:p>
        </w:tc>
        <w:tc>
          <w:tcPr>
            <w:tcW w:w="2280" w:type="dxa"/>
            <w:vAlign w:val="center"/>
          </w:tcPr>
          <w:p>
            <w:pPr>
              <w:snapToGrid w:val="0"/>
              <w:spacing w:line="240" w:lineRule="exact"/>
              <w:jc w:val="center"/>
              <w:rPr>
                <w:rFonts w:ascii="宋体" w:hAnsi="宋体"/>
                <w:snapToGrid w:val="0"/>
                <w:kern w:val="2"/>
                <w:sz w:val="20"/>
              </w:rPr>
            </w:pPr>
            <w:r>
              <w:rPr>
                <w:rFonts w:ascii="宋体" w:hAnsi="宋体"/>
                <w:snapToGrid w:val="0"/>
                <w:kern w:val="2"/>
                <w:sz w:val="20"/>
              </w:rPr>
              <w:t>是否接受联合体</w:t>
            </w:r>
            <w:r>
              <w:rPr>
                <w:rFonts w:hint="eastAsia" w:ascii="宋体" w:hAnsi="宋体"/>
                <w:snapToGrid w:val="0"/>
                <w:kern w:val="2"/>
                <w:sz w:val="20"/>
              </w:rPr>
              <w:t>竞包</w:t>
            </w:r>
          </w:p>
        </w:tc>
        <w:tc>
          <w:tcPr>
            <w:tcW w:w="5680" w:type="dxa"/>
            <w:vAlign w:val="center"/>
          </w:tcPr>
          <w:p>
            <w:pPr>
              <w:autoSpaceDE/>
              <w:autoSpaceDN/>
              <w:adjustRightInd/>
              <w:snapToGrid w:val="0"/>
              <w:spacing w:line="240" w:lineRule="exact"/>
              <w:textAlignment w:val="auto"/>
              <w:rPr>
                <w:rFonts w:ascii="宋体" w:hAnsi="宋体"/>
                <w:snapToGrid w:val="0"/>
                <w:kern w:val="2"/>
                <w:sz w:val="20"/>
              </w:rPr>
            </w:pPr>
            <w:r>
              <w:rPr>
                <w:snapToGrid w:val="0"/>
                <w:kern w:val="2"/>
                <w:sz w:val="20"/>
              </w:rPr>
              <w:sym w:font="Wingdings" w:char="F0FE"/>
            </w:r>
            <w:r>
              <w:rPr>
                <w:rFonts w:hint="eastAsia" w:ascii="宋体" w:hAnsi="宋体"/>
                <w:snapToGrid w:val="0"/>
                <w:kern w:val="2"/>
                <w:sz w:val="20"/>
              </w:rPr>
              <w:t>不</w:t>
            </w:r>
            <w:r>
              <w:rPr>
                <w:rFonts w:ascii="宋体" w:hAnsi="宋体"/>
                <w:snapToGrid w:val="0"/>
                <w:kern w:val="2"/>
                <w:sz w:val="20"/>
              </w:rPr>
              <w:t>接受</w:t>
            </w:r>
          </w:p>
          <w:p>
            <w:pPr>
              <w:autoSpaceDE/>
              <w:autoSpaceDN/>
              <w:adjustRightInd/>
              <w:snapToGrid w:val="0"/>
              <w:spacing w:line="240" w:lineRule="exact"/>
              <w:textAlignment w:val="auto"/>
              <w:rPr>
                <w:rFonts w:ascii="宋体" w:hAnsi="宋体"/>
                <w:snapToGrid w:val="0"/>
                <w:kern w:val="2"/>
                <w:sz w:val="20"/>
              </w:rPr>
            </w:pPr>
            <w:r>
              <w:rPr>
                <w:rFonts w:hint="eastAsia"/>
                <w:snapToGrid w:val="0"/>
                <w:kern w:val="2"/>
                <w:sz w:val="20"/>
              </w:rPr>
              <w:t>□</w:t>
            </w:r>
            <w:r>
              <w:rPr>
                <w:rFonts w:hint="eastAsia" w:ascii="宋体" w:hAnsi="宋体"/>
                <w:snapToGrid w:val="0"/>
                <w:kern w:val="2"/>
                <w:sz w:val="20"/>
              </w:rPr>
              <w:t>接受，应满足下列要求：</w:t>
            </w:r>
          </w:p>
          <w:p>
            <w:pPr>
              <w:autoSpaceDE/>
              <w:autoSpaceDN/>
              <w:adjustRightInd/>
              <w:snapToGrid w:val="0"/>
              <w:spacing w:line="240" w:lineRule="exact"/>
              <w:ind w:firstLine="300" w:firstLineChars="150"/>
              <w:textAlignment w:val="auto"/>
              <w:rPr>
                <w:rFonts w:ascii="宋体" w:hAnsi="宋体"/>
                <w:snapToGrid w:val="0"/>
                <w:kern w:val="2"/>
                <w:sz w:val="20"/>
              </w:rPr>
            </w:pPr>
            <w:r>
              <w:rPr>
                <w:rFonts w:hint="eastAsia" w:ascii="宋体" w:hAnsi="宋体"/>
                <w:snapToGrid w:val="0"/>
                <w:kern w:val="2"/>
                <w:sz w:val="20"/>
              </w:rPr>
              <w:t>1.联合体所有成员数量不得超过个；</w:t>
            </w:r>
          </w:p>
          <w:p>
            <w:pPr>
              <w:autoSpaceDE/>
              <w:autoSpaceDN/>
              <w:adjustRightInd/>
              <w:snapToGrid w:val="0"/>
              <w:spacing w:line="240" w:lineRule="exact"/>
              <w:textAlignment w:val="auto"/>
              <w:rPr>
                <w:rFonts w:ascii="宋体" w:hAnsi="宋体"/>
                <w:snapToGrid w:val="0"/>
                <w:kern w:val="2"/>
                <w:sz w:val="20"/>
              </w:rPr>
            </w:pPr>
            <w:r>
              <w:rPr>
                <w:rFonts w:hint="eastAsia" w:ascii="宋体" w:hAnsi="宋体"/>
                <w:snapToGrid w:val="0"/>
                <w:kern w:val="2"/>
                <w:sz w:val="20"/>
              </w:rPr>
              <w:t xml:space="preserve">   2.应以方作为联合体牵头人；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876" w:type="dxa"/>
            <w:vAlign w:val="center"/>
          </w:tcPr>
          <w:p>
            <w:pPr>
              <w:snapToGrid w:val="0"/>
              <w:spacing w:line="240" w:lineRule="exact"/>
              <w:jc w:val="center"/>
              <w:rPr>
                <w:rFonts w:ascii="宋体" w:hAnsi="宋体"/>
                <w:snapToGrid w:val="0"/>
                <w:kern w:val="2"/>
                <w:sz w:val="20"/>
              </w:rPr>
            </w:pPr>
            <w:r>
              <w:rPr>
                <w:rFonts w:ascii="宋体" w:hAnsi="宋体"/>
                <w:snapToGrid w:val="0"/>
                <w:kern w:val="2"/>
                <w:sz w:val="20"/>
              </w:rPr>
              <w:t>1.9</w:t>
            </w:r>
          </w:p>
        </w:tc>
        <w:tc>
          <w:tcPr>
            <w:tcW w:w="2280" w:type="dxa"/>
            <w:vAlign w:val="center"/>
          </w:tcPr>
          <w:p>
            <w:pPr>
              <w:widowControl/>
              <w:autoSpaceDE/>
              <w:autoSpaceDN/>
              <w:adjustRightInd/>
              <w:spacing w:line="240" w:lineRule="exact"/>
              <w:jc w:val="center"/>
              <w:textAlignment w:val="auto"/>
              <w:rPr>
                <w:rFonts w:ascii="宋体" w:hAnsi="宋体"/>
                <w:snapToGrid w:val="0"/>
                <w:kern w:val="2"/>
                <w:sz w:val="20"/>
              </w:rPr>
            </w:pPr>
            <w:r>
              <w:rPr>
                <w:rFonts w:ascii="宋体" w:hAnsi="宋体"/>
                <w:snapToGrid w:val="0"/>
                <w:kern w:val="2"/>
                <w:sz w:val="20"/>
              </w:rPr>
              <w:t>踏勘现场</w:t>
            </w:r>
          </w:p>
        </w:tc>
        <w:tc>
          <w:tcPr>
            <w:tcW w:w="5680" w:type="dxa"/>
            <w:vAlign w:val="center"/>
          </w:tcPr>
          <w:p>
            <w:pPr>
              <w:autoSpaceDE/>
              <w:autoSpaceDN/>
              <w:adjustRightInd/>
              <w:snapToGrid w:val="0"/>
              <w:spacing w:line="240" w:lineRule="exact"/>
              <w:textAlignment w:val="auto"/>
              <w:rPr>
                <w:snapToGrid w:val="0"/>
                <w:kern w:val="2"/>
                <w:sz w:val="20"/>
              </w:rPr>
            </w:pPr>
            <w:r>
              <w:rPr>
                <w:rFonts w:hint="eastAsia"/>
                <w:snapToGrid w:val="0"/>
                <w:kern w:val="2"/>
                <w:sz w:val="20"/>
              </w:rPr>
              <w:t>□组织</w:t>
            </w:r>
          </w:p>
          <w:p>
            <w:pPr>
              <w:autoSpaceDE/>
              <w:autoSpaceDN/>
              <w:adjustRightInd/>
              <w:snapToGrid w:val="0"/>
              <w:spacing w:line="240" w:lineRule="exact"/>
              <w:textAlignment w:val="auto"/>
              <w:rPr>
                <w:rFonts w:ascii="宋体" w:hAnsi="宋体"/>
                <w:snapToGrid w:val="0"/>
                <w:kern w:val="2"/>
                <w:sz w:val="20"/>
              </w:rPr>
            </w:pPr>
            <w:r>
              <w:rPr>
                <w:snapToGrid w:val="0"/>
                <w:kern w:val="2"/>
                <w:sz w:val="20"/>
              </w:rPr>
              <w:sym w:font="Wingdings" w:char="F0FE"/>
            </w:r>
            <w:r>
              <w:rPr>
                <w:rFonts w:hint="eastAsia"/>
                <w:snapToGrid w:val="0"/>
                <w:kern w:val="2"/>
                <w:sz w:val="20"/>
              </w:rPr>
              <w:t>不组织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876" w:type="dxa"/>
            <w:vAlign w:val="center"/>
          </w:tcPr>
          <w:p>
            <w:pPr>
              <w:snapToGrid w:val="0"/>
              <w:spacing w:line="240" w:lineRule="exact"/>
              <w:jc w:val="center"/>
              <w:rPr>
                <w:rFonts w:ascii="宋体" w:hAnsi="宋体"/>
                <w:snapToGrid w:val="0"/>
                <w:kern w:val="2"/>
                <w:sz w:val="20"/>
              </w:rPr>
            </w:pPr>
            <w:r>
              <w:rPr>
                <w:rFonts w:ascii="宋体" w:hAnsi="宋体"/>
                <w:snapToGrid w:val="0"/>
                <w:kern w:val="2"/>
                <w:sz w:val="20"/>
              </w:rPr>
              <w:t>1.10</w:t>
            </w:r>
          </w:p>
        </w:tc>
        <w:tc>
          <w:tcPr>
            <w:tcW w:w="2280" w:type="dxa"/>
            <w:vAlign w:val="center"/>
          </w:tcPr>
          <w:p>
            <w:pPr>
              <w:widowControl/>
              <w:autoSpaceDE/>
              <w:autoSpaceDN/>
              <w:adjustRightInd/>
              <w:spacing w:line="240" w:lineRule="exact"/>
              <w:jc w:val="center"/>
              <w:textAlignment w:val="auto"/>
              <w:rPr>
                <w:rFonts w:ascii="宋体" w:hAnsi="宋体"/>
                <w:snapToGrid w:val="0"/>
                <w:kern w:val="2"/>
                <w:sz w:val="20"/>
              </w:rPr>
            </w:pPr>
            <w:r>
              <w:rPr>
                <w:rFonts w:hint="eastAsia" w:ascii="宋体" w:hAnsi="宋体"/>
                <w:snapToGrid w:val="0"/>
                <w:kern w:val="2"/>
                <w:sz w:val="20"/>
              </w:rPr>
              <w:t>竞包</w:t>
            </w:r>
            <w:r>
              <w:rPr>
                <w:rFonts w:ascii="宋体" w:hAnsi="宋体"/>
                <w:snapToGrid w:val="0"/>
                <w:kern w:val="2"/>
                <w:sz w:val="20"/>
              </w:rPr>
              <w:t>预备会</w:t>
            </w:r>
          </w:p>
        </w:tc>
        <w:tc>
          <w:tcPr>
            <w:tcW w:w="5680" w:type="dxa"/>
            <w:vAlign w:val="center"/>
          </w:tcPr>
          <w:p>
            <w:pPr>
              <w:numPr>
                <w:ilvl w:val="0"/>
                <w:numId w:val="4"/>
              </w:numPr>
              <w:autoSpaceDE/>
              <w:autoSpaceDN/>
              <w:adjustRightInd/>
              <w:snapToGrid w:val="0"/>
              <w:spacing w:line="240" w:lineRule="exact"/>
              <w:textAlignment w:val="auto"/>
              <w:rPr>
                <w:snapToGrid w:val="0"/>
                <w:kern w:val="2"/>
                <w:sz w:val="20"/>
              </w:rPr>
            </w:pPr>
            <w:r>
              <w:rPr>
                <w:rFonts w:hint="eastAsia"/>
                <w:snapToGrid w:val="0"/>
                <w:kern w:val="2"/>
                <w:sz w:val="20"/>
              </w:rPr>
              <w:t>召开</w:t>
            </w:r>
          </w:p>
          <w:p>
            <w:pPr>
              <w:autoSpaceDE/>
              <w:autoSpaceDN/>
              <w:adjustRightInd/>
              <w:snapToGrid w:val="0"/>
              <w:spacing w:line="240" w:lineRule="exact"/>
              <w:textAlignment w:val="auto"/>
              <w:rPr>
                <w:rFonts w:ascii="宋体" w:hAnsi="宋体"/>
                <w:snapToGrid w:val="0"/>
                <w:kern w:val="2"/>
                <w:sz w:val="20"/>
              </w:rPr>
            </w:pPr>
            <w:r>
              <w:rPr>
                <w:snapToGrid w:val="0"/>
                <w:kern w:val="2"/>
                <w:sz w:val="20"/>
              </w:rPr>
              <w:sym w:font="Wingdings" w:char="00FE"/>
            </w:r>
            <w:r>
              <w:rPr>
                <w:snapToGrid w:val="0"/>
                <w:kern w:val="2"/>
                <w:sz w:val="20"/>
              </w:rPr>
              <w:t>不召开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876" w:type="dxa"/>
            <w:tcBorders>
              <w:top w:val="single" w:color="auto" w:sz="4" w:space="0"/>
              <w:left w:val="single" w:color="auto" w:sz="8" w:space="0"/>
              <w:bottom w:val="single" w:color="auto" w:sz="4" w:space="0"/>
              <w:right w:val="single" w:color="auto" w:sz="4" w:space="0"/>
            </w:tcBorders>
            <w:vAlign w:val="center"/>
          </w:tcPr>
          <w:p>
            <w:pPr>
              <w:snapToGrid w:val="0"/>
              <w:spacing w:line="240" w:lineRule="exact"/>
              <w:rPr>
                <w:rFonts w:ascii="宋体" w:hAnsi="宋体"/>
                <w:snapToGrid w:val="0"/>
                <w:kern w:val="2"/>
                <w:sz w:val="20"/>
              </w:rPr>
            </w:pPr>
            <w:r>
              <w:rPr>
                <w:rFonts w:ascii="宋体" w:hAnsi="宋体"/>
                <w:snapToGrid w:val="0"/>
                <w:kern w:val="2"/>
                <w:sz w:val="20"/>
              </w:rPr>
              <w:t>1.11</w:t>
            </w:r>
          </w:p>
        </w:tc>
        <w:tc>
          <w:tcPr>
            <w:tcW w:w="2280" w:type="dxa"/>
            <w:tcBorders>
              <w:top w:val="single" w:color="auto" w:sz="4" w:space="0"/>
              <w:left w:val="single" w:color="auto" w:sz="4" w:space="0"/>
              <w:bottom w:val="single" w:color="auto" w:sz="4" w:space="0"/>
              <w:right w:val="single" w:color="auto" w:sz="4" w:space="0"/>
            </w:tcBorders>
            <w:vAlign w:val="center"/>
          </w:tcPr>
          <w:p>
            <w:pPr>
              <w:widowControl/>
              <w:autoSpaceDE/>
              <w:autoSpaceDN/>
              <w:adjustRightInd/>
              <w:spacing w:line="240" w:lineRule="exact"/>
              <w:jc w:val="center"/>
              <w:textAlignment w:val="auto"/>
              <w:rPr>
                <w:rFonts w:ascii="宋体" w:hAnsi="宋体"/>
                <w:snapToGrid w:val="0"/>
                <w:kern w:val="2"/>
                <w:sz w:val="20"/>
              </w:rPr>
            </w:pPr>
            <w:r>
              <w:rPr>
                <w:rFonts w:ascii="宋体" w:hAnsi="宋体"/>
                <w:snapToGrid w:val="0"/>
                <w:kern w:val="2"/>
                <w:sz w:val="20"/>
              </w:rPr>
              <w:t>分包</w:t>
            </w:r>
          </w:p>
        </w:tc>
        <w:tc>
          <w:tcPr>
            <w:tcW w:w="5680" w:type="dxa"/>
            <w:tcBorders>
              <w:top w:val="single" w:color="auto" w:sz="4" w:space="0"/>
              <w:left w:val="single" w:color="auto" w:sz="4" w:space="0"/>
              <w:bottom w:val="single" w:color="auto" w:sz="4" w:space="0"/>
              <w:right w:val="single" w:color="auto" w:sz="8" w:space="0"/>
            </w:tcBorders>
            <w:vAlign w:val="center"/>
          </w:tcPr>
          <w:p>
            <w:pPr>
              <w:numPr>
                <w:ilvl w:val="0"/>
                <w:numId w:val="1"/>
              </w:numPr>
              <w:snapToGrid w:val="0"/>
              <w:spacing w:line="240" w:lineRule="exact"/>
              <w:rPr>
                <w:rFonts w:ascii="宋体" w:hAnsi="宋体"/>
                <w:b/>
                <w:kern w:val="2"/>
                <w:sz w:val="20"/>
                <w:u w:val="single"/>
              </w:rPr>
            </w:pPr>
            <w:r>
              <w:rPr>
                <w:rFonts w:hint="eastAsia"/>
                <w:snapToGrid w:val="0"/>
                <w:kern w:val="2"/>
                <w:sz w:val="20"/>
              </w:rPr>
              <w:t>允许，分包内容要求：</w:t>
            </w:r>
          </w:p>
          <w:p>
            <w:pPr>
              <w:snapToGrid w:val="0"/>
              <w:spacing w:line="240" w:lineRule="exact"/>
              <w:rPr>
                <w:snapToGrid w:val="0"/>
                <w:kern w:val="2"/>
                <w:sz w:val="20"/>
              </w:rPr>
            </w:pPr>
            <w:r>
              <w:rPr>
                <w:rFonts w:hint="eastAsia"/>
                <w:snapToGrid w:val="0"/>
                <w:kern w:val="2"/>
                <w:sz w:val="20"/>
              </w:rPr>
              <w:t>分包金额要求：</w:t>
            </w:r>
          </w:p>
          <w:p>
            <w:pPr>
              <w:snapToGrid w:val="0"/>
              <w:spacing w:line="240" w:lineRule="exact"/>
              <w:rPr>
                <w:snapToGrid w:val="0"/>
                <w:kern w:val="2"/>
                <w:sz w:val="20"/>
              </w:rPr>
            </w:pPr>
            <w:r>
              <w:rPr>
                <w:rFonts w:hint="eastAsia"/>
                <w:snapToGrid w:val="0"/>
                <w:kern w:val="2"/>
                <w:sz w:val="20"/>
              </w:rPr>
              <w:t>接受分包的第三人资质要求：</w:t>
            </w:r>
          </w:p>
          <w:p>
            <w:pPr>
              <w:snapToGrid w:val="0"/>
              <w:spacing w:line="240" w:lineRule="exact"/>
              <w:rPr>
                <w:rFonts w:ascii="宋体" w:hAnsi="宋体"/>
                <w:b/>
                <w:kern w:val="2"/>
                <w:sz w:val="20"/>
              </w:rPr>
            </w:pPr>
            <w:r>
              <w:rPr>
                <w:snapToGrid w:val="0"/>
                <w:kern w:val="2"/>
                <w:sz w:val="20"/>
              </w:rPr>
              <w:sym w:font="Wingdings" w:char="F0FE"/>
            </w:r>
            <w:r>
              <w:rPr>
                <w:rFonts w:hint="eastAsia"/>
                <w:snapToGrid w:val="0"/>
                <w:kern w:val="2"/>
                <w:sz w:val="20"/>
              </w:rPr>
              <w:t>不允许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876" w:type="dxa"/>
            <w:tcBorders>
              <w:top w:val="single" w:color="auto" w:sz="4" w:space="0"/>
              <w:left w:val="single" w:color="auto" w:sz="8" w:space="0"/>
              <w:bottom w:val="single" w:color="auto" w:sz="4" w:space="0"/>
              <w:right w:val="single" w:color="auto" w:sz="4" w:space="0"/>
            </w:tcBorders>
            <w:vAlign w:val="center"/>
          </w:tcPr>
          <w:p>
            <w:pPr>
              <w:snapToGrid w:val="0"/>
              <w:spacing w:line="240" w:lineRule="exact"/>
              <w:rPr>
                <w:rFonts w:ascii="宋体" w:hAnsi="宋体"/>
                <w:snapToGrid w:val="0"/>
                <w:kern w:val="2"/>
                <w:sz w:val="20"/>
              </w:rPr>
            </w:pPr>
            <w:r>
              <w:rPr>
                <w:rFonts w:ascii="宋体" w:hAnsi="宋体"/>
                <w:snapToGrid w:val="0"/>
                <w:kern w:val="2"/>
                <w:sz w:val="20"/>
              </w:rPr>
              <w:t>1.12</w:t>
            </w:r>
          </w:p>
        </w:tc>
        <w:tc>
          <w:tcPr>
            <w:tcW w:w="2280" w:type="dxa"/>
            <w:tcBorders>
              <w:top w:val="single" w:color="auto" w:sz="4" w:space="0"/>
              <w:left w:val="single" w:color="auto" w:sz="4" w:space="0"/>
              <w:bottom w:val="single" w:color="auto" w:sz="4" w:space="0"/>
              <w:right w:val="single" w:color="auto" w:sz="4" w:space="0"/>
            </w:tcBorders>
            <w:vAlign w:val="center"/>
          </w:tcPr>
          <w:p>
            <w:pPr>
              <w:widowControl/>
              <w:autoSpaceDE/>
              <w:autoSpaceDN/>
              <w:adjustRightInd/>
              <w:spacing w:line="240" w:lineRule="exact"/>
              <w:jc w:val="center"/>
              <w:textAlignment w:val="auto"/>
              <w:rPr>
                <w:rFonts w:ascii="宋体" w:hAnsi="宋体"/>
                <w:snapToGrid w:val="0"/>
                <w:kern w:val="2"/>
                <w:sz w:val="20"/>
              </w:rPr>
            </w:pPr>
            <w:r>
              <w:rPr>
                <w:rFonts w:ascii="宋体" w:hAnsi="宋体"/>
                <w:snapToGrid w:val="0"/>
                <w:kern w:val="2"/>
                <w:sz w:val="20"/>
              </w:rPr>
              <w:t>偏离</w:t>
            </w:r>
          </w:p>
        </w:tc>
        <w:tc>
          <w:tcPr>
            <w:tcW w:w="5680" w:type="dxa"/>
            <w:tcBorders>
              <w:top w:val="single" w:color="auto" w:sz="4" w:space="0"/>
              <w:left w:val="single" w:color="auto" w:sz="4" w:space="0"/>
              <w:bottom w:val="single" w:color="auto" w:sz="4" w:space="0"/>
              <w:right w:val="single" w:color="auto" w:sz="8" w:space="0"/>
            </w:tcBorders>
            <w:vAlign w:val="center"/>
          </w:tcPr>
          <w:p>
            <w:pPr>
              <w:snapToGrid w:val="0"/>
              <w:spacing w:line="240" w:lineRule="exact"/>
              <w:rPr>
                <w:rFonts w:ascii="宋体" w:hAnsi="宋体"/>
                <w:b/>
                <w:kern w:val="2"/>
                <w:sz w:val="20"/>
              </w:rPr>
            </w:pPr>
            <w:r>
              <w:rPr>
                <w:snapToGrid w:val="0"/>
                <w:kern w:val="2"/>
                <w:sz w:val="20"/>
              </w:rPr>
              <w:sym w:font="Wingdings" w:char="F0FE"/>
            </w:r>
            <w:r>
              <w:rPr>
                <w:rFonts w:hint="eastAsia"/>
                <w:snapToGrid w:val="0"/>
                <w:kern w:val="2"/>
                <w:sz w:val="20"/>
              </w:rPr>
              <w:t>不允许</w:t>
            </w:r>
          </w:p>
          <w:p>
            <w:pPr>
              <w:snapToGrid w:val="0"/>
              <w:spacing w:line="240" w:lineRule="exact"/>
              <w:rPr>
                <w:rFonts w:ascii="宋体" w:hAnsi="宋体"/>
                <w:b/>
                <w:kern w:val="2"/>
                <w:sz w:val="20"/>
              </w:rPr>
            </w:pPr>
            <w:r>
              <w:rPr>
                <w:rFonts w:hint="eastAsia"/>
                <w:snapToGrid w:val="0"/>
                <w:kern w:val="2"/>
                <w:sz w:val="20"/>
              </w:rPr>
              <w:t>□允许，偏差允许幅度及其处理方法：</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876" w:type="dxa"/>
            <w:tcBorders>
              <w:top w:val="single" w:color="auto" w:sz="4" w:space="0"/>
              <w:left w:val="single" w:color="auto" w:sz="8" w:space="0"/>
              <w:bottom w:val="single" w:color="auto" w:sz="4" w:space="0"/>
              <w:right w:val="single" w:color="auto" w:sz="4" w:space="0"/>
            </w:tcBorders>
            <w:vAlign w:val="center"/>
          </w:tcPr>
          <w:p>
            <w:pPr>
              <w:widowControl/>
              <w:autoSpaceDE/>
              <w:autoSpaceDN/>
              <w:adjustRightInd/>
              <w:spacing w:line="240" w:lineRule="exact"/>
              <w:textAlignment w:val="auto"/>
              <w:rPr>
                <w:rFonts w:ascii="宋体" w:hAnsi="宋体"/>
                <w:snapToGrid w:val="0"/>
                <w:kern w:val="2"/>
                <w:sz w:val="20"/>
              </w:rPr>
            </w:pPr>
            <w:r>
              <w:rPr>
                <w:rFonts w:hint="eastAsia" w:ascii="宋体" w:hAnsi="宋体"/>
                <w:bCs/>
                <w:kern w:val="2"/>
                <w:sz w:val="20"/>
              </w:rPr>
              <w:t>2.2.1</w:t>
            </w:r>
          </w:p>
        </w:tc>
        <w:tc>
          <w:tcPr>
            <w:tcW w:w="2280" w:type="dxa"/>
            <w:tcBorders>
              <w:top w:val="single" w:color="auto" w:sz="4" w:space="0"/>
              <w:left w:val="single" w:color="auto" w:sz="4" w:space="0"/>
              <w:bottom w:val="single" w:color="auto" w:sz="4" w:space="0"/>
              <w:right w:val="single" w:color="auto" w:sz="4" w:space="0"/>
            </w:tcBorders>
            <w:vAlign w:val="center"/>
          </w:tcPr>
          <w:p>
            <w:pPr>
              <w:widowControl/>
              <w:autoSpaceDE/>
              <w:autoSpaceDN/>
              <w:adjustRightInd/>
              <w:spacing w:line="240" w:lineRule="exact"/>
              <w:textAlignment w:val="auto"/>
              <w:rPr>
                <w:rFonts w:ascii="宋体" w:hAnsi="宋体"/>
                <w:snapToGrid w:val="0"/>
                <w:color w:val="auto"/>
                <w:kern w:val="2"/>
                <w:sz w:val="20"/>
                <w:highlight w:val="none"/>
              </w:rPr>
            </w:pPr>
            <w:r>
              <w:rPr>
                <w:rFonts w:hint="eastAsia" w:ascii="宋体" w:hAnsi="宋体"/>
                <w:bCs/>
                <w:color w:val="auto"/>
                <w:kern w:val="2"/>
                <w:sz w:val="20"/>
                <w:highlight w:val="none"/>
              </w:rPr>
              <w:t>竞包人提疑的截止时间</w:t>
            </w:r>
          </w:p>
        </w:tc>
        <w:tc>
          <w:tcPr>
            <w:tcW w:w="5680" w:type="dxa"/>
            <w:tcBorders>
              <w:top w:val="single" w:color="auto" w:sz="4" w:space="0"/>
              <w:left w:val="single" w:color="auto" w:sz="4" w:space="0"/>
              <w:bottom w:val="single" w:color="auto" w:sz="4" w:space="0"/>
              <w:right w:val="single" w:color="auto" w:sz="8" w:space="0"/>
            </w:tcBorders>
            <w:vAlign w:val="center"/>
          </w:tcPr>
          <w:p>
            <w:pPr>
              <w:widowControl/>
              <w:autoSpaceDE/>
              <w:autoSpaceDN/>
              <w:adjustRightInd/>
              <w:spacing w:line="240" w:lineRule="exact"/>
              <w:textAlignment w:val="auto"/>
              <w:rPr>
                <w:rFonts w:ascii="宋体" w:hAnsi="宋体"/>
                <w:b/>
                <w:color w:val="auto"/>
                <w:kern w:val="2"/>
                <w:sz w:val="20"/>
                <w:highlight w:val="none"/>
              </w:rPr>
            </w:pPr>
            <w:r>
              <w:rPr>
                <w:rFonts w:hint="eastAsia" w:ascii="宋体" w:hAnsi="宋体"/>
                <w:b w:val="0"/>
                <w:bCs/>
                <w:color w:val="auto"/>
                <w:kern w:val="2"/>
                <w:sz w:val="20"/>
                <w:highlight w:val="none"/>
              </w:rPr>
              <w:t>2020年</w:t>
            </w:r>
            <w:r>
              <w:rPr>
                <w:rFonts w:hint="eastAsia" w:ascii="宋体" w:hAnsi="宋体"/>
                <w:b w:val="0"/>
                <w:bCs/>
                <w:color w:val="auto"/>
                <w:kern w:val="2"/>
                <w:sz w:val="20"/>
                <w:highlight w:val="none"/>
                <w:lang w:val="en-US" w:eastAsia="zh-CN"/>
              </w:rPr>
              <w:t>9</w:t>
            </w:r>
            <w:r>
              <w:rPr>
                <w:rFonts w:hint="eastAsia" w:ascii="宋体" w:hAnsi="宋体"/>
                <w:b w:val="0"/>
                <w:bCs/>
                <w:color w:val="auto"/>
                <w:kern w:val="2"/>
                <w:sz w:val="20"/>
                <w:highlight w:val="none"/>
              </w:rPr>
              <w:t>月</w:t>
            </w:r>
            <w:r>
              <w:rPr>
                <w:rFonts w:hint="eastAsia" w:ascii="宋体" w:hAnsi="宋体"/>
                <w:b w:val="0"/>
                <w:bCs/>
                <w:color w:val="auto"/>
                <w:kern w:val="2"/>
                <w:sz w:val="20"/>
                <w:highlight w:val="none"/>
                <w:lang w:val="en-US" w:eastAsia="zh-CN"/>
              </w:rPr>
              <w:t>19</w:t>
            </w:r>
            <w:r>
              <w:rPr>
                <w:rFonts w:hint="eastAsia" w:ascii="宋体" w:hAnsi="宋体"/>
                <w:b w:val="0"/>
                <w:bCs/>
                <w:color w:val="auto"/>
                <w:kern w:val="2"/>
                <w:sz w:val="20"/>
                <w:highlight w:val="none"/>
              </w:rPr>
              <w:t>日23时59分59秒</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876" w:type="dxa"/>
            <w:tcBorders>
              <w:top w:val="single" w:color="auto" w:sz="4" w:space="0"/>
              <w:left w:val="single" w:color="auto" w:sz="8" w:space="0"/>
              <w:bottom w:val="single" w:color="auto" w:sz="4" w:space="0"/>
              <w:right w:val="single" w:color="auto" w:sz="4" w:space="0"/>
            </w:tcBorders>
            <w:vAlign w:val="center"/>
          </w:tcPr>
          <w:p>
            <w:pPr>
              <w:widowControl/>
              <w:autoSpaceDE/>
              <w:autoSpaceDN/>
              <w:adjustRightInd/>
              <w:spacing w:line="240" w:lineRule="exact"/>
              <w:textAlignment w:val="auto"/>
              <w:rPr>
                <w:rFonts w:ascii="宋体" w:hAnsi="宋体"/>
                <w:snapToGrid w:val="0"/>
                <w:kern w:val="2"/>
                <w:sz w:val="20"/>
              </w:rPr>
            </w:pPr>
            <w:r>
              <w:rPr>
                <w:rFonts w:hint="eastAsia" w:ascii="宋体" w:hAnsi="宋体"/>
                <w:bCs/>
                <w:kern w:val="2"/>
                <w:sz w:val="20"/>
              </w:rPr>
              <w:t>2.2.2</w:t>
            </w:r>
          </w:p>
        </w:tc>
        <w:tc>
          <w:tcPr>
            <w:tcW w:w="2280" w:type="dxa"/>
            <w:tcBorders>
              <w:top w:val="single" w:color="auto" w:sz="4" w:space="0"/>
              <w:left w:val="single" w:color="auto" w:sz="4" w:space="0"/>
              <w:bottom w:val="single" w:color="auto" w:sz="4" w:space="0"/>
              <w:right w:val="single" w:color="auto" w:sz="4" w:space="0"/>
            </w:tcBorders>
            <w:vAlign w:val="center"/>
          </w:tcPr>
          <w:p>
            <w:pPr>
              <w:widowControl/>
              <w:autoSpaceDE/>
              <w:autoSpaceDN/>
              <w:adjustRightInd/>
              <w:spacing w:line="240" w:lineRule="exact"/>
              <w:textAlignment w:val="auto"/>
              <w:rPr>
                <w:rFonts w:ascii="宋体" w:hAnsi="宋体"/>
                <w:snapToGrid w:val="0"/>
                <w:color w:val="auto"/>
                <w:kern w:val="2"/>
                <w:sz w:val="20"/>
                <w:highlight w:val="none"/>
              </w:rPr>
            </w:pPr>
            <w:r>
              <w:rPr>
                <w:rFonts w:hint="eastAsia" w:ascii="宋体" w:hAnsi="宋体"/>
                <w:bCs/>
                <w:color w:val="auto"/>
                <w:kern w:val="2"/>
                <w:sz w:val="20"/>
                <w:highlight w:val="none"/>
              </w:rPr>
              <w:t>竞包截止时间</w:t>
            </w:r>
          </w:p>
        </w:tc>
        <w:tc>
          <w:tcPr>
            <w:tcW w:w="5680" w:type="dxa"/>
            <w:tcBorders>
              <w:top w:val="single" w:color="auto" w:sz="4" w:space="0"/>
              <w:left w:val="single" w:color="auto" w:sz="4" w:space="0"/>
              <w:bottom w:val="single" w:color="auto" w:sz="4" w:space="0"/>
              <w:right w:val="single" w:color="auto" w:sz="8" w:space="0"/>
            </w:tcBorders>
            <w:vAlign w:val="center"/>
          </w:tcPr>
          <w:p>
            <w:pPr>
              <w:widowControl/>
              <w:autoSpaceDE/>
              <w:autoSpaceDN/>
              <w:adjustRightInd/>
              <w:spacing w:line="240" w:lineRule="exact"/>
              <w:textAlignment w:val="auto"/>
              <w:rPr>
                <w:snapToGrid w:val="0"/>
                <w:color w:val="auto"/>
                <w:kern w:val="2"/>
                <w:sz w:val="20"/>
                <w:highlight w:val="none"/>
              </w:rPr>
            </w:pPr>
            <w:r>
              <w:rPr>
                <w:rFonts w:hint="eastAsia" w:ascii="宋体" w:hAnsi="宋体"/>
                <w:bCs/>
                <w:color w:val="auto"/>
                <w:kern w:val="2"/>
                <w:sz w:val="20"/>
                <w:highlight w:val="none"/>
              </w:rPr>
              <w:t>2020年</w:t>
            </w:r>
            <w:r>
              <w:rPr>
                <w:rFonts w:hint="eastAsia" w:ascii="宋体" w:hAnsi="宋体"/>
                <w:bCs/>
                <w:color w:val="auto"/>
                <w:kern w:val="2"/>
                <w:sz w:val="20"/>
                <w:highlight w:val="none"/>
                <w:lang w:val="en-US" w:eastAsia="zh-CN"/>
              </w:rPr>
              <w:t>9</w:t>
            </w:r>
            <w:r>
              <w:rPr>
                <w:rFonts w:hint="eastAsia" w:ascii="宋体" w:hAnsi="宋体"/>
                <w:bCs/>
                <w:color w:val="auto"/>
                <w:kern w:val="2"/>
                <w:sz w:val="20"/>
                <w:highlight w:val="none"/>
              </w:rPr>
              <w:t>月</w:t>
            </w:r>
            <w:r>
              <w:rPr>
                <w:rFonts w:hint="eastAsia" w:ascii="宋体" w:hAnsi="宋体"/>
                <w:bCs/>
                <w:color w:val="auto"/>
                <w:kern w:val="2"/>
                <w:sz w:val="20"/>
                <w:highlight w:val="none"/>
                <w:lang w:val="en-US" w:eastAsia="zh-CN"/>
              </w:rPr>
              <w:t>21</w:t>
            </w:r>
            <w:r>
              <w:rPr>
                <w:rFonts w:hint="eastAsia" w:ascii="宋体" w:hAnsi="宋体"/>
                <w:bCs/>
                <w:color w:val="auto"/>
                <w:kern w:val="2"/>
                <w:sz w:val="20"/>
                <w:highlight w:val="none"/>
              </w:rPr>
              <w:t>日</w:t>
            </w:r>
            <w:r>
              <w:rPr>
                <w:rFonts w:hint="eastAsia" w:ascii="宋体" w:hAnsi="宋体"/>
                <w:bCs/>
                <w:color w:val="auto"/>
                <w:kern w:val="2"/>
                <w:sz w:val="20"/>
                <w:highlight w:val="none"/>
                <w:lang w:val="en-US" w:eastAsia="zh-CN"/>
              </w:rPr>
              <w:t>0</w:t>
            </w:r>
            <w:r>
              <w:rPr>
                <w:rFonts w:hint="eastAsia" w:ascii="宋体" w:hAnsi="宋体"/>
                <w:bCs/>
                <w:color w:val="auto"/>
                <w:kern w:val="2"/>
                <w:sz w:val="20"/>
                <w:highlight w:val="none"/>
              </w:rPr>
              <w:t>9时</w:t>
            </w:r>
            <w:r>
              <w:rPr>
                <w:rFonts w:hint="eastAsia" w:ascii="宋体" w:hAnsi="宋体"/>
                <w:bCs/>
                <w:color w:val="auto"/>
                <w:kern w:val="2"/>
                <w:sz w:val="20"/>
                <w:highlight w:val="none"/>
                <w:lang w:val="en-US" w:eastAsia="zh-CN"/>
              </w:rPr>
              <w:t>30</w:t>
            </w:r>
            <w:r>
              <w:rPr>
                <w:rFonts w:hint="eastAsia" w:ascii="宋体" w:hAnsi="宋体"/>
                <w:bCs/>
                <w:color w:val="auto"/>
                <w:kern w:val="2"/>
                <w:sz w:val="20"/>
                <w:highlight w:val="none"/>
              </w:rPr>
              <w:t>分（以电子交易平台时间为准）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876" w:type="dxa"/>
            <w:tcBorders>
              <w:top w:val="single" w:color="auto" w:sz="4" w:space="0"/>
              <w:left w:val="single" w:color="auto" w:sz="8" w:space="0"/>
              <w:bottom w:val="single" w:color="auto" w:sz="4" w:space="0"/>
              <w:right w:val="single" w:color="auto" w:sz="4" w:space="0"/>
            </w:tcBorders>
            <w:vAlign w:val="center"/>
          </w:tcPr>
          <w:p>
            <w:pPr>
              <w:snapToGrid w:val="0"/>
              <w:spacing w:line="240" w:lineRule="exact"/>
              <w:rPr>
                <w:rFonts w:ascii="宋体" w:hAnsi="宋体"/>
                <w:bCs/>
                <w:kern w:val="2"/>
                <w:sz w:val="20"/>
              </w:rPr>
            </w:pPr>
            <w:r>
              <w:rPr>
                <w:rFonts w:hint="eastAsia" w:ascii="宋体" w:hAnsi="宋体"/>
                <w:snapToGrid w:val="0"/>
                <w:kern w:val="2"/>
                <w:sz w:val="20"/>
              </w:rPr>
              <w:t>2.2.3</w:t>
            </w:r>
          </w:p>
        </w:tc>
        <w:tc>
          <w:tcPr>
            <w:tcW w:w="2280" w:type="dxa"/>
            <w:tcBorders>
              <w:top w:val="single" w:color="auto" w:sz="4" w:space="0"/>
              <w:left w:val="single" w:color="auto" w:sz="4" w:space="0"/>
              <w:bottom w:val="single" w:color="auto" w:sz="4" w:space="0"/>
              <w:right w:val="single" w:color="auto" w:sz="4" w:space="0"/>
            </w:tcBorders>
            <w:vAlign w:val="center"/>
          </w:tcPr>
          <w:p>
            <w:pPr>
              <w:widowControl/>
              <w:autoSpaceDE/>
              <w:autoSpaceDN/>
              <w:adjustRightInd/>
              <w:spacing w:line="240" w:lineRule="exact"/>
              <w:jc w:val="center"/>
              <w:textAlignment w:val="auto"/>
              <w:rPr>
                <w:rFonts w:ascii="宋体" w:hAnsi="宋体"/>
                <w:bCs/>
                <w:kern w:val="2"/>
                <w:sz w:val="20"/>
              </w:rPr>
            </w:pPr>
            <w:r>
              <w:rPr>
                <w:rFonts w:hint="eastAsia" w:ascii="宋体" w:hAnsi="宋体"/>
                <w:snapToGrid w:val="0"/>
                <w:kern w:val="2"/>
                <w:sz w:val="20"/>
              </w:rPr>
              <w:t>提疑、答疑澄清的方式</w:t>
            </w:r>
          </w:p>
        </w:tc>
        <w:tc>
          <w:tcPr>
            <w:tcW w:w="5680" w:type="dxa"/>
            <w:tcBorders>
              <w:top w:val="single" w:color="auto" w:sz="4" w:space="0"/>
              <w:left w:val="single" w:color="auto" w:sz="4" w:space="0"/>
              <w:bottom w:val="single" w:color="auto" w:sz="4" w:space="0"/>
              <w:right w:val="single" w:color="auto" w:sz="8" w:space="0"/>
            </w:tcBorders>
            <w:vAlign w:val="center"/>
          </w:tcPr>
          <w:p>
            <w:pPr>
              <w:widowControl/>
              <w:autoSpaceDE/>
              <w:autoSpaceDN/>
              <w:adjustRightInd/>
              <w:spacing w:line="240" w:lineRule="exact"/>
              <w:textAlignment w:val="auto"/>
              <w:rPr>
                <w:rFonts w:ascii="宋体" w:hAnsi="宋体"/>
                <w:bCs/>
                <w:kern w:val="2"/>
                <w:sz w:val="20"/>
              </w:rPr>
            </w:pPr>
            <w:r>
              <w:rPr>
                <w:rFonts w:hint="eastAsia" w:ascii="宋体" w:hAnsi="宋体"/>
                <w:b/>
                <w:kern w:val="2"/>
                <w:sz w:val="20"/>
              </w:rPr>
              <w:t>提疑</w:t>
            </w:r>
            <w:r>
              <w:rPr>
                <w:rFonts w:hint="eastAsia" w:ascii="宋体" w:hAnsi="宋体"/>
                <w:bCs/>
                <w:kern w:val="2"/>
                <w:sz w:val="20"/>
              </w:rPr>
              <w:t>：竞包人对发包文件、工程量清单、施工图纸等有任何疑问，应于规定的提疑截止时间前通过登陆湖州市公共资源交易信息网</w:t>
            </w:r>
            <w:r>
              <w:rPr>
                <w:rFonts w:ascii="宋体" w:hAnsi="宋体"/>
                <w:bCs/>
                <w:kern w:val="2"/>
                <w:sz w:val="20"/>
              </w:rPr>
              <w:t>—</w:t>
            </w:r>
            <w:r>
              <w:rPr>
                <w:rFonts w:hint="eastAsia" w:ascii="宋体" w:hAnsi="宋体"/>
                <w:bCs/>
                <w:kern w:val="2"/>
                <w:sz w:val="20"/>
              </w:rPr>
              <w:t>湖州市限额发包平台</w:t>
            </w:r>
            <w:r>
              <w:rPr>
                <w:rFonts w:ascii="宋体" w:hAnsi="宋体"/>
                <w:bCs/>
                <w:kern w:val="2"/>
                <w:sz w:val="20"/>
              </w:rPr>
              <w:t>—</w:t>
            </w:r>
            <w:r>
              <w:rPr>
                <w:rFonts w:hint="eastAsia" w:ascii="宋体" w:hAnsi="宋体"/>
                <w:bCs/>
                <w:kern w:val="2"/>
                <w:sz w:val="20"/>
              </w:rPr>
              <w:t>交易主体登录</w:t>
            </w:r>
            <w:r>
              <w:rPr>
                <w:rFonts w:ascii="宋体" w:hAnsi="宋体"/>
                <w:bCs/>
                <w:kern w:val="2"/>
                <w:sz w:val="20"/>
              </w:rPr>
              <w:t>—</w:t>
            </w:r>
            <w:r>
              <w:rPr>
                <w:rFonts w:hint="eastAsia" w:ascii="宋体" w:hAnsi="宋体"/>
                <w:bCs/>
                <w:kern w:val="2"/>
                <w:sz w:val="20"/>
              </w:rPr>
              <w:t>电子交易平台</w:t>
            </w:r>
            <w:r>
              <w:rPr>
                <w:rFonts w:ascii="宋体" w:hAnsi="宋体"/>
                <w:bCs/>
                <w:kern w:val="2"/>
                <w:sz w:val="20"/>
              </w:rPr>
              <w:t>—</w:t>
            </w:r>
            <w:r>
              <w:rPr>
                <w:rFonts w:hint="eastAsia" w:ascii="宋体" w:hAnsi="宋体"/>
                <w:bCs/>
                <w:kern w:val="2"/>
                <w:sz w:val="20"/>
              </w:rPr>
              <w:t>网上提问，进行提疑；或于规定的提疑截止时间前在湖州市公共资源交易信息网</w:t>
            </w:r>
            <w:r>
              <w:rPr>
                <w:rFonts w:ascii="宋体" w:hAnsi="宋体"/>
                <w:bCs/>
                <w:kern w:val="2"/>
                <w:sz w:val="20"/>
              </w:rPr>
              <w:t>—</w:t>
            </w:r>
            <w:r>
              <w:rPr>
                <w:rFonts w:hint="eastAsia" w:ascii="宋体" w:hAnsi="宋体"/>
                <w:bCs/>
                <w:kern w:val="2"/>
                <w:sz w:val="20"/>
              </w:rPr>
              <w:t>湖州市限额发包平台</w:t>
            </w:r>
            <w:r>
              <w:rPr>
                <w:rFonts w:ascii="宋体" w:hAnsi="宋体"/>
                <w:bCs/>
                <w:kern w:val="2"/>
                <w:sz w:val="20"/>
              </w:rPr>
              <w:t>—</w:t>
            </w:r>
            <w:r>
              <w:rPr>
                <w:rFonts w:hint="eastAsia" w:ascii="宋体" w:hAnsi="宋体"/>
                <w:bCs/>
                <w:kern w:val="2"/>
                <w:sz w:val="20"/>
              </w:rPr>
              <w:t>“水利栏</w:t>
            </w:r>
            <w:r>
              <w:rPr>
                <w:rFonts w:ascii="宋体" w:hAnsi="宋体"/>
                <w:bCs/>
                <w:kern w:val="2"/>
                <w:sz w:val="20"/>
              </w:rPr>
              <w:t>-</w:t>
            </w:r>
            <w:r>
              <w:rPr>
                <w:rFonts w:hint="eastAsia" w:ascii="宋体" w:hAnsi="宋体"/>
                <w:bCs/>
                <w:kern w:val="2"/>
                <w:sz w:val="20"/>
              </w:rPr>
              <w:t>发包公告”中相应工程的公告中的“提问”区进行提疑；</w:t>
            </w:r>
          </w:p>
          <w:p>
            <w:pPr>
              <w:widowControl/>
              <w:autoSpaceDE/>
              <w:autoSpaceDN/>
              <w:adjustRightInd/>
              <w:spacing w:line="240" w:lineRule="exact"/>
              <w:textAlignment w:val="auto"/>
              <w:rPr>
                <w:rFonts w:ascii="宋体" w:hAnsi="宋体"/>
                <w:bCs/>
                <w:kern w:val="2"/>
                <w:sz w:val="20"/>
              </w:rPr>
            </w:pPr>
            <w:r>
              <w:rPr>
                <w:rFonts w:hint="eastAsia" w:ascii="宋体" w:hAnsi="宋体"/>
                <w:b/>
                <w:kern w:val="2"/>
                <w:sz w:val="20"/>
              </w:rPr>
              <w:t>答疑澄清</w:t>
            </w:r>
            <w:r>
              <w:rPr>
                <w:rFonts w:hint="eastAsia" w:ascii="宋体" w:hAnsi="宋体"/>
                <w:bCs/>
                <w:kern w:val="2"/>
                <w:sz w:val="20"/>
              </w:rPr>
              <w:t>：无论是发包人根据需要主动对发包文件进行必要的澄清，或是根据竞包人的对发包文件提交的疑问，发包人都将于规定的修改发包文件截止时间前通过湖州市公共资源交易系统进行发布。</w:t>
            </w:r>
          </w:p>
          <w:p>
            <w:pPr>
              <w:widowControl/>
              <w:autoSpaceDE/>
              <w:autoSpaceDN/>
              <w:adjustRightInd/>
              <w:spacing w:line="240" w:lineRule="exact"/>
              <w:textAlignment w:val="auto"/>
              <w:rPr>
                <w:rFonts w:ascii="宋体" w:hAnsi="宋体"/>
                <w:bCs/>
                <w:kern w:val="2"/>
                <w:sz w:val="20"/>
              </w:rPr>
            </w:pPr>
            <w:r>
              <w:rPr>
                <w:rFonts w:hint="eastAsia" w:ascii="宋体" w:hAnsi="宋体"/>
                <w:b/>
                <w:kern w:val="2"/>
                <w:sz w:val="20"/>
              </w:rPr>
              <w:t>查看答疑</w:t>
            </w:r>
            <w:r>
              <w:rPr>
                <w:rFonts w:hint="eastAsia" w:ascii="宋体" w:hAnsi="宋体"/>
                <w:bCs/>
                <w:kern w:val="2"/>
                <w:sz w:val="20"/>
              </w:rPr>
              <w:t>：竞包人应在竞包截止时间前登录湖州市公共资源交易信息网</w:t>
            </w:r>
            <w:r>
              <w:rPr>
                <w:rFonts w:ascii="宋体" w:hAnsi="宋体"/>
                <w:bCs/>
                <w:kern w:val="2"/>
                <w:sz w:val="20"/>
              </w:rPr>
              <w:t>—</w:t>
            </w:r>
            <w:r>
              <w:rPr>
                <w:rFonts w:hint="eastAsia" w:ascii="宋体" w:hAnsi="宋体"/>
                <w:bCs/>
                <w:kern w:val="2"/>
                <w:sz w:val="20"/>
              </w:rPr>
              <w:t>湖州市限额发包平台</w:t>
            </w:r>
            <w:r>
              <w:rPr>
                <w:rFonts w:ascii="宋体" w:hAnsi="宋体"/>
                <w:bCs/>
                <w:kern w:val="2"/>
                <w:sz w:val="20"/>
              </w:rPr>
              <w:t>—</w:t>
            </w:r>
            <w:r>
              <w:rPr>
                <w:rFonts w:hint="eastAsia" w:ascii="宋体" w:hAnsi="宋体"/>
                <w:bCs/>
                <w:kern w:val="2"/>
                <w:sz w:val="20"/>
              </w:rPr>
              <w:t>交易主体</w:t>
            </w:r>
            <w:r>
              <w:rPr>
                <w:rFonts w:ascii="宋体" w:hAnsi="宋体"/>
                <w:bCs/>
                <w:kern w:val="2"/>
                <w:sz w:val="20"/>
              </w:rPr>
              <w:t>-</w:t>
            </w:r>
            <w:r>
              <w:rPr>
                <w:rFonts w:hint="eastAsia" w:ascii="宋体" w:hAnsi="宋体"/>
                <w:bCs/>
                <w:kern w:val="2"/>
                <w:sz w:val="20"/>
              </w:rPr>
              <w:t>相应工程或在湖州市公共资源交易信息网湖州市限额发包平台</w:t>
            </w:r>
            <w:r>
              <w:rPr>
                <w:rFonts w:ascii="宋体" w:hAnsi="宋体"/>
                <w:bCs/>
                <w:kern w:val="2"/>
                <w:sz w:val="20"/>
              </w:rPr>
              <w:t>—</w:t>
            </w:r>
            <w:r>
              <w:rPr>
                <w:rFonts w:hint="eastAsia" w:ascii="宋体" w:hAnsi="宋体"/>
                <w:bCs/>
                <w:kern w:val="2"/>
                <w:sz w:val="20"/>
              </w:rPr>
              <w:t>“水利栏</w:t>
            </w:r>
            <w:r>
              <w:rPr>
                <w:rFonts w:ascii="宋体" w:hAnsi="宋体"/>
                <w:bCs/>
                <w:kern w:val="2"/>
                <w:sz w:val="20"/>
              </w:rPr>
              <w:t>-</w:t>
            </w:r>
            <w:r>
              <w:rPr>
                <w:rFonts w:hint="eastAsia" w:ascii="宋体" w:hAnsi="宋体"/>
                <w:bCs/>
                <w:kern w:val="2"/>
                <w:sz w:val="20"/>
              </w:rPr>
              <w:t>发包公告”相应工程公告中的“答疑信息”区随时查看系统中有关该工程的答疑澄清等内容。否则，由此引起的竞包损失自负。</w:t>
            </w:r>
          </w:p>
          <w:p>
            <w:pPr>
              <w:widowControl/>
              <w:autoSpaceDE/>
              <w:autoSpaceDN/>
              <w:adjustRightInd/>
              <w:spacing w:line="240" w:lineRule="exact"/>
              <w:textAlignment w:val="auto"/>
              <w:rPr>
                <w:rFonts w:ascii="宋体" w:hAnsi="宋体"/>
                <w:b/>
                <w:kern w:val="2"/>
                <w:sz w:val="20"/>
                <w:highlight w:val="yellow"/>
              </w:rPr>
            </w:pPr>
            <w:r>
              <w:rPr>
                <w:rFonts w:hint="eastAsia" w:ascii="宋体" w:hAnsi="宋体"/>
                <w:b/>
                <w:kern w:val="2"/>
                <w:sz w:val="20"/>
              </w:rPr>
              <w:t>查看方式</w:t>
            </w:r>
            <w:r>
              <w:rPr>
                <w:rFonts w:hint="eastAsia" w:ascii="宋体" w:hAnsi="宋体"/>
                <w:bCs/>
                <w:kern w:val="2"/>
                <w:sz w:val="20"/>
              </w:rPr>
              <w:t>：①通过湖州市公共资源交易信息网—交易主体登录—电子交易平台-进行查看②通过湖州市公共资源交易信息网（http://49.4.53.110/hzfront/）—“工程水利栏—发包公告”在本项目公告中的“答疑信息”区查看。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876" w:type="dxa"/>
            <w:tcBorders>
              <w:top w:val="single" w:color="auto" w:sz="4" w:space="0"/>
              <w:left w:val="single" w:color="auto" w:sz="8" w:space="0"/>
              <w:bottom w:val="single" w:color="auto" w:sz="4" w:space="0"/>
              <w:right w:val="single" w:color="auto" w:sz="4" w:space="0"/>
            </w:tcBorders>
            <w:vAlign w:val="center"/>
          </w:tcPr>
          <w:p>
            <w:pPr>
              <w:snapToGrid w:val="0"/>
              <w:spacing w:line="240" w:lineRule="exact"/>
              <w:rPr>
                <w:rFonts w:ascii="宋体" w:hAnsi="宋体"/>
                <w:b/>
                <w:bCs/>
                <w:snapToGrid w:val="0"/>
                <w:kern w:val="2"/>
                <w:sz w:val="20"/>
              </w:rPr>
            </w:pPr>
            <w:r>
              <w:rPr>
                <w:rFonts w:hint="eastAsia" w:ascii="宋体" w:hAnsi="宋体"/>
                <w:snapToGrid w:val="0"/>
                <w:kern w:val="2"/>
                <w:sz w:val="20"/>
              </w:rPr>
              <w:t>2.3.3</w:t>
            </w:r>
          </w:p>
        </w:tc>
        <w:tc>
          <w:tcPr>
            <w:tcW w:w="2280" w:type="dxa"/>
            <w:tcBorders>
              <w:top w:val="single" w:color="auto" w:sz="4" w:space="0"/>
              <w:left w:val="single" w:color="auto" w:sz="4" w:space="0"/>
              <w:bottom w:val="single" w:color="auto" w:sz="4" w:space="0"/>
              <w:right w:val="single" w:color="auto" w:sz="4" w:space="0"/>
            </w:tcBorders>
            <w:vAlign w:val="center"/>
          </w:tcPr>
          <w:p>
            <w:pPr>
              <w:widowControl/>
              <w:autoSpaceDE/>
              <w:autoSpaceDN/>
              <w:adjustRightInd/>
              <w:spacing w:line="240" w:lineRule="exact"/>
              <w:jc w:val="center"/>
              <w:textAlignment w:val="auto"/>
              <w:rPr>
                <w:rFonts w:ascii="宋体" w:hAnsi="宋体"/>
                <w:b/>
                <w:bCs/>
                <w:snapToGrid w:val="0"/>
                <w:kern w:val="2"/>
                <w:sz w:val="20"/>
              </w:rPr>
            </w:pPr>
            <w:r>
              <w:rPr>
                <w:rFonts w:hint="eastAsia" w:ascii="宋体" w:hAnsi="宋体"/>
                <w:snapToGrid w:val="0"/>
                <w:kern w:val="2"/>
                <w:sz w:val="20"/>
              </w:rPr>
              <w:t>异议</w:t>
            </w:r>
          </w:p>
        </w:tc>
        <w:tc>
          <w:tcPr>
            <w:tcW w:w="5680" w:type="dxa"/>
            <w:tcBorders>
              <w:top w:val="single" w:color="auto" w:sz="4" w:space="0"/>
              <w:left w:val="single" w:color="auto" w:sz="4" w:space="0"/>
              <w:bottom w:val="single" w:color="auto" w:sz="4" w:space="0"/>
              <w:right w:val="single" w:color="auto" w:sz="8" w:space="0"/>
            </w:tcBorders>
            <w:vAlign w:val="center"/>
          </w:tcPr>
          <w:p>
            <w:pPr>
              <w:widowControl/>
              <w:autoSpaceDE/>
              <w:autoSpaceDN/>
              <w:adjustRightInd/>
              <w:spacing w:line="240" w:lineRule="exact"/>
              <w:textAlignment w:val="auto"/>
              <w:rPr>
                <w:b/>
                <w:bCs/>
                <w:snapToGrid w:val="0"/>
                <w:kern w:val="2"/>
                <w:sz w:val="20"/>
              </w:rPr>
            </w:pPr>
            <w:r>
              <w:rPr>
                <w:rFonts w:hint="eastAsia" w:ascii="宋体" w:hAnsi="宋体"/>
                <w:kern w:val="2"/>
                <w:sz w:val="20"/>
              </w:rPr>
              <w:t>潜在竞包人或者其他利害关系人对发包文件有异议的，应当在竞包截止时间</w:t>
            </w:r>
            <w:r>
              <w:rPr>
                <w:rFonts w:hint="eastAsia" w:ascii="宋体" w:hAnsi="宋体"/>
                <w:kern w:val="2"/>
                <w:sz w:val="20"/>
                <w:lang w:val="en-US" w:eastAsia="zh-CN"/>
              </w:rPr>
              <w:t>3</w:t>
            </w:r>
            <w:r>
              <w:rPr>
                <w:rFonts w:hint="eastAsia" w:ascii="宋体" w:hAnsi="宋体"/>
                <w:kern w:val="2"/>
                <w:sz w:val="20"/>
              </w:rPr>
              <w:t>日前提出。发包人应当自收到异议之日起2日内作出答复，作出答复前，应当暂停发包竞包活动。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876" w:type="dxa"/>
            <w:tcBorders>
              <w:top w:val="single" w:color="auto" w:sz="4" w:space="0"/>
              <w:left w:val="single" w:color="auto" w:sz="8" w:space="0"/>
              <w:bottom w:val="single" w:color="auto" w:sz="4" w:space="0"/>
              <w:right w:val="single" w:color="auto" w:sz="4" w:space="0"/>
            </w:tcBorders>
            <w:vAlign w:val="center"/>
          </w:tcPr>
          <w:p>
            <w:pPr>
              <w:snapToGrid w:val="0"/>
              <w:spacing w:line="240" w:lineRule="exact"/>
              <w:rPr>
                <w:rFonts w:ascii="宋体" w:hAnsi="宋体"/>
                <w:snapToGrid w:val="0"/>
                <w:kern w:val="2"/>
                <w:sz w:val="20"/>
              </w:rPr>
            </w:pPr>
            <w:r>
              <w:rPr>
                <w:rFonts w:hint="eastAsia" w:ascii="宋体" w:hAnsi="宋体"/>
                <w:snapToGrid w:val="0"/>
                <w:kern w:val="2"/>
                <w:sz w:val="20"/>
              </w:rPr>
              <w:t>3.1.1</w:t>
            </w:r>
          </w:p>
        </w:tc>
        <w:tc>
          <w:tcPr>
            <w:tcW w:w="2280" w:type="dxa"/>
            <w:tcBorders>
              <w:top w:val="single" w:color="auto" w:sz="4" w:space="0"/>
              <w:left w:val="single" w:color="auto" w:sz="4" w:space="0"/>
              <w:bottom w:val="single" w:color="auto" w:sz="4" w:space="0"/>
              <w:right w:val="single" w:color="auto" w:sz="4" w:space="0"/>
            </w:tcBorders>
            <w:vAlign w:val="center"/>
          </w:tcPr>
          <w:p>
            <w:pPr>
              <w:widowControl/>
              <w:autoSpaceDE/>
              <w:autoSpaceDN/>
              <w:adjustRightInd/>
              <w:spacing w:line="240" w:lineRule="exact"/>
              <w:jc w:val="center"/>
              <w:textAlignment w:val="auto"/>
              <w:rPr>
                <w:rFonts w:ascii="宋体" w:hAnsi="宋体"/>
                <w:snapToGrid w:val="0"/>
                <w:kern w:val="2"/>
                <w:sz w:val="20"/>
              </w:rPr>
            </w:pPr>
            <w:r>
              <w:rPr>
                <w:rFonts w:hint="eastAsia" w:ascii="宋体" w:hAnsi="宋体"/>
                <w:snapToGrid w:val="0"/>
                <w:kern w:val="2"/>
                <w:sz w:val="20"/>
              </w:rPr>
              <w:t>竞包文件成册要求</w:t>
            </w:r>
          </w:p>
        </w:tc>
        <w:tc>
          <w:tcPr>
            <w:tcW w:w="5680" w:type="dxa"/>
            <w:tcBorders>
              <w:top w:val="single" w:color="auto" w:sz="4" w:space="0"/>
              <w:left w:val="single" w:color="auto" w:sz="4" w:space="0"/>
              <w:bottom w:val="single" w:color="auto" w:sz="4" w:space="0"/>
              <w:right w:val="single" w:color="auto" w:sz="8" w:space="0"/>
            </w:tcBorders>
            <w:vAlign w:val="center"/>
          </w:tcPr>
          <w:p>
            <w:pPr>
              <w:snapToGrid w:val="0"/>
              <w:spacing w:line="240" w:lineRule="exact"/>
              <w:rPr>
                <w:rFonts w:ascii="宋体" w:hAnsi="宋体"/>
                <w:b/>
                <w:kern w:val="2"/>
                <w:sz w:val="20"/>
              </w:rPr>
            </w:pPr>
            <w:r>
              <w:rPr>
                <w:rFonts w:hint="eastAsia" w:ascii="宋体" w:hAnsi="宋体"/>
                <w:kern w:val="2"/>
                <w:sz w:val="20"/>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876" w:type="dxa"/>
            <w:tcBorders>
              <w:top w:val="single" w:color="auto" w:sz="4" w:space="0"/>
              <w:left w:val="single" w:color="auto" w:sz="8" w:space="0"/>
              <w:bottom w:val="single" w:color="auto" w:sz="4" w:space="0"/>
              <w:right w:val="single" w:color="auto" w:sz="4" w:space="0"/>
            </w:tcBorders>
            <w:vAlign w:val="center"/>
          </w:tcPr>
          <w:p>
            <w:pPr>
              <w:snapToGrid w:val="0"/>
              <w:spacing w:line="240" w:lineRule="exact"/>
              <w:rPr>
                <w:rFonts w:ascii="宋体" w:hAnsi="宋体"/>
                <w:snapToGrid w:val="0"/>
                <w:kern w:val="2"/>
                <w:sz w:val="20"/>
              </w:rPr>
            </w:pPr>
            <w:r>
              <w:rPr>
                <w:rFonts w:ascii="宋体" w:hAnsi="宋体"/>
                <w:snapToGrid w:val="0"/>
                <w:kern w:val="2"/>
                <w:sz w:val="20"/>
              </w:rPr>
              <w:t>3.3.1</w:t>
            </w:r>
          </w:p>
        </w:tc>
        <w:tc>
          <w:tcPr>
            <w:tcW w:w="2280" w:type="dxa"/>
            <w:tcBorders>
              <w:top w:val="single" w:color="auto" w:sz="4" w:space="0"/>
              <w:left w:val="single" w:color="auto" w:sz="4" w:space="0"/>
              <w:bottom w:val="single" w:color="auto" w:sz="4" w:space="0"/>
              <w:right w:val="single" w:color="auto" w:sz="4" w:space="0"/>
            </w:tcBorders>
            <w:vAlign w:val="center"/>
          </w:tcPr>
          <w:p>
            <w:pPr>
              <w:widowControl/>
              <w:autoSpaceDE/>
              <w:autoSpaceDN/>
              <w:adjustRightInd/>
              <w:spacing w:line="240" w:lineRule="exact"/>
              <w:jc w:val="center"/>
              <w:textAlignment w:val="auto"/>
              <w:rPr>
                <w:rFonts w:ascii="宋体" w:hAnsi="宋体"/>
                <w:snapToGrid w:val="0"/>
                <w:kern w:val="2"/>
                <w:sz w:val="20"/>
              </w:rPr>
            </w:pPr>
            <w:r>
              <w:rPr>
                <w:rFonts w:hint="eastAsia" w:ascii="宋体" w:hAnsi="宋体"/>
                <w:snapToGrid w:val="0"/>
                <w:kern w:val="2"/>
                <w:sz w:val="20"/>
              </w:rPr>
              <w:t>竞包</w:t>
            </w:r>
            <w:r>
              <w:rPr>
                <w:rFonts w:ascii="宋体" w:hAnsi="宋体"/>
                <w:snapToGrid w:val="0"/>
                <w:kern w:val="2"/>
                <w:sz w:val="20"/>
              </w:rPr>
              <w:t>有效期</w:t>
            </w:r>
          </w:p>
        </w:tc>
        <w:tc>
          <w:tcPr>
            <w:tcW w:w="5680" w:type="dxa"/>
            <w:tcBorders>
              <w:top w:val="single" w:color="auto" w:sz="4" w:space="0"/>
              <w:left w:val="single" w:color="auto" w:sz="4" w:space="0"/>
              <w:bottom w:val="single" w:color="auto" w:sz="4" w:space="0"/>
              <w:right w:val="single" w:color="auto" w:sz="8" w:space="0"/>
            </w:tcBorders>
            <w:vAlign w:val="center"/>
          </w:tcPr>
          <w:p>
            <w:pPr>
              <w:widowControl/>
              <w:autoSpaceDE/>
              <w:autoSpaceDN/>
              <w:adjustRightInd/>
              <w:spacing w:line="240" w:lineRule="exact"/>
              <w:textAlignment w:val="auto"/>
              <w:rPr>
                <w:rFonts w:ascii="宋体" w:hAnsi="宋体"/>
                <w:b/>
                <w:kern w:val="2"/>
                <w:sz w:val="20"/>
              </w:rPr>
            </w:pPr>
            <w:r>
              <w:rPr>
                <w:rFonts w:hint="eastAsia" w:ascii="宋体" w:hAnsi="宋体"/>
                <w:snapToGrid w:val="0"/>
                <w:kern w:val="2"/>
                <w:sz w:val="20"/>
              </w:rPr>
              <w:t>竞包文件</w:t>
            </w:r>
            <w:r>
              <w:rPr>
                <w:rFonts w:ascii="宋体" w:hAnsi="宋体"/>
                <w:snapToGrid w:val="0"/>
                <w:kern w:val="2"/>
                <w:sz w:val="20"/>
              </w:rPr>
              <w:t>自</w:t>
            </w:r>
            <w:r>
              <w:rPr>
                <w:rFonts w:hint="eastAsia" w:ascii="宋体" w:hAnsi="宋体"/>
                <w:snapToGrid w:val="0"/>
                <w:kern w:val="2"/>
                <w:sz w:val="20"/>
              </w:rPr>
              <w:t>竞包</w:t>
            </w:r>
            <w:r>
              <w:rPr>
                <w:rFonts w:ascii="宋体" w:hAnsi="宋体"/>
                <w:snapToGrid w:val="0"/>
                <w:kern w:val="2"/>
                <w:sz w:val="20"/>
              </w:rPr>
              <w:t>截止时间起生效，有效期为</w:t>
            </w:r>
            <w:r>
              <w:rPr>
                <w:rFonts w:hint="eastAsia" w:ascii="宋体" w:hAnsi="宋体"/>
                <w:snapToGrid w:val="0"/>
                <w:kern w:val="2"/>
                <w:sz w:val="20"/>
                <w:lang w:val="en-US" w:eastAsia="zh-CN"/>
              </w:rPr>
              <w:t>60</w:t>
            </w:r>
            <w:r>
              <w:rPr>
                <w:rFonts w:ascii="宋体" w:hAnsi="宋体"/>
                <w:snapToGrid w:val="0"/>
                <w:kern w:val="2"/>
                <w:sz w:val="20"/>
              </w:rPr>
              <w:t>天</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876" w:type="dxa"/>
            <w:tcBorders>
              <w:top w:val="single" w:color="auto" w:sz="4" w:space="0"/>
              <w:left w:val="single" w:color="auto" w:sz="8" w:space="0"/>
              <w:bottom w:val="single" w:color="auto" w:sz="4" w:space="0"/>
              <w:right w:val="single" w:color="auto" w:sz="4" w:space="0"/>
            </w:tcBorders>
            <w:vAlign w:val="center"/>
          </w:tcPr>
          <w:p>
            <w:pPr>
              <w:snapToGrid w:val="0"/>
              <w:spacing w:line="240" w:lineRule="exact"/>
              <w:rPr>
                <w:rFonts w:ascii="宋体" w:hAnsi="宋体"/>
                <w:snapToGrid w:val="0"/>
                <w:kern w:val="2"/>
                <w:sz w:val="20"/>
              </w:rPr>
            </w:pPr>
            <w:r>
              <w:rPr>
                <w:rFonts w:ascii="宋体" w:hAnsi="宋体"/>
                <w:snapToGrid w:val="0"/>
                <w:kern w:val="2"/>
                <w:sz w:val="20"/>
              </w:rPr>
              <w:t>3.4.1</w:t>
            </w:r>
          </w:p>
        </w:tc>
        <w:tc>
          <w:tcPr>
            <w:tcW w:w="2280" w:type="dxa"/>
            <w:tcBorders>
              <w:top w:val="single" w:color="auto" w:sz="4" w:space="0"/>
              <w:left w:val="single" w:color="auto" w:sz="4" w:space="0"/>
              <w:bottom w:val="single" w:color="auto" w:sz="4" w:space="0"/>
              <w:right w:val="single" w:color="auto" w:sz="4" w:space="0"/>
            </w:tcBorders>
            <w:vAlign w:val="center"/>
          </w:tcPr>
          <w:p>
            <w:pPr>
              <w:widowControl/>
              <w:autoSpaceDE/>
              <w:autoSpaceDN/>
              <w:adjustRightInd/>
              <w:spacing w:line="240" w:lineRule="exact"/>
              <w:jc w:val="center"/>
              <w:textAlignment w:val="auto"/>
              <w:rPr>
                <w:rFonts w:ascii="宋体" w:hAnsi="宋体"/>
                <w:snapToGrid w:val="0"/>
                <w:kern w:val="2"/>
                <w:sz w:val="20"/>
              </w:rPr>
            </w:pPr>
            <w:r>
              <w:rPr>
                <w:rFonts w:hint="eastAsia" w:ascii="宋体" w:hAnsi="宋体"/>
                <w:snapToGrid w:val="0"/>
                <w:kern w:val="2"/>
                <w:sz w:val="20"/>
              </w:rPr>
              <w:t>竞包</w:t>
            </w:r>
            <w:r>
              <w:rPr>
                <w:rFonts w:ascii="宋体" w:hAnsi="宋体"/>
                <w:snapToGrid w:val="0"/>
                <w:kern w:val="2"/>
                <w:sz w:val="20"/>
              </w:rPr>
              <w:t>保证金</w:t>
            </w:r>
          </w:p>
        </w:tc>
        <w:tc>
          <w:tcPr>
            <w:tcW w:w="5680" w:type="dxa"/>
            <w:tcBorders>
              <w:top w:val="single" w:color="auto" w:sz="4" w:space="0"/>
              <w:left w:val="single" w:color="auto" w:sz="4" w:space="0"/>
              <w:bottom w:val="single" w:color="auto" w:sz="4" w:space="0"/>
              <w:right w:val="single" w:color="auto" w:sz="8" w:space="0"/>
            </w:tcBorders>
            <w:vAlign w:val="center"/>
          </w:tcPr>
          <w:p>
            <w:pPr>
              <w:snapToGrid w:val="0"/>
              <w:spacing w:line="240" w:lineRule="exact"/>
              <w:rPr>
                <w:rFonts w:ascii="宋体" w:hAnsi="宋体"/>
                <w:b/>
                <w:bCs/>
                <w:kern w:val="2"/>
                <w:sz w:val="20"/>
              </w:rPr>
            </w:pPr>
            <w:r>
              <w:rPr>
                <w:rFonts w:hint="eastAsia" w:ascii="宋体" w:hAnsi="宋体"/>
                <w:b/>
                <w:bCs/>
                <w:kern w:val="2"/>
                <w:sz w:val="20"/>
              </w:rPr>
              <w:t>是否要求竞包人递交竞包保证金：</w:t>
            </w:r>
          </w:p>
          <w:p>
            <w:pPr>
              <w:snapToGrid w:val="0"/>
              <w:spacing w:line="240" w:lineRule="exact"/>
              <w:rPr>
                <w:rFonts w:ascii="宋体" w:hAnsi="宋体"/>
                <w:b/>
                <w:bCs/>
                <w:kern w:val="2"/>
                <w:sz w:val="20"/>
              </w:rPr>
            </w:pPr>
            <w:r>
              <w:rPr>
                <w:rFonts w:hint="eastAsia" w:ascii="宋体" w:hAnsi="宋体"/>
                <w:b/>
                <w:bCs/>
                <w:kern w:val="2"/>
                <w:sz w:val="20"/>
              </w:rPr>
              <w:sym w:font="Wingdings 2" w:char="00A3"/>
            </w:r>
            <w:r>
              <w:rPr>
                <w:rFonts w:hint="eastAsia" w:ascii="宋体" w:hAnsi="宋体"/>
                <w:b/>
                <w:bCs/>
                <w:kern w:val="2"/>
                <w:sz w:val="20"/>
              </w:rPr>
              <w:t>不要求递交竞包保证金</w:t>
            </w:r>
          </w:p>
          <w:p>
            <w:pPr>
              <w:snapToGrid w:val="0"/>
              <w:spacing w:line="240" w:lineRule="exact"/>
              <w:rPr>
                <w:rFonts w:ascii="宋体" w:hAnsi="宋体"/>
                <w:b/>
                <w:bCs/>
                <w:kern w:val="2"/>
                <w:sz w:val="20"/>
              </w:rPr>
            </w:pPr>
            <w:r>
              <w:rPr>
                <w:rFonts w:hint="eastAsia" w:ascii="宋体" w:hAnsi="宋体"/>
                <w:b/>
                <w:bCs/>
                <w:kern w:val="2"/>
                <w:sz w:val="20"/>
              </w:rPr>
              <w:t>☑要求递交竞包保证金</w:t>
            </w:r>
          </w:p>
          <w:p>
            <w:pPr>
              <w:snapToGrid w:val="0"/>
              <w:spacing w:line="240" w:lineRule="exact"/>
              <w:rPr>
                <w:rFonts w:ascii="宋体" w:hAnsi="宋体"/>
                <w:b/>
                <w:bCs/>
                <w:kern w:val="2"/>
                <w:sz w:val="20"/>
              </w:rPr>
            </w:pPr>
            <w:r>
              <w:rPr>
                <w:rFonts w:hint="eastAsia" w:ascii="宋体" w:hAnsi="宋体"/>
                <w:b/>
                <w:bCs/>
                <w:kern w:val="2"/>
                <w:sz w:val="20"/>
              </w:rPr>
              <w:t>竞包保证金的形式：☑网银或电汇或</w:t>
            </w:r>
            <w:r>
              <w:rPr>
                <w:rFonts w:hint="eastAsia" w:ascii="宋体" w:hAnsi="宋体"/>
                <w:b/>
                <w:bCs/>
                <w:kern w:val="2"/>
                <w:sz w:val="20"/>
                <w:lang w:eastAsia="zh-CN"/>
              </w:rPr>
              <w:t>电子保函</w:t>
            </w:r>
            <w:r>
              <w:rPr>
                <w:rFonts w:hint="eastAsia" w:ascii="宋体" w:hAnsi="宋体"/>
                <w:b/>
                <w:bCs/>
                <w:kern w:val="2"/>
                <w:sz w:val="20"/>
              </w:rPr>
              <w:t>（</w:t>
            </w:r>
            <w:r>
              <w:rPr>
                <w:rFonts w:hint="eastAsia" w:ascii="宋体" w:hAnsi="宋体"/>
                <w:b/>
                <w:bCs/>
                <w:kern w:val="2"/>
                <w:sz w:val="20"/>
              </w:rPr>
              <w:sym w:font="Wingdings 2" w:char="0052"/>
            </w:r>
            <w:r>
              <w:rPr>
                <w:rFonts w:hint="eastAsia" w:ascii="宋体" w:hAnsi="宋体"/>
                <w:b/>
                <w:bCs/>
                <w:kern w:val="2"/>
                <w:sz w:val="20"/>
              </w:rPr>
              <w:t>关联□ 不关联）</w:t>
            </w:r>
          </w:p>
          <w:p>
            <w:pPr>
              <w:snapToGrid w:val="0"/>
              <w:spacing w:line="240" w:lineRule="exact"/>
              <w:rPr>
                <w:rFonts w:ascii="宋体" w:hAnsi="宋体"/>
                <w:b/>
                <w:bCs/>
                <w:color w:val="auto"/>
                <w:kern w:val="2"/>
                <w:sz w:val="20"/>
              </w:rPr>
            </w:pPr>
            <w:r>
              <w:rPr>
                <w:rFonts w:hint="eastAsia" w:ascii="宋体" w:hAnsi="宋体"/>
                <w:b/>
                <w:bCs/>
                <w:color w:val="auto"/>
                <w:kern w:val="2"/>
                <w:sz w:val="20"/>
              </w:rPr>
              <w:t>竞包保证金的金额；【</w:t>
            </w:r>
            <w:r>
              <w:rPr>
                <w:rFonts w:hint="eastAsia" w:ascii="宋体" w:hAnsi="宋体"/>
                <w:b/>
                <w:bCs/>
                <w:color w:val="auto"/>
                <w:kern w:val="2"/>
                <w:sz w:val="20"/>
                <w:lang w:val="en-US" w:eastAsia="zh-CN"/>
              </w:rPr>
              <w:t>30000</w:t>
            </w:r>
            <w:r>
              <w:rPr>
                <w:rFonts w:hint="eastAsia" w:ascii="宋体" w:hAnsi="宋体"/>
                <w:b/>
                <w:bCs/>
                <w:color w:val="auto"/>
                <w:kern w:val="2"/>
                <w:sz w:val="20"/>
              </w:rPr>
              <w:t>元整】</w:t>
            </w:r>
          </w:p>
          <w:p>
            <w:pPr>
              <w:snapToGrid w:val="0"/>
              <w:spacing w:line="240" w:lineRule="exact"/>
              <w:rPr>
                <w:rFonts w:ascii="宋体" w:hAnsi="宋体"/>
                <w:b/>
                <w:bCs/>
                <w:kern w:val="2"/>
                <w:sz w:val="20"/>
              </w:rPr>
            </w:pPr>
            <w:r>
              <w:rPr>
                <w:rFonts w:hint="eastAsia" w:ascii="宋体" w:hAnsi="宋体"/>
                <w:b/>
                <w:bCs/>
                <w:kern w:val="2"/>
                <w:sz w:val="20"/>
              </w:rPr>
              <w:t>注：1、竞包截止前竞包保证金必须通过竞包人的银行基本账户一次性足额缴纳且确保到达指定帐户。</w:t>
            </w:r>
          </w:p>
          <w:p>
            <w:pPr>
              <w:snapToGrid w:val="0"/>
              <w:spacing w:line="240" w:lineRule="exact"/>
              <w:rPr>
                <w:rFonts w:ascii="宋体" w:hAnsi="宋体"/>
                <w:b/>
                <w:bCs/>
                <w:kern w:val="2"/>
                <w:sz w:val="20"/>
              </w:rPr>
            </w:pPr>
            <w:r>
              <w:rPr>
                <w:rFonts w:hint="eastAsia" w:ascii="宋体" w:hAnsi="宋体"/>
                <w:b/>
                <w:bCs/>
                <w:kern w:val="2"/>
                <w:sz w:val="20"/>
              </w:rPr>
              <w:t>2、汇出的竞包保证金须与本项目关联。</w:t>
            </w:r>
          </w:p>
          <w:p>
            <w:pPr>
              <w:snapToGrid w:val="0"/>
              <w:spacing w:line="240" w:lineRule="exact"/>
              <w:rPr>
                <w:rFonts w:ascii="宋体" w:hAnsi="宋体"/>
                <w:b/>
                <w:bCs/>
                <w:kern w:val="2"/>
                <w:sz w:val="20"/>
              </w:rPr>
            </w:pPr>
            <w:r>
              <w:rPr>
                <w:rFonts w:hint="eastAsia" w:ascii="宋体" w:hAnsi="宋体"/>
                <w:b/>
                <w:bCs/>
                <w:kern w:val="2"/>
                <w:sz w:val="20"/>
              </w:rPr>
              <w:t>3、竞包保证金缴纳的帐户名称、帐号、开户银行等信息请登录湖州市公共资源交易限额发包平台系统查看。</w:t>
            </w:r>
          </w:p>
          <w:p>
            <w:pPr>
              <w:snapToGrid w:val="0"/>
              <w:spacing w:line="240" w:lineRule="exact"/>
              <w:rPr>
                <w:rFonts w:ascii="宋体" w:hAnsi="宋体"/>
                <w:b/>
                <w:bCs/>
                <w:kern w:val="2"/>
                <w:sz w:val="20"/>
              </w:rPr>
            </w:pPr>
            <w:r>
              <w:rPr>
                <w:rFonts w:hint="eastAsia" w:ascii="宋体" w:hAnsi="宋体"/>
                <w:b/>
                <w:bCs/>
                <w:kern w:val="2"/>
                <w:sz w:val="20"/>
              </w:rPr>
              <w:t>4、采用保险（E保通”电子保单）的应在指定电子保单平台内申请竞包保证金保险，承保金额须大于或等于本项目竞包保证金金额并以电子保单的形式与本项目进行关联。</w:t>
            </w:r>
          </w:p>
          <w:p>
            <w:pPr>
              <w:snapToGrid w:val="0"/>
              <w:spacing w:line="240" w:lineRule="exact"/>
              <w:rPr>
                <w:rFonts w:ascii="宋体" w:hAnsi="宋体"/>
                <w:b/>
                <w:bCs/>
                <w:kern w:val="2"/>
                <w:sz w:val="20"/>
              </w:rPr>
            </w:pPr>
            <w:r>
              <w:rPr>
                <w:rFonts w:hint="eastAsia" w:ascii="宋体" w:hAnsi="宋体"/>
                <w:b/>
                <w:bCs/>
                <w:kern w:val="2"/>
                <w:sz w:val="20"/>
              </w:rPr>
              <w:t>5、如实际到帐时间与关联时间不一致，以实际到帐时间为准。</w:t>
            </w:r>
          </w:p>
          <w:p>
            <w:pPr>
              <w:snapToGrid w:val="0"/>
              <w:spacing w:line="240" w:lineRule="exact"/>
              <w:rPr>
                <w:rFonts w:ascii="宋体" w:hAnsi="宋体"/>
                <w:b/>
                <w:bCs/>
                <w:kern w:val="2"/>
                <w:sz w:val="20"/>
              </w:rPr>
            </w:pPr>
            <w:r>
              <w:rPr>
                <w:rFonts w:hint="eastAsia" w:ascii="宋体" w:hAnsi="宋体"/>
                <w:b/>
                <w:bCs/>
                <w:kern w:val="2"/>
                <w:sz w:val="20"/>
              </w:rPr>
              <w:t>6、具体操作如有不明请咨询：国泰新点软件有限公司（联系方式0572-2220028、18605722351，联系人</w:t>
            </w:r>
            <w:r>
              <w:rPr>
                <w:rFonts w:hint="eastAsia" w:ascii="宋体" w:hAnsi="宋体"/>
                <w:b/>
                <w:bCs/>
                <w:kern w:val="2"/>
                <w:sz w:val="20"/>
                <w:lang w:eastAsia="zh-CN"/>
              </w:rPr>
              <w:t>徐</w:t>
            </w:r>
            <w:r>
              <w:rPr>
                <w:rFonts w:hint="eastAsia" w:ascii="宋体" w:hAnsi="宋体"/>
                <w:b/>
                <w:bCs/>
                <w:kern w:val="2"/>
                <w:sz w:val="20"/>
              </w:rPr>
              <w:t>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876" w:type="dxa"/>
            <w:tcBorders>
              <w:top w:val="single" w:color="auto" w:sz="4" w:space="0"/>
              <w:left w:val="single" w:color="auto" w:sz="8" w:space="0"/>
              <w:bottom w:val="single" w:color="auto" w:sz="4" w:space="0"/>
              <w:right w:val="single" w:color="auto" w:sz="4" w:space="0"/>
            </w:tcBorders>
            <w:vAlign w:val="center"/>
          </w:tcPr>
          <w:p>
            <w:pPr>
              <w:snapToGrid w:val="0"/>
              <w:spacing w:line="240" w:lineRule="exact"/>
              <w:rPr>
                <w:rFonts w:ascii="宋体" w:hAnsi="宋体"/>
                <w:snapToGrid w:val="0"/>
                <w:kern w:val="2"/>
                <w:sz w:val="20"/>
              </w:rPr>
            </w:pPr>
            <w:r>
              <w:rPr>
                <w:rFonts w:hint="eastAsia" w:ascii="宋体" w:hAnsi="宋体"/>
                <w:snapToGrid w:val="0"/>
                <w:kern w:val="2"/>
                <w:sz w:val="20"/>
              </w:rPr>
              <w:t>3.5.2</w:t>
            </w:r>
          </w:p>
        </w:tc>
        <w:tc>
          <w:tcPr>
            <w:tcW w:w="2280" w:type="dxa"/>
            <w:tcBorders>
              <w:top w:val="single" w:color="auto" w:sz="4" w:space="0"/>
              <w:left w:val="single" w:color="auto" w:sz="4" w:space="0"/>
              <w:bottom w:val="single" w:color="auto" w:sz="4" w:space="0"/>
              <w:right w:val="single" w:color="auto" w:sz="4" w:space="0"/>
            </w:tcBorders>
            <w:vAlign w:val="center"/>
          </w:tcPr>
          <w:p>
            <w:pPr>
              <w:widowControl/>
              <w:autoSpaceDE/>
              <w:autoSpaceDN/>
              <w:adjustRightInd/>
              <w:spacing w:line="240" w:lineRule="exact"/>
              <w:jc w:val="center"/>
              <w:textAlignment w:val="auto"/>
              <w:rPr>
                <w:rFonts w:ascii="宋体" w:hAnsi="宋体"/>
                <w:snapToGrid w:val="0"/>
                <w:kern w:val="2"/>
                <w:sz w:val="20"/>
              </w:rPr>
            </w:pPr>
            <w:r>
              <w:rPr>
                <w:rFonts w:hint="eastAsia" w:ascii="宋体" w:hAnsi="宋体"/>
                <w:kern w:val="2"/>
                <w:sz w:val="20"/>
              </w:rPr>
              <w:t>近年财务状况的年份要求</w:t>
            </w:r>
          </w:p>
        </w:tc>
        <w:tc>
          <w:tcPr>
            <w:tcW w:w="5680" w:type="dxa"/>
            <w:tcBorders>
              <w:top w:val="single" w:color="auto" w:sz="4" w:space="0"/>
              <w:left w:val="single" w:color="auto" w:sz="4" w:space="0"/>
              <w:bottom w:val="single" w:color="auto" w:sz="4" w:space="0"/>
              <w:right w:val="single" w:color="auto" w:sz="8" w:space="0"/>
            </w:tcBorders>
            <w:vAlign w:val="center"/>
          </w:tcPr>
          <w:p>
            <w:pPr>
              <w:snapToGrid w:val="0"/>
              <w:spacing w:line="240" w:lineRule="exact"/>
              <w:rPr>
                <w:rFonts w:ascii="仿宋_GB2312" w:eastAsia="仿宋_GB2312"/>
                <w:b/>
                <w:kern w:val="2"/>
                <w:szCs w:val="21"/>
              </w:rPr>
            </w:pPr>
            <w:r>
              <w:rPr>
                <w:rFonts w:hint="eastAsia" w:ascii="宋体" w:hAnsi="宋体"/>
                <w:kern w:val="2"/>
                <w:sz w:val="20"/>
              </w:rPr>
              <w:t>201</w:t>
            </w:r>
            <w:r>
              <w:rPr>
                <w:rFonts w:hint="eastAsia" w:ascii="宋体" w:hAnsi="宋体"/>
                <w:kern w:val="2"/>
                <w:sz w:val="20"/>
                <w:lang w:val="en-US" w:eastAsia="zh-CN"/>
              </w:rPr>
              <w:t>7</w:t>
            </w:r>
            <w:r>
              <w:rPr>
                <w:rFonts w:hint="eastAsia" w:ascii="宋体" w:hAnsi="宋体"/>
                <w:kern w:val="2"/>
                <w:sz w:val="20"/>
              </w:rPr>
              <w:t>年至201</w:t>
            </w:r>
            <w:r>
              <w:rPr>
                <w:rFonts w:hint="eastAsia" w:ascii="宋体" w:hAnsi="宋体"/>
                <w:kern w:val="2"/>
                <w:sz w:val="20"/>
                <w:lang w:val="en-US" w:eastAsia="zh-CN"/>
              </w:rPr>
              <w:t>9</w:t>
            </w:r>
            <w:r>
              <w:rPr>
                <w:rFonts w:hint="eastAsia" w:ascii="宋体" w:hAnsi="宋体"/>
                <w:kern w:val="2"/>
                <w:sz w:val="20"/>
              </w:rPr>
              <w:t>年</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876" w:type="dxa"/>
            <w:tcBorders>
              <w:top w:val="single" w:color="auto" w:sz="4" w:space="0"/>
              <w:left w:val="single" w:color="auto" w:sz="8" w:space="0"/>
              <w:bottom w:val="single" w:color="auto" w:sz="4" w:space="0"/>
              <w:right w:val="single" w:color="auto" w:sz="4" w:space="0"/>
            </w:tcBorders>
            <w:vAlign w:val="center"/>
          </w:tcPr>
          <w:p>
            <w:pPr>
              <w:snapToGrid w:val="0"/>
              <w:spacing w:line="240" w:lineRule="exact"/>
              <w:rPr>
                <w:rFonts w:ascii="宋体" w:hAnsi="宋体"/>
                <w:snapToGrid w:val="0"/>
                <w:kern w:val="2"/>
                <w:sz w:val="20"/>
              </w:rPr>
            </w:pPr>
            <w:r>
              <w:rPr>
                <w:rFonts w:hint="eastAsia" w:ascii="宋体" w:hAnsi="宋体"/>
                <w:snapToGrid w:val="0"/>
                <w:kern w:val="2"/>
                <w:sz w:val="20"/>
              </w:rPr>
              <w:t>3.5.5</w:t>
            </w:r>
          </w:p>
        </w:tc>
        <w:tc>
          <w:tcPr>
            <w:tcW w:w="2280" w:type="dxa"/>
            <w:tcBorders>
              <w:top w:val="single" w:color="auto" w:sz="4" w:space="0"/>
              <w:left w:val="single" w:color="auto" w:sz="4" w:space="0"/>
              <w:bottom w:val="single" w:color="auto" w:sz="4" w:space="0"/>
              <w:right w:val="single" w:color="auto" w:sz="4" w:space="0"/>
            </w:tcBorders>
            <w:vAlign w:val="center"/>
          </w:tcPr>
          <w:p>
            <w:pPr>
              <w:widowControl/>
              <w:autoSpaceDE/>
              <w:autoSpaceDN/>
              <w:adjustRightInd/>
              <w:spacing w:line="240" w:lineRule="exact"/>
              <w:jc w:val="center"/>
              <w:textAlignment w:val="auto"/>
              <w:rPr>
                <w:rFonts w:ascii="宋体" w:hAnsi="宋体"/>
                <w:snapToGrid w:val="0"/>
                <w:kern w:val="2"/>
                <w:sz w:val="20"/>
              </w:rPr>
            </w:pPr>
            <w:r>
              <w:rPr>
                <w:rFonts w:hint="eastAsia" w:ascii="宋体" w:hAnsi="宋体"/>
                <w:snapToGrid w:val="0"/>
                <w:kern w:val="2"/>
                <w:sz w:val="20"/>
              </w:rPr>
              <w:t>近年发生的诉讼及仲裁情况的年份要求</w:t>
            </w:r>
          </w:p>
        </w:tc>
        <w:tc>
          <w:tcPr>
            <w:tcW w:w="5680" w:type="dxa"/>
            <w:tcBorders>
              <w:top w:val="single" w:color="auto" w:sz="4" w:space="0"/>
              <w:left w:val="single" w:color="auto" w:sz="4" w:space="0"/>
              <w:bottom w:val="single" w:color="auto" w:sz="4" w:space="0"/>
              <w:right w:val="single" w:color="auto" w:sz="8" w:space="0"/>
            </w:tcBorders>
            <w:vAlign w:val="center"/>
          </w:tcPr>
          <w:p>
            <w:pPr>
              <w:snapToGrid w:val="0"/>
              <w:spacing w:line="240" w:lineRule="exact"/>
              <w:rPr>
                <w:rFonts w:ascii="宋体" w:hAnsi="宋体"/>
                <w:b/>
                <w:kern w:val="2"/>
                <w:sz w:val="20"/>
              </w:rPr>
            </w:pPr>
            <w:r>
              <w:rPr>
                <w:rFonts w:hint="eastAsia" w:ascii="宋体" w:hAnsi="宋体"/>
                <w:kern w:val="2"/>
                <w:sz w:val="20"/>
              </w:rPr>
              <w:t>3年（2017年1月1日至竞包截止日）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876" w:type="dxa"/>
            <w:tcBorders>
              <w:top w:val="single" w:color="auto" w:sz="4" w:space="0"/>
              <w:left w:val="single" w:color="auto" w:sz="8" w:space="0"/>
              <w:bottom w:val="single" w:color="auto" w:sz="4" w:space="0"/>
              <w:right w:val="single" w:color="auto" w:sz="4" w:space="0"/>
            </w:tcBorders>
            <w:vAlign w:val="center"/>
          </w:tcPr>
          <w:p>
            <w:pPr>
              <w:snapToGrid w:val="0"/>
              <w:spacing w:line="240" w:lineRule="exact"/>
              <w:rPr>
                <w:rFonts w:ascii="宋体" w:hAnsi="宋体"/>
                <w:snapToGrid w:val="0"/>
                <w:kern w:val="2"/>
                <w:sz w:val="20"/>
              </w:rPr>
            </w:pPr>
            <w:r>
              <w:rPr>
                <w:rFonts w:hint="eastAsia" w:ascii="宋体" w:hAnsi="宋体"/>
                <w:snapToGrid w:val="0"/>
                <w:kern w:val="2"/>
                <w:sz w:val="20"/>
              </w:rPr>
              <w:t>3.7.3</w:t>
            </w:r>
          </w:p>
        </w:tc>
        <w:tc>
          <w:tcPr>
            <w:tcW w:w="2280" w:type="dxa"/>
            <w:tcBorders>
              <w:top w:val="single" w:color="auto" w:sz="4" w:space="0"/>
              <w:left w:val="single" w:color="auto" w:sz="4" w:space="0"/>
              <w:bottom w:val="single" w:color="auto" w:sz="4" w:space="0"/>
              <w:right w:val="single" w:color="auto" w:sz="4" w:space="0"/>
            </w:tcBorders>
            <w:vAlign w:val="center"/>
          </w:tcPr>
          <w:p>
            <w:pPr>
              <w:widowControl/>
              <w:autoSpaceDE/>
              <w:autoSpaceDN/>
              <w:adjustRightInd/>
              <w:spacing w:line="240" w:lineRule="exact"/>
              <w:jc w:val="center"/>
              <w:textAlignment w:val="auto"/>
              <w:rPr>
                <w:rFonts w:ascii="宋体" w:hAnsi="宋体"/>
                <w:snapToGrid w:val="0"/>
                <w:kern w:val="2"/>
                <w:sz w:val="20"/>
              </w:rPr>
            </w:pPr>
            <w:r>
              <w:rPr>
                <w:rFonts w:hint="eastAsia" w:ascii="宋体" w:hAnsi="宋体"/>
                <w:snapToGrid w:val="0"/>
                <w:kern w:val="2"/>
                <w:sz w:val="20"/>
              </w:rPr>
              <w:t>签字或盖章要求</w:t>
            </w:r>
          </w:p>
        </w:tc>
        <w:tc>
          <w:tcPr>
            <w:tcW w:w="5680" w:type="dxa"/>
            <w:tcBorders>
              <w:top w:val="single" w:color="auto" w:sz="4" w:space="0"/>
              <w:left w:val="single" w:color="auto" w:sz="4" w:space="0"/>
              <w:bottom w:val="single" w:color="auto" w:sz="4" w:space="0"/>
              <w:right w:val="single" w:color="auto" w:sz="8" w:space="0"/>
            </w:tcBorders>
            <w:vAlign w:val="center"/>
          </w:tcPr>
          <w:p>
            <w:pPr>
              <w:snapToGrid w:val="0"/>
              <w:spacing w:line="240" w:lineRule="exact"/>
              <w:rPr>
                <w:rFonts w:ascii="宋体" w:hAnsi="宋体"/>
                <w:kern w:val="2"/>
                <w:sz w:val="20"/>
              </w:rPr>
            </w:pPr>
            <w:r>
              <w:rPr>
                <w:rFonts w:hint="eastAsia" w:ascii="宋体" w:hAnsi="宋体"/>
                <w:snapToGrid w:val="0"/>
                <w:kern w:val="2"/>
                <w:sz w:val="20"/>
              </w:rPr>
              <w:t>发包文件提供竞包文件格式中有要求签字或盖章（含电子签章）的按要求执行。</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876" w:type="dxa"/>
            <w:tcBorders>
              <w:top w:val="single" w:color="auto" w:sz="4" w:space="0"/>
              <w:left w:val="single" w:color="auto" w:sz="8" w:space="0"/>
              <w:bottom w:val="single" w:color="auto" w:sz="4" w:space="0"/>
              <w:right w:val="single" w:color="auto" w:sz="4" w:space="0"/>
            </w:tcBorders>
            <w:vAlign w:val="center"/>
          </w:tcPr>
          <w:p>
            <w:pPr>
              <w:widowControl/>
              <w:autoSpaceDE/>
              <w:autoSpaceDN/>
              <w:adjustRightInd/>
              <w:spacing w:line="240" w:lineRule="exact"/>
              <w:jc w:val="center"/>
              <w:textAlignment w:val="auto"/>
              <w:rPr>
                <w:rFonts w:ascii="宋体" w:hAnsi="宋体"/>
                <w:snapToGrid w:val="0"/>
                <w:kern w:val="2"/>
                <w:sz w:val="20"/>
              </w:rPr>
            </w:pPr>
            <w:r>
              <w:rPr>
                <w:rFonts w:hint="eastAsia" w:ascii="宋体" w:hAnsi="宋体"/>
                <w:snapToGrid w:val="0"/>
                <w:kern w:val="2"/>
                <w:sz w:val="20"/>
              </w:rPr>
              <w:t>3.7.4</w:t>
            </w:r>
          </w:p>
        </w:tc>
        <w:tc>
          <w:tcPr>
            <w:tcW w:w="2280" w:type="dxa"/>
            <w:tcBorders>
              <w:top w:val="single" w:color="auto" w:sz="4" w:space="0"/>
              <w:left w:val="single" w:color="auto" w:sz="4" w:space="0"/>
              <w:bottom w:val="single" w:color="auto" w:sz="4" w:space="0"/>
              <w:right w:val="single" w:color="auto" w:sz="4" w:space="0"/>
            </w:tcBorders>
            <w:vAlign w:val="center"/>
          </w:tcPr>
          <w:p>
            <w:pPr>
              <w:widowControl/>
              <w:autoSpaceDE/>
              <w:autoSpaceDN/>
              <w:adjustRightInd/>
              <w:spacing w:line="240" w:lineRule="exact"/>
              <w:jc w:val="center"/>
              <w:textAlignment w:val="auto"/>
              <w:rPr>
                <w:rFonts w:ascii="宋体" w:hAnsi="宋体"/>
                <w:snapToGrid w:val="0"/>
                <w:kern w:val="2"/>
                <w:sz w:val="20"/>
              </w:rPr>
            </w:pPr>
            <w:r>
              <w:rPr>
                <w:rFonts w:hint="eastAsia" w:ascii="宋体" w:hAnsi="宋体"/>
                <w:snapToGrid w:val="0"/>
                <w:kern w:val="2"/>
                <w:sz w:val="20"/>
              </w:rPr>
              <w:t>竞包文件份数要求</w:t>
            </w:r>
          </w:p>
        </w:tc>
        <w:tc>
          <w:tcPr>
            <w:tcW w:w="5680" w:type="dxa"/>
            <w:tcBorders>
              <w:top w:val="single" w:color="auto" w:sz="4" w:space="0"/>
              <w:left w:val="single" w:color="auto" w:sz="4" w:space="0"/>
              <w:bottom w:val="single" w:color="auto" w:sz="4" w:space="0"/>
              <w:right w:val="single" w:color="auto" w:sz="8" w:space="0"/>
            </w:tcBorders>
            <w:vAlign w:val="center"/>
          </w:tcPr>
          <w:p>
            <w:pPr>
              <w:snapToGrid w:val="0"/>
              <w:rPr>
                <w:rFonts w:ascii="宋体" w:hAnsi="宋体"/>
                <w:b/>
                <w:bCs/>
                <w:kern w:val="2"/>
                <w:sz w:val="20"/>
              </w:rPr>
            </w:pPr>
            <w:r>
              <w:rPr>
                <w:rFonts w:hint="eastAsia" w:ascii="宋体" w:hAnsi="宋体"/>
                <w:b/>
                <w:bCs/>
                <w:kern w:val="2"/>
                <w:sz w:val="20"/>
              </w:rPr>
              <w:t>承包后提供完整的竞包文件正本1份、副本2份。正副本需分别装订。</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76" w:type="dxa"/>
            <w:tcBorders>
              <w:top w:val="single" w:color="auto" w:sz="4" w:space="0"/>
              <w:left w:val="single" w:color="auto" w:sz="8" w:space="0"/>
              <w:bottom w:val="single" w:color="auto" w:sz="4" w:space="0"/>
              <w:right w:val="single" w:color="auto" w:sz="4" w:space="0"/>
            </w:tcBorders>
            <w:vAlign w:val="center"/>
          </w:tcPr>
          <w:p>
            <w:pPr>
              <w:snapToGrid w:val="0"/>
              <w:spacing w:line="240" w:lineRule="exact"/>
              <w:rPr>
                <w:rFonts w:ascii="宋体" w:hAnsi="宋体"/>
                <w:snapToGrid w:val="0"/>
                <w:kern w:val="2"/>
                <w:sz w:val="20"/>
                <w:highlight w:val="red"/>
              </w:rPr>
            </w:pPr>
            <w:r>
              <w:rPr>
                <w:rFonts w:hint="eastAsia" w:ascii="宋体" w:hAnsi="宋体"/>
                <w:snapToGrid w:val="0"/>
                <w:kern w:val="2"/>
                <w:sz w:val="20"/>
              </w:rPr>
              <w:t>4.1.1</w:t>
            </w:r>
          </w:p>
        </w:tc>
        <w:tc>
          <w:tcPr>
            <w:tcW w:w="2280" w:type="dxa"/>
            <w:tcBorders>
              <w:top w:val="single" w:color="auto" w:sz="4" w:space="0"/>
              <w:left w:val="single" w:color="auto" w:sz="4" w:space="0"/>
              <w:bottom w:val="single" w:color="auto" w:sz="4" w:space="0"/>
              <w:right w:val="single" w:color="auto" w:sz="4" w:space="0"/>
            </w:tcBorders>
            <w:vAlign w:val="center"/>
          </w:tcPr>
          <w:p>
            <w:pPr>
              <w:widowControl/>
              <w:autoSpaceDE/>
              <w:autoSpaceDN/>
              <w:adjustRightInd/>
              <w:spacing w:line="240" w:lineRule="exact"/>
              <w:jc w:val="center"/>
              <w:textAlignment w:val="auto"/>
              <w:rPr>
                <w:rFonts w:ascii="宋体" w:hAnsi="宋体"/>
                <w:snapToGrid w:val="0"/>
                <w:kern w:val="2"/>
                <w:sz w:val="20"/>
                <w:highlight w:val="red"/>
              </w:rPr>
            </w:pPr>
            <w:r>
              <w:rPr>
                <w:rFonts w:hint="eastAsia" w:ascii="宋体" w:hAnsi="宋体"/>
                <w:snapToGrid w:val="0"/>
                <w:kern w:val="2"/>
                <w:sz w:val="20"/>
              </w:rPr>
              <w:t>竞包文件的密封要求</w:t>
            </w:r>
          </w:p>
        </w:tc>
        <w:tc>
          <w:tcPr>
            <w:tcW w:w="5680" w:type="dxa"/>
            <w:tcBorders>
              <w:top w:val="single" w:color="auto" w:sz="4" w:space="0"/>
              <w:left w:val="single" w:color="auto" w:sz="4" w:space="0"/>
              <w:bottom w:val="single" w:color="auto" w:sz="4" w:space="0"/>
              <w:right w:val="single" w:color="auto" w:sz="8" w:space="0"/>
            </w:tcBorders>
            <w:vAlign w:val="center"/>
          </w:tcPr>
          <w:p>
            <w:pPr>
              <w:snapToGrid w:val="0"/>
              <w:spacing w:line="240" w:lineRule="exact"/>
              <w:rPr>
                <w:rFonts w:ascii="宋体" w:hAnsi="宋体"/>
                <w:kern w:val="2"/>
                <w:sz w:val="20"/>
              </w:rPr>
            </w:pPr>
            <w:r>
              <w:rPr>
                <w:rFonts w:hint="eastAsia" w:ascii="宋体" w:hAnsi="宋体"/>
                <w:b/>
                <w:bCs/>
                <w:kern w:val="2"/>
                <w:sz w:val="20"/>
              </w:rPr>
              <w:t>竞包文件（CA加密后的电子竞包文件）：在竞包截止时间前登陆湖州市公共资源交易系统上的投标文件递交模块上传；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876" w:type="dxa"/>
            <w:tcBorders>
              <w:top w:val="single" w:color="auto" w:sz="4" w:space="0"/>
              <w:left w:val="single" w:color="auto" w:sz="8" w:space="0"/>
              <w:bottom w:val="single" w:color="auto" w:sz="4" w:space="0"/>
              <w:right w:val="single" w:color="auto" w:sz="4" w:space="0"/>
            </w:tcBorders>
            <w:vAlign w:val="center"/>
          </w:tcPr>
          <w:p>
            <w:pPr>
              <w:snapToGrid w:val="0"/>
              <w:spacing w:line="240" w:lineRule="exact"/>
              <w:rPr>
                <w:rFonts w:ascii="宋体" w:hAnsi="宋体"/>
                <w:snapToGrid w:val="0"/>
                <w:kern w:val="2"/>
                <w:sz w:val="20"/>
              </w:rPr>
            </w:pPr>
            <w:r>
              <w:rPr>
                <w:rFonts w:hint="eastAsia" w:ascii="宋体" w:hAnsi="宋体"/>
                <w:snapToGrid w:val="0"/>
                <w:kern w:val="2"/>
                <w:sz w:val="20"/>
              </w:rPr>
              <w:t>4.1.2</w:t>
            </w:r>
          </w:p>
        </w:tc>
        <w:tc>
          <w:tcPr>
            <w:tcW w:w="2280" w:type="dxa"/>
            <w:tcBorders>
              <w:top w:val="single" w:color="auto" w:sz="4" w:space="0"/>
              <w:left w:val="single" w:color="auto" w:sz="4" w:space="0"/>
              <w:bottom w:val="single" w:color="auto" w:sz="4" w:space="0"/>
              <w:right w:val="single" w:color="auto" w:sz="4" w:space="0"/>
            </w:tcBorders>
            <w:vAlign w:val="center"/>
          </w:tcPr>
          <w:p>
            <w:pPr>
              <w:widowControl/>
              <w:autoSpaceDE/>
              <w:autoSpaceDN/>
              <w:adjustRightInd/>
              <w:spacing w:line="240" w:lineRule="exact"/>
              <w:jc w:val="center"/>
              <w:textAlignment w:val="auto"/>
              <w:rPr>
                <w:rFonts w:ascii="宋体" w:hAnsi="宋体"/>
                <w:snapToGrid w:val="0"/>
                <w:kern w:val="2"/>
                <w:sz w:val="20"/>
              </w:rPr>
            </w:pPr>
            <w:r>
              <w:rPr>
                <w:rFonts w:hint="eastAsia" w:ascii="宋体" w:hAnsi="宋体"/>
                <w:snapToGrid w:val="0"/>
                <w:kern w:val="2"/>
                <w:sz w:val="20"/>
              </w:rPr>
              <w:t>竞包文件封套标记要求</w:t>
            </w:r>
          </w:p>
        </w:tc>
        <w:tc>
          <w:tcPr>
            <w:tcW w:w="5680" w:type="dxa"/>
            <w:tcBorders>
              <w:top w:val="single" w:color="auto" w:sz="4" w:space="0"/>
              <w:left w:val="single" w:color="auto" w:sz="4" w:space="0"/>
              <w:bottom w:val="single" w:color="auto" w:sz="4" w:space="0"/>
              <w:right w:val="single" w:color="auto" w:sz="8" w:space="0"/>
            </w:tcBorders>
            <w:vAlign w:val="center"/>
          </w:tcPr>
          <w:p>
            <w:pPr>
              <w:snapToGrid w:val="0"/>
              <w:spacing w:line="240" w:lineRule="exact"/>
              <w:rPr>
                <w:rFonts w:ascii="宋体" w:hAnsi="宋体"/>
                <w:kern w:val="2"/>
                <w:sz w:val="20"/>
              </w:rPr>
            </w:pPr>
            <w:r>
              <w:rPr>
                <w:rFonts w:hint="eastAsia" w:ascii="宋体" w:hAnsi="宋体"/>
                <w:kern w:val="2"/>
                <w:sz w:val="20"/>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876" w:type="dxa"/>
            <w:tcBorders>
              <w:top w:val="single" w:color="auto" w:sz="4" w:space="0"/>
              <w:left w:val="single" w:color="auto" w:sz="8" w:space="0"/>
              <w:bottom w:val="single" w:color="auto" w:sz="4" w:space="0"/>
              <w:right w:val="single" w:color="auto" w:sz="4" w:space="0"/>
            </w:tcBorders>
            <w:vAlign w:val="center"/>
          </w:tcPr>
          <w:p>
            <w:pPr>
              <w:snapToGrid w:val="0"/>
              <w:spacing w:line="240" w:lineRule="exact"/>
              <w:rPr>
                <w:rFonts w:ascii="宋体" w:hAnsi="宋体"/>
                <w:snapToGrid w:val="0"/>
                <w:kern w:val="2"/>
                <w:sz w:val="20"/>
              </w:rPr>
            </w:pPr>
            <w:r>
              <w:rPr>
                <w:rFonts w:ascii="宋体" w:hAnsi="宋体"/>
                <w:snapToGrid w:val="0"/>
                <w:kern w:val="2"/>
                <w:sz w:val="20"/>
              </w:rPr>
              <w:t>4.2.2</w:t>
            </w:r>
          </w:p>
        </w:tc>
        <w:tc>
          <w:tcPr>
            <w:tcW w:w="2280" w:type="dxa"/>
            <w:tcBorders>
              <w:top w:val="single" w:color="auto" w:sz="4" w:space="0"/>
              <w:left w:val="single" w:color="auto" w:sz="4" w:space="0"/>
              <w:bottom w:val="single" w:color="auto" w:sz="4" w:space="0"/>
              <w:right w:val="single" w:color="auto" w:sz="4" w:space="0"/>
            </w:tcBorders>
            <w:vAlign w:val="center"/>
          </w:tcPr>
          <w:p>
            <w:pPr>
              <w:widowControl/>
              <w:autoSpaceDE/>
              <w:autoSpaceDN/>
              <w:adjustRightInd/>
              <w:spacing w:line="240" w:lineRule="exact"/>
              <w:jc w:val="center"/>
              <w:textAlignment w:val="auto"/>
              <w:rPr>
                <w:rFonts w:ascii="宋体" w:hAnsi="宋体"/>
                <w:snapToGrid w:val="0"/>
                <w:kern w:val="2"/>
                <w:sz w:val="20"/>
              </w:rPr>
            </w:pPr>
            <w:r>
              <w:rPr>
                <w:rFonts w:ascii="宋体" w:hAnsi="宋体"/>
                <w:snapToGrid w:val="0"/>
                <w:kern w:val="2"/>
                <w:sz w:val="20"/>
              </w:rPr>
              <w:t>递交</w:t>
            </w:r>
            <w:r>
              <w:rPr>
                <w:rFonts w:hint="eastAsia" w:ascii="宋体" w:hAnsi="宋体"/>
                <w:snapToGrid w:val="0"/>
                <w:kern w:val="2"/>
                <w:sz w:val="20"/>
              </w:rPr>
              <w:t>竞包文件</w:t>
            </w:r>
            <w:r>
              <w:rPr>
                <w:rFonts w:ascii="宋体" w:hAnsi="宋体"/>
                <w:snapToGrid w:val="0"/>
                <w:kern w:val="2"/>
                <w:sz w:val="20"/>
              </w:rPr>
              <w:t>地点</w:t>
            </w:r>
          </w:p>
        </w:tc>
        <w:tc>
          <w:tcPr>
            <w:tcW w:w="5680" w:type="dxa"/>
            <w:tcBorders>
              <w:top w:val="single" w:color="auto" w:sz="4" w:space="0"/>
              <w:left w:val="single" w:color="auto" w:sz="4" w:space="0"/>
              <w:bottom w:val="single" w:color="auto" w:sz="4" w:space="0"/>
              <w:right w:val="single" w:color="auto" w:sz="8" w:space="0"/>
            </w:tcBorders>
            <w:vAlign w:val="center"/>
          </w:tcPr>
          <w:p>
            <w:pPr>
              <w:snapToGrid w:val="0"/>
              <w:spacing w:line="240" w:lineRule="exact"/>
              <w:rPr>
                <w:rFonts w:ascii="宋体" w:hAnsi="宋体"/>
                <w:b/>
                <w:snapToGrid w:val="0"/>
                <w:color w:val="FF0000"/>
                <w:kern w:val="2"/>
                <w:sz w:val="20"/>
                <w:shd w:val="clear" w:color="FFFFFF" w:fill="D9D9D9"/>
              </w:rPr>
            </w:pPr>
            <w:r>
              <w:rPr>
                <w:rFonts w:hint="eastAsia" w:ascii="宋体" w:hAnsi="宋体"/>
                <w:b/>
                <w:snapToGrid w:val="0"/>
                <w:color w:val="auto"/>
                <w:kern w:val="2"/>
                <w:sz w:val="20"/>
                <w:shd w:val="clear" w:color="FFFFFF" w:fill="D9D9D9"/>
              </w:rPr>
              <w:t>竞包文件（CA加密后的电子竞包文件）：登陆湖州市公共资源交易系统-湖州市限额发包平台上传；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876" w:type="dxa"/>
            <w:tcBorders>
              <w:top w:val="single" w:color="auto" w:sz="4" w:space="0"/>
              <w:left w:val="single" w:color="auto" w:sz="8" w:space="0"/>
              <w:bottom w:val="single" w:color="auto" w:sz="4" w:space="0"/>
              <w:right w:val="single" w:color="auto" w:sz="4" w:space="0"/>
            </w:tcBorders>
            <w:vAlign w:val="center"/>
          </w:tcPr>
          <w:p>
            <w:pPr>
              <w:snapToGrid w:val="0"/>
              <w:spacing w:line="240" w:lineRule="exact"/>
              <w:rPr>
                <w:rFonts w:ascii="宋体" w:hAnsi="宋体"/>
                <w:snapToGrid w:val="0"/>
                <w:kern w:val="2"/>
                <w:sz w:val="20"/>
              </w:rPr>
            </w:pPr>
            <w:r>
              <w:rPr>
                <w:rFonts w:ascii="宋体" w:hAnsi="宋体"/>
                <w:snapToGrid w:val="0"/>
                <w:kern w:val="2"/>
                <w:sz w:val="20"/>
              </w:rPr>
              <w:t>5.1</w:t>
            </w:r>
          </w:p>
        </w:tc>
        <w:tc>
          <w:tcPr>
            <w:tcW w:w="2280" w:type="dxa"/>
            <w:tcBorders>
              <w:top w:val="single" w:color="auto" w:sz="4" w:space="0"/>
              <w:left w:val="single" w:color="auto" w:sz="4" w:space="0"/>
              <w:bottom w:val="single" w:color="auto" w:sz="4" w:space="0"/>
              <w:right w:val="single" w:color="auto" w:sz="4" w:space="0"/>
            </w:tcBorders>
            <w:vAlign w:val="center"/>
          </w:tcPr>
          <w:p>
            <w:pPr>
              <w:widowControl/>
              <w:autoSpaceDE/>
              <w:autoSpaceDN/>
              <w:adjustRightInd/>
              <w:spacing w:line="240" w:lineRule="exact"/>
              <w:jc w:val="center"/>
              <w:textAlignment w:val="auto"/>
              <w:rPr>
                <w:rFonts w:ascii="宋体" w:hAnsi="宋体"/>
                <w:snapToGrid w:val="0"/>
                <w:kern w:val="2"/>
                <w:sz w:val="20"/>
              </w:rPr>
            </w:pPr>
            <w:r>
              <w:rPr>
                <w:rFonts w:ascii="宋体" w:hAnsi="宋体"/>
                <w:snapToGrid w:val="0"/>
                <w:kern w:val="2"/>
                <w:sz w:val="20"/>
              </w:rPr>
              <w:t>开标时间和地点</w:t>
            </w:r>
          </w:p>
        </w:tc>
        <w:tc>
          <w:tcPr>
            <w:tcW w:w="5680" w:type="dxa"/>
            <w:tcBorders>
              <w:top w:val="single" w:color="auto" w:sz="4" w:space="0"/>
              <w:left w:val="single" w:color="auto" w:sz="4" w:space="0"/>
              <w:bottom w:val="single" w:color="auto" w:sz="4" w:space="0"/>
              <w:right w:val="single" w:color="auto" w:sz="8" w:space="0"/>
            </w:tcBorders>
            <w:vAlign w:val="center"/>
          </w:tcPr>
          <w:p>
            <w:pPr>
              <w:snapToGrid w:val="0"/>
              <w:spacing w:line="300" w:lineRule="exact"/>
              <w:rPr>
                <w:rFonts w:ascii="宋体" w:hAnsi="宋体"/>
                <w:kern w:val="2"/>
                <w:sz w:val="20"/>
              </w:rPr>
            </w:pPr>
            <w:r>
              <w:rPr>
                <w:rFonts w:hint="eastAsia" w:ascii="宋体" w:hAnsi="宋体"/>
                <w:kern w:val="2"/>
                <w:sz w:val="20"/>
              </w:rPr>
              <w:t>竞包时间：同竞包截止时间</w:t>
            </w:r>
          </w:p>
          <w:p>
            <w:pPr>
              <w:snapToGrid w:val="0"/>
              <w:spacing w:line="300" w:lineRule="exact"/>
              <w:rPr>
                <w:rFonts w:ascii="宋体" w:hAnsi="宋体"/>
                <w:kern w:val="2"/>
                <w:sz w:val="20"/>
              </w:rPr>
            </w:pPr>
            <w:r>
              <w:rPr>
                <w:rFonts w:hint="eastAsia" w:ascii="宋体" w:hAnsi="宋体"/>
                <w:kern w:val="2"/>
                <w:sz w:val="20"/>
              </w:rPr>
              <w:t>竞包地点：</w:t>
            </w:r>
            <w:r>
              <w:rPr>
                <w:rFonts w:hint="eastAsia" w:ascii="宋体" w:hAnsi="宋体"/>
                <w:kern w:val="2"/>
                <w:sz w:val="20"/>
                <w:u w:val="single"/>
              </w:rPr>
              <w:t>网上远程不见面开标大厅</w:t>
            </w:r>
          </w:p>
          <w:p>
            <w:pPr>
              <w:snapToGrid w:val="0"/>
              <w:spacing w:line="300" w:lineRule="exact"/>
              <w:rPr>
                <w:rFonts w:ascii="宋体" w:hAnsi="宋体"/>
                <w:kern w:val="2"/>
                <w:sz w:val="20"/>
              </w:rPr>
            </w:pPr>
            <w:r>
              <w:rPr>
                <w:rFonts w:hint="eastAsia" w:ascii="宋体" w:hAnsi="宋体"/>
                <w:kern w:val="2"/>
                <w:sz w:val="20"/>
              </w:rPr>
              <w:t>网上不见面开标大厅登录方式：湖州市公共资源交易信息网-选择不见面开标大厅登录即可</w:t>
            </w:r>
          </w:p>
          <w:p>
            <w:pPr>
              <w:snapToGrid w:val="0"/>
              <w:spacing w:line="300" w:lineRule="exact"/>
              <w:rPr>
                <w:rFonts w:ascii="宋体" w:hAnsi="宋体"/>
                <w:kern w:val="2"/>
                <w:sz w:val="20"/>
              </w:rPr>
            </w:pPr>
            <w:r>
              <w:rPr>
                <w:rFonts w:hint="eastAsia" w:ascii="宋体" w:hAnsi="宋体"/>
                <w:kern w:val="2"/>
                <w:sz w:val="20"/>
              </w:rPr>
              <w:t>网址：</w:t>
            </w:r>
            <w:r>
              <w:fldChar w:fldCharType="begin"/>
            </w:r>
            <w:r>
              <w:instrText xml:space="preserve"> HYPERLINK "http://220.191.216.200:8085/BidOpening" </w:instrText>
            </w:r>
            <w:r>
              <w:fldChar w:fldCharType="separate"/>
            </w:r>
            <w:r>
              <w:rPr>
                <w:rStyle w:val="34"/>
                <w:rFonts w:hint="eastAsia" w:ascii="宋体" w:hAnsi="宋体"/>
                <w:kern w:val="2"/>
                <w:sz w:val="20"/>
              </w:rPr>
              <w:t>http://220.191.216.200:8085/BidOpening</w:t>
            </w:r>
            <w:r>
              <w:rPr>
                <w:rStyle w:val="34"/>
                <w:rFonts w:hint="eastAsia" w:ascii="宋体" w:hAnsi="宋体"/>
                <w:kern w:val="2"/>
                <w:sz w:val="20"/>
              </w:rPr>
              <w:fldChar w:fldCharType="end"/>
            </w:r>
          </w:p>
          <w:p>
            <w:pPr>
              <w:snapToGrid w:val="0"/>
              <w:spacing w:line="300" w:lineRule="exact"/>
              <w:rPr>
                <w:rFonts w:ascii="宋体" w:hAnsi="宋体"/>
                <w:b/>
                <w:kern w:val="2"/>
                <w:sz w:val="20"/>
              </w:rPr>
            </w:pPr>
            <w:r>
              <w:rPr>
                <w:rFonts w:hint="eastAsia" w:ascii="宋体" w:hAnsi="宋体"/>
                <w:kern w:val="2"/>
                <w:sz w:val="20"/>
              </w:rPr>
              <w:t>/bidopeninghall/hall/login</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876" w:type="dxa"/>
            <w:tcBorders>
              <w:top w:val="single" w:color="auto" w:sz="4" w:space="0"/>
              <w:left w:val="single" w:color="auto" w:sz="8" w:space="0"/>
              <w:bottom w:val="single" w:color="auto" w:sz="4" w:space="0"/>
              <w:right w:val="single" w:color="auto" w:sz="4" w:space="0"/>
            </w:tcBorders>
            <w:vAlign w:val="center"/>
          </w:tcPr>
          <w:p>
            <w:pPr>
              <w:snapToGrid w:val="0"/>
              <w:spacing w:line="240" w:lineRule="exact"/>
              <w:rPr>
                <w:rFonts w:ascii="宋体" w:hAnsi="宋体"/>
                <w:snapToGrid w:val="0"/>
                <w:kern w:val="2"/>
                <w:sz w:val="20"/>
              </w:rPr>
            </w:pPr>
            <w:r>
              <w:rPr>
                <w:rFonts w:ascii="宋体" w:hAnsi="宋体"/>
                <w:snapToGrid w:val="0"/>
                <w:kern w:val="2"/>
                <w:sz w:val="20"/>
              </w:rPr>
              <w:t>5.2</w:t>
            </w:r>
          </w:p>
        </w:tc>
        <w:tc>
          <w:tcPr>
            <w:tcW w:w="2280" w:type="dxa"/>
            <w:tcBorders>
              <w:top w:val="single" w:color="auto" w:sz="4" w:space="0"/>
              <w:left w:val="single" w:color="auto" w:sz="4" w:space="0"/>
              <w:bottom w:val="single" w:color="auto" w:sz="4" w:space="0"/>
              <w:right w:val="single" w:color="auto" w:sz="4" w:space="0"/>
            </w:tcBorders>
            <w:vAlign w:val="center"/>
          </w:tcPr>
          <w:p>
            <w:pPr>
              <w:widowControl/>
              <w:autoSpaceDE/>
              <w:autoSpaceDN/>
              <w:adjustRightInd/>
              <w:spacing w:line="240" w:lineRule="exact"/>
              <w:jc w:val="center"/>
              <w:textAlignment w:val="auto"/>
              <w:rPr>
                <w:rFonts w:ascii="宋体" w:hAnsi="宋体"/>
                <w:b/>
                <w:snapToGrid w:val="0"/>
                <w:color w:val="auto"/>
                <w:kern w:val="2"/>
                <w:sz w:val="20"/>
              </w:rPr>
            </w:pPr>
            <w:r>
              <w:rPr>
                <w:rFonts w:ascii="宋体" w:hAnsi="宋体"/>
                <w:b/>
                <w:bCs/>
                <w:snapToGrid w:val="0"/>
                <w:color w:val="auto"/>
                <w:kern w:val="2"/>
                <w:sz w:val="20"/>
              </w:rPr>
              <w:t>开标程序</w:t>
            </w:r>
          </w:p>
        </w:tc>
        <w:tc>
          <w:tcPr>
            <w:tcW w:w="5680" w:type="dxa"/>
            <w:tcBorders>
              <w:top w:val="single" w:color="auto" w:sz="4" w:space="0"/>
              <w:left w:val="single" w:color="auto" w:sz="4" w:space="0"/>
              <w:bottom w:val="single" w:color="auto" w:sz="4" w:space="0"/>
              <w:right w:val="single" w:color="auto" w:sz="8" w:space="0"/>
            </w:tcBorders>
            <w:vAlign w:val="center"/>
          </w:tcPr>
          <w:p>
            <w:pPr>
              <w:snapToGrid w:val="0"/>
              <w:rPr>
                <w:rFonts w:ascii="宋体" w:hAnsi="宋体"/>
                <w:color w:val="auto"/>
                <w:kern w:val="2"/>
                <w:sz w:val="20"/>
              </w:rPr>
            </w:pPr>
            <w:r>
              <w:rPr>
                <w:rFonts w:hint="eastAsia" w:ascii="宋体" w:hAnsi="宋体"/>
                <w:color w:val="auto"/>
                <w:kern w:val="2"/>
                <w:sz w:val="20"/>
              </w:rPr>
              <w:t>竞包顺序：上传竞包文件的先后顺序：</w:t>
            </w:r>
          </w:p>
          <w:p>
            <w:pPr>
              <w:snapToGrid w:val="0"/>
              <w:rPr>
                <w:rFonts w:ascii="宋体" w:hAnsi="宋体"/>
                <w:color w:val="auto"/>
                <w:kern w:val="2"/>
                <w:sz w:val="20"/>
              </w:rPr>
            </w:pPr>
            <w:r>
              <w:rPr>
                <w:rFonts w:hint="eastAsia" w:ascii="宋体" w:hAnsi="宋体"/>
                <w:color w:val="auto"/>
                <w:kern w:val="2"/>
                <w:sz w:val="20"/>
              </w:rPr>
              <w:t>1、竞包截止前30分钟，由招标代理机构登录网上不见面开标大厅系统，做好网上不见面开标准备；</w:t>
            </w:r>
          </w:p>
          <w:p>
            <w:pPr>
              <w:snapToGrid w:val="0"/>
              <w:rPr>
                <w:rFonts w:ascii="宋体" w:hAnsi="宋体"/>
                <w:color w:val="auto"/>
                <w:kern w:val="2"/>
                <w:sz w:val="20"/>
              </w:rPr>
            </w:pPr>
            <w:r>
              <w:rPr>
                <w:rFonts w:hint="eastAsia" w:ascii="宋体" w:hAnsi="宋体"/>
                <w:color w:val="auto"/>
                <w:kern w:val="2"/>
                <w:sz w:val="20"/>
              </w:rPr>
              <w:t>2、各竞包人应于竞包截止时间前使用加密锁自行登陆不见面开标大厅并完成在线签到，否则视为在线不到场，竞包文件开启解密时将被拒绝解密；竞包人的在线签到人员必须是竞包人的法定代表人或</w:t>
            </w:r>
            <w:r>
              <w:rPr>
                <w:rFonts w:hint="eastAsia" w:ascii="宋体" w:hAnsi="宋体"/>
                <w:color w:val="auto"/>
                <w:kern w:val="2"/>
                <w:sz w:val="20"/>
                <w:lang w:eastAsia="zh-CN"/>
              </w:rPr>
              <w:t>其授权委托的代理人</w:t>
            </w:r>
            <w:r>
              <w:rPr>
                <w:rFonts w:hint="eastAsia" w:ascii="宋体" w:hAnsi="宋体"/>
                <w:color w:val="auto"/>
                <w:kern w:val="2"/>
                <w:sz w:val="20"/>
              </w:rPr>
              <w:t>，如签到人员与竞包人的法定代表人或</w:t>
            </w:r>
            <w:r>
              <w:rPr>
                <w:rFonts w:hint="eastAsia" w:ascii="宋体" w:hAnsi="宋体"/>
                <w:color w:val="auto"/>
                <w:kern w:val="2"/>
                <w:sz w:val="20"/>
                <w:lang w:eastAsia="zh-CN"/>
              </w:rPr>
              <w:t>其授权委托的代理人</w:t>
            </w:r>
            <w:r>
              <w:rPr>
                <w:rFonts w:hint="eastAsia" w:ascii="宋体" w:hAnsi="宋体"/>
                <w:color w:val="auto"/>
                <w:kern w:val="2"/>
                <w:sz w:val="20"/>
              </w:rPr>
              <w:t>不一致的，其竞包将按无效标处理。</w:t>
            </w:r>
          </w:p>
          <w:p>
            <w:pPr>
              <w:snapToGrid w:val="0"/>
              <w:rPr>
                <w:rFonts w:ascii="宋体" w:hAnsi="宋体"/>
                <w:color w:val="auto"/>
                <w:kern w:val="2"/>
                <w:sz w:val="20"/>
              </w:rPr>
            </w:pPr>
            <w:r>
              <w:rPr>
                <w:rFonts w:hint="eastAsia" w:ascii="宋体" w:hAnsi="宋体"/>
                <w:color w:val="auto"/>
                <w:kern w:val="2"/>
                <w:sz w:val="20"/>
              </w:rPr>
              <w:t>3、竞包截止时间，由招标代理机构公布竞包人情况、解密要求、在线公布现场监督、见证人员；</w:t>
            </w:r>
          </w:p>
          <w:p>
            <w:pPr>
              <w:snapToGrid w:val="0"/>
              <w:rPr>
                <w:rFonts w:ascii="宋体" w:hAnsi="宋体"/>
                <w:color w:val="auto"/>
                <w:kern w:val="2"/>
                <w:sz w:val="20"/>
              </w:rPr>
            </w:pPr>
            <w:r>
              <w:rPr>
                <w:rFonts w:hint="eastAsia" w:ascii="宋体" w:hAnsi="宋体"/>
                <w:color w:val="auto"/>
                <w:kern w:val="2"/>
                <w:sz w:val="20"/>
              </w:rPr>
              <w:t>4、竞包人需在系统开启竞包文件解密时间后30分钟内对竞包文件进行网上在线解密，未在规定时间内完成的，其竞包将被拒绝；</w:t>
            </w:r>
          </w:p>
          <w:p>
            <w:pPr>
              <w:snapToGrid w:val="0"/>
              <w:rPr>
                <w:rFonts w:ascii="宋体" w:hAnsi="宋体"/>
                <w:color w:val="auto"/>
                <w:kern w:val="2"/>
                <w:sz w:val="20"/>
              </w:rPr>
            </w:pPr>
            <w:r>
              <w:rPr>
                <w:rFonts w:hint="eastAsia" w:ascii="宋体" w:hAnsi="宋体"/>
                <w:color w:val="auto"/>
                <w:kern w:val="2"/>
                <w:sz w:val="20"/>
              </w:rPr>
              <w:t>5、发包人在开标现场抽取发包文件中规定的系数</w:t>
            </w:r>
            <w:r>
              <w:rPr>
                <w:rFonts w:hint="eastAsia" w:ascii="宋体" w:hAnsi="宋体"/>
                <w:b/>
                <w:bCs/>
                <w:color w:val="auto"/>
                <w:kern w:val="2"/>
                <w:sz w:val="20"/>
              </w:rPr>
              <w:t>（1、1.5、2、2.5、3）</w:t>
            </w:r>
            <w:r>
              <w:rPr>
                <w:rFonts w:hint="eastAsia" w:ascii="宋体" w:hAnsi="宋体"/>
                <w:color w:val="auto"/>
                <w:kern w:val="2"/>
                <w:sz w:val="20"/>
              </w:rPr>
              <w:t>；</w:t>
            </w:r>
          </w:p>
          <w:p>
            <w:pPr>
              <w:snapToGrid w:val="0"/>
              <w:rPr>
                <w:rFonts w:ascii="宋体" w:hAnsi="宋体"/>
                <w:color w:val="auto"/>
                <w:kern w:val="2"/>
                <w:sz w:val="20"/>
              </w:rPr>
            </w:pPr>
            <w:r>
              <w:rPr>
                <w:rFonts w:hint="eastAsia" w:ascii="宋体" w:hAnsi="宋体"/>
                <w:color w:val="auto"/>
                <w:kern w:val="2"/>
                <w:sz w:val="20"/>
              </w:rPr>
              <w:t>6、发包人现场解密、竞包文件导入等全程操作；</w:t>
            </w:r>
          </w:p>
          <w:p>
            <w:pPr>
              <w:snapToGrid w:val="0"/>
              <w:rPr>
                <w:rFonts w:ascii="宋体" w:hAnsi="宋体"/>
                <w:color w:val="auto"/>
                <w:kern w:val="2"/>
                <w:sz w:val="20"/>
              </w:rPr>
            </w:pPr>
            <w:r>
              <w:rPr>
                <w:rFonts w:hint="eastAsia" w:ascii="宋体" w:hAnsi="宋体"/>
                <w:color w:val="auto"/>
                <w:kern w:val="2"/>
                <w:sz w:val="20"/>
              </w:rPr>
              <w:t>7、对网上开标过程有异议的，竞包人应当直接在线提疑，同时由发包人在线进行回复；</w:t>
            </w:r>
          </w:p>
          <w:p>
            <w:pPr>
              <w:snapToGrid w:val="0"/>
              <w:rPr>
                <w:rFonts w:ascii="宋体" w:hAnsi="宋体"/>
                <w:color w:val="auto"/>
                <w:kern w:val="2"/>
                <w:sz w:val="20"/>
              </w:rPr>
            </w:pPr>
            <w:r>
              <w:rPr>
                <w:rFonts w:hint="eastAsia" w:ascii="宋体" w:hAnsi="宋体"/>
                <w:color w:val="auto"/>
                <w:kern w:val="2"/>
                <w:sz w:val="20"/>
              </w:rPr>
              <w:t>8、宣布开标结束。</w:t>
            </w:r>
          </w:p>
          <w:p>
            <w:pPr>
              <w:pStyle w:val="2"/>
              <w:spacing w:line="300" w:lineRule="exact"/>
              <w:rPr>
                <w:rFonts w:ascii="宋体" w:hAnsi="宋体"/>
                <w:color w:val="auto"/>
                <w:sz w:val="20"/>
              </w:rPr>
            </w:pPr>
            <w:r>
              <w:rPr>
                <w:rFonts w:hint="eastAsia" w:ascii="宋体" w:hAnsi="宋体" w:eastAsiaTheme="minorEastAsia" w:cstheme="minorBidi"/>
                <w:color w:val="auto"/>
                <w:sz w:val="20"/>
              </w:rPr>
              <w:t>注：在开标过程中</w:t>
            </w:r>
            <w:r>
              <w:rPr>
                <w:rFonts w:hint="eastAsia" w:ascii="宋体" w:hAnsi="宋体" w:cstheme="minorBidi"/>
                <w:color w:val="auto"/>
                <w:sz w:val="20"/>
              </w:rPr>
              <w:t>发包</w:t>
            </w:r>
            <w:r>
              <w:rPr>
                <w:rFonts w:hint="eastAsia" w:ascii="宋体" w:hAnsi="宋体" w:eastAsiaTheme="minorEastAsia" w:cstheme="minorBidi"/>
                <w:color w:val="auto"/>
                <w:sz w:val="20"/>
              </w:rPr>
              <w:t>人及招标代理机构全程操作必须在直播视频中完成，不得随意离开。交易中心见证人员、现场监督人员做好相关工作并签字</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876" w:type="dxa"/>
            <w:tcBorders>
              <w:top w:val="single" w:color="auto" w:sz="4" w:space="0"/>
              <w:left w:val="single" w:color="auto" w:sz="8" w:space="0"/>
              <w:bottom w:val="single" w:color="auto" w:sz="4" w:space="0"/>
              <w:right w:val="single" w:color="auto" w:sz="4" w:space="0"/>
            </w:tcBorders>
            <w:vAlign w:val="center"/>
          </w:tcPr>
          <w:p>
            <w:pPr>
              <w:snapToGrid w:val="0"/>
              <w:spacing w:line="240" w:lineRule="exact"/>
              <w:rPr>
                <w:rFonts w:ascii="宋体" w:hAnsi="宋体"/>
                <w:snapToGrid w:val="0"/>
                <w:kern w:val="2"/>
                <w:sz w:val="20"/>
              </w:rPr>
            </w:pPr>
            <w:r>
              <w:rPr>
                <w:rFonts w:ascii="宋体" w:hAnsi="宋体"/>
                <w:snapToGrid w:val="0"/>
                <w:kern w:val="2"/>
                <w:sz w:val="20"/>
              </w:rPr>
              <w:t>6.1.1</w:t>
            </w:r>
          </w:p>
        </w:tc>
        <w:tc>
          <w:tcPr>
            <w:tcW w:w="2280" w:type="dxa"/>
            <w:tcBorders>
              <w:top w:val="single" w:color="auto" w:sz="4" w:space="0"/>
              <w:left w:val="single" w:color="auto" w:sz="4" w:space="0"/>
              <w:bottom w:val="single" w:color="auto" w:sz="4" w:space="0"/>
              <w:right w:val="single" w:color="auto" w:sz="4" w:space="0"/>
            </w:tcBorders>
            <w:vAlign w:val="center"/>
          </w:tcPr>
          <w:p>
            <w:pPr>
              <w:widowControl/>
              <w:autoSpaceDE/>
              <w:autoSpaceDN/>
              <w:adjustRightInd/>
              <w:spacing w:line="240" w:lineRule="exact"/>
              <w:jc w:val="center"/>
              <w:textAlignment w:val="auto"/>
              <w:rPr>
                <w:rFonts w:ascii="宋体" w:hAnsi="宋体"/>
                <w:snapToGrid w:val="0"/>
                <w:kern w:val="2"/>
                <w:sz w:val="20"/>
              </w:rPr>
            </w:pPr>
            <w:r>
              <w:rPr>
                <w:rFonts w:hint="eastAsia" w:ascii="宋体" w:hAnsi="宋体"/>
                <w:snapToGrid w:val="0"/>
                <w:kern w:val="2"/>
                <w:sz w:val="20"/>
              </w:rPr>
              <w:t>评审</w:t>
            </w:r>
            <w:r>
              <w:rPr>
                <w:rFonts w:ascii="宋体" w:hAnsi="宋体"/>
                <w:snapToGrid w:val="0"/>
                <w:kern w:val="2"/>
                <w:sz w:val="20"/>
              </w:rPr>
              <w:t>委员会的组建</w:t>
            </w:r>
          </w:p>
        </w:tc>
        <w:tc>
          <w:tcPr>
            <w:tcW w:w="5680" w:type="dxa"/>
            <w:tcBorders>
              <w:top w:val="single" w:color="auto" w:sz="4" w:space="0"/>
              <w:left w:val="single" w:color="auto" w:sz="4" w:space="0"/>
              <w:bottom w:val="single" w:color="auto" w:sz="4" w:space="0"/>
              <w:right w:val="single" w:color="auto" w:sz="8" w:space="0"/>
            </w:tcBorders>
            <w:vAlign w:val="center"/>
          </w:tcPr>
          <w:p>
            <w:pPr>
              <w:snapToGrid w:val="0"/>
              <w:spacing w:line="240" w:lineRule="exact"/>
              <w:rPr>
                <w:rFonts w:ascii="宋体" w:hAnsi="宋体"/>
                <w:kern w:val="2"/>
                <w:sz w:val="20"/>
              </w:rPr>
            </w:pPr>
            <w:r>
              <w:rPr>
                <w:rFonts w:hint="eastAsia" w:ascii="宋体" w:hAnsi="宋体"/>
                <w:kern w:val="2"/>
                <w:sz w:val="20"/>
              </w:rPr>
              <w:t>评审</w:t>
            </w:r>
            <w:r>
              <w:rPr>
                <w:rFonts w:ascii="宋体" w:hAnsi="宋体"/>
                <w:kern w:val="2"/>
                <w:sz w:val="20"/>
              </w:rPr>
              <w:t>委员会的构成：</w:t>
            </w:r>
            <w:r>
              <w:rPr>
                <w:rFonts w:hint="eastAsia" w:ascii="宋体" w:hAnsi="宋体"/>
                <w:kern w:val="2"/>
                <w:sz w:val="20"/>
              </w:rPr>
              <w:t>评审委员会成员为3人。原则上发包人不派代表参加评审委员会。确需参加的，只允许派1名代表参加，其余成员在综合性评审专家库中随机抽取。</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876" w:type="dxa"/>
            <w:tcBorders>
              <w:top w:val="single" w:color="auto" w:sz="4" w:space="0"/>
              <w:left w:val="single" w:color="auto" w:sz="8" w:space="0"/>
              <w:bottom w:val="single" w:color="auto" w:sz="4" w:space="0"/>
              <w:right w:val="single" w:color="auto" w:sz="4" w:space="0"/>
            </w:tcBorders>
            <w:vAlign w:val="center"/>
          </w:tcPr>
          <w:p>
            <w:pPr>
              <w:snapToGrid w:val="0"/>
              <w:spacing w:line="240" w:lineRule="exact"/>
              <w:rPr>
                <w:rFonts w:ascii="宋体" w:hAnsi="宋体"/>
                <w:snapToGrid w:val="0"/>
                <w:kern w:val="2"/>
                <w:sz w:val="20"/>
              </w:rPr>
            </w:pPr>
            <w:r>
              <w:rPr>
                <w:rFonts w:hint="eastAsia" w:ascii="宋体" w:hAnsi="宋体"/>
                <w:snapToGrid w:val="0"/>
                <w:kern w:val="2"/>
                <w:sz w:val="20"/>
              </w:rPr>
              <w:t>7.2.1</w:t>
            </w:r>
          </w:p>
        </w:tc>
        <w:tc>
          <w:tcPr>
            <w:tcW w:w="2280" w:type="dxa"/>
            <w:tcBorders>
              <w:top w:val="single" w:color="auto" w:sz="4" w:space="0"/>
              <w:left w:val="single" w:color="auto" w:sz="4" w:space="0"/>
              <w:bottom w:val="single" w:color="auto" w:sz="4" w:space="0"/>
              <w:right w:val="single" w:color="auto" w:sz="4" w:space="0"/>
            </w:tcBorders>
            <w:vAlign w:val="center"/>
          </w:tcPr>
          <w:p>
            <w:pPr>
              <w:widowControl/>
              <w:autoSpaceDE/>
              <w:autoSpaceDN/>
              <w:adjustRightInd/>
              <w:spacing w:line="240" w:lineRule="exact"/>
              <w:jc w:val="center"/>
              <w:textAlignment w:val="auto"/>
              <w:rPr>
                <w:rFonts w:ascii="宋体" w:hAnsi="宋体"/>
                <w:snapToGrid w:val="0"/>
                <w:kern w:val="2"/>
                <w:sz w:val="20"/>
              </w:rPr>
            </w:pPr>
          </w:p>
          <w:p>
            <w:pPr>
              <w:widowControl/>
              <w:autoSpaceDE/>
              <w:autoSpaceDN/>
              <w:adjustRightInd/>
              <w:spacing w:line="240" w:lineRule="exact"/>
              <w:jc w:val="center"/>
              <w:textAlignment w:val="auto"/>
              <w:rPr>
                <w:rFonts w:ascii="宋体" w:hAnsi="宋体"/>
                <w:snapToGrid w:val="0"/>
                <w:kern w:val="2"/>
                <w:sz w:val="20"/>
              </w:rPr>
            </w:pPr>
          </w:p>
          <w:p>
            <w:pPr>
              <w:widowControl/>
              <w:autoSpaceDE/>
              <w:autoSpaceDN/>
              <w:adjustRightInd/>
              <w:spacing w:line="240" w:lineRule="exact"/>
              <w:jc w:val="center"/>
              <w:textAlignment w:val="auto"/>
              <w:rPr>
                <w:rFonts w:ascii="宋体" w:hAnsi="宋体"/>
                <w:snapToGrid w:val="0"/>
                <w:kern w:val="2"/>
                <w:sz w:val="20"/>
              </w:rPr>
            </w:pPr>
          </w:p>
          <w:p>
            <w:pPr>
              <w:widowControl/>
              <w:autoSpaceDE/>
              <w:autoSpaceDN/>
              <w:adjustRightInd/>
              <w:spacing w:line="240" w:lineRule="exact"/>
              <w:jc w:val="center"/>
              <w:textAlignment w:val="auto"/>
              <w:rPr>
                <w:rFonts w:ascii="宋体" w:hAnsi="宋体"/>
                <w:snapToGrid w:val="0"/>
                <w:kern w:val="2"/>
                <w:sz w:val="20"/>
              </w:rPr>
            </w:pPr>
            <w:r>
              <w:rPr>
                <w:rFonts w:hint="eastAsia" w:ascii="宋体" w:hAnsi="宋体"/>
                <w:snapToGrid w:val="0"/>
                <w:kern w:val="2"/>
                <w:sz w:val="20"/>
              </w:rPr>
              <w:t>承包通知</w:t>
            </w:r>
          </w:p>
          <w:p>
            <w:pPr>
              <w:widowControl/>
              <w:autoSpaceDE/>
              <w:autoSpaceDN/>
              <w:adjustRightInd/>
              <w:spacing w:line="240" w:lineRule="exact"/>
              <w:jc w:val="center"/>
              <w:textAlignment w:val="auto"/>
              <w:rPr>
                <w:rFonts w:ascii="宋体" w:hAnsi="宋体"/>
                <w:snapToGrid w:val="0"/>
                <w:kern w:val="2"/>
                <w:sz w:val="20"/>
              </w:rPr>
            </w:pPr>
          </w:p>
          <w:p>
            <w:pPr>
              <w:widowControl/>
              <w:autoSpaceDE/>
              <w:autoSpaceDN/>
              <w:adjustRightInd/>
              <w:spacing w:line="240" w:lineRule="exact"/>
              <w:jc w:val="center"/>
              <w:textAlignment w:val="auto"/>
              <w:rPr>
                <w:rFonts w:ascii="宋体" w:hAnsi="宋体"/>
                <w:snapToGrid w:val="0"/>
                <w:kern w:val="2"/>
                <w:sz w:val="20"/>
              </w:rPr>
            </w:pPr>
          </w:p>
          <w:p>
            <w:pPr>
              <w:widowControl/>
              <w:autoSpaceDE/>
              <w:autoSpaceDN/>
              <w:adjustRightInd/>
              <w:spacing w:line="240" w:lineRule="exact"/>
              <w:jc w:val="center"/>
              <w:textAlignment w:val="auto"/>
              <w:rPr>
                <w:rFonts w:ascii="宋体" w:hAnsi="宋体"/>
                <w:snapToGrid w:val="0"/>
                <w:kern w:val="2"/>
                <w:sz w:val="20"/>
              </w:rPr>
            </w:pPr>
          </w:p>
        </w:tc>
        <w:tc>
          <w:tcPr>
            <w:tcW w:w="5680" w:type="dxa"/>
            <w:tcBorders>
              <w:top w:val="single" w:color="auto" w:sz="4" w:space="0"/>
              <w:left w:val="single" w:color="auto" w:sz="4" w:space="0"/>
              <w:bottom w:val="single" w:color="auto" w:sz="4" w:space="0"/>
              <w:right w:val="single" w:color="auto" w:sz="8" w:space="0"/>
            </w:tcBorders>
            <w:vAlign w:val="center"/>
          </w:tcPr>
          <w:p>
            <w:pPr>
              <w:snapToGrid w:val="0"/>
              <w:spacing w:line="240" w:lineRule="exact"/>
              <w:rPr>
                <w:rFonts w:ascii="宋体" w:hAnsi="宋体"/>
                <w:b/>
                <w:kern w:val="2"/>
                <w:sz w:val="20"/>
              </w:rPr>
            </w:pPr>
            <w:r>
              <w:rPr>
                <w:rFonts w:hint="eastAsia" w:ascii="宋体" w:hAnsi="宋体"/>
                <w:kern w:val="2"/>
                <w:sz w:val="20"/>
              </w:rPr>
              <w:t>评审结果公示结束后，发包人应当确定排名第一的承包候选人为承包人。排名第一的承包候选人放弃承包、因不可抗力不能履行合同、不按照发包文件要求提交履约保证金，或者被查实存在影响承包结果的违法行为等情形，不符合承包条件的，发包人可以按照评审委员会提出的排名第二的承包候选人为承包人，排名第二的承包候选人因同样原因的，可以确定排名第三的承包候选人为承包人，发包人也可以重新发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876" w:type="dxa"/>
            <w:tcBorders>
              <w:top w:val="single" w:color="auto" w:sz="4" w:space="0"/>
              <w:left w:val="single" w:color="auto" w:sz="8" w:space="0"/>
              <w:bottom w:val="single" w:color="auto" w:sz="4" w:space="0"/>
              <w:right w:val="single" w:color="auto" w:sz="4" w:space="0"/>
            </w:tcBorders>
            <w:vAlign w:val="center"/>
          </w:tcPr>
          <w:p>
            <w:pPr>
              <w:snapToGrid w:val="0"/>
              <w:spacing w:line="240" w:lineRule="exact"/>
              <w:rPr>
                <w:rFonts w:ascii="宋体" w:hAnsi="宋体"/>
                <w:snapToGrid w:val="0"/>
                <w:kern w:val="2"/>
                <w:sz w:val="20"/>
              </w:rPr>
            </w:pPr>
            <w:r>
              <w:rPr>
                <w:rFonts w:ascii="宋体" w:hAnsi="宋体"/>
                <w:snapToGrid w:val="0"/>
                <w:kern w:val="2"/>
                <w:sz w:val="20"/>
              </w:rPr>
              <w:t>7.3.1</w:t>
            </w:r>
          </w:p>
        </w:tc>
        <w:tc>
          <w:tcPr>
            <w:tcW w:w="2280" w:type="dxa"/>
            <w:tcBorders>
              <w:top w:val="single" w:color="auto" w:sz="4" w:space="0"/>
              <w:left w:val="single" w:color="auto" w:sz="4" w:space="0"/>
              <w:bottom w:val="single" w:color="auto" w:sz="4" w:space="0"/>
              <w:right w:val="single" w:color="auto" w:sz="4" w:space="0"/>
            </w:tcBorders>
            <w:vAlign w:val="center"/>
          </w:tcPr>
          <w:p>
            <w:pPr>
              <w:widowControl/>
              <w:autoSpaceDE/>
              <w:autoSpaceDN/>
              <w:adjustRightInd/>
              <w:spacing w:line="240" w:lineRule="exact"/>
              <w:jc w:val="center"/>
              <w:textAlignment w:val="auto"/>
              <w:rPr>
                <w:rFonts w:ascii="宋体" w:hAnsi="宋体"/>
                <w:snapToGrid w:val="0"/>
                <w:kern w:val="2"/>
                <w:sz w:val="20"/>
              </w:rPr>
            </w:pPr>
            <w:r>
              <w:rPr>
                <w:rFonts w:ascii="宋体" w:hAnsi="宋体"/>
                <w:snapToGrid w:val="0"/>
                <w:kern w:val="2"/>
                <w:sz w:val="20"/>
              </w:rPr>
              <w:t>履约担保</w:t>
            </w:r>
          </w:p>
        </w:tc>
        <w:tc>
          <w:tcPr>
            <w:tcW w:w="5680" w:type="dxa"/>
            <w:tcBorders>
              <w:top w:val="single" w:color="auto" w:sz="4" w:space="0"/>
              <w:left w:val="single" w:color="auto" w:sz="4" w:space="0"/>
              <w:bottom w:val="single" w:color="auto" w:sz="4" w:space="0"/>
              <w:right w:val="single" w:color="auto" w:sz="8" w:space="0"/>
            </w:tcBorders>
            <w:vAlign w:val="center"/>
          </w:tcPr>
          <w:p>
            <w:pPr>
              <w:snapToGrid w:val="0"/>
              <w:jc w:val="left"/>
              <w:rPr>
                <w:rFonts w:ascii="宋体" w:hAnsi="宋体"/>
                <w:snapToGrid w:val="0"/>
                <w:sz w:val="21"/>
                <w:szCs w:val="21"/>
              </w:rPr>
            </w:pPr>
            <w:r>
              <w:rPr>
                <w:rFonts w:hint="eastAsia" w:ascii="宋体" w:hAnsi="宋体"/>
                <w:snapToGrid w:val="0"/>
                <w:sz w:val="21"/>
                <w:szCs w:val="21"/>
              </w:rPr>
              <w:t>履约担保的形式：</w:t>
            </w:r>
            <w:r>
              <w:rPr>
                <w:rFonts w:hint="eastAsia" w:ascii="MS Mincho" w:hAnsi="MS Mincho" w:eastAsia="MS Mincho" w:cs="MS Mincho"/>
                <w:snapToGrid w:val="0"/>
                <w:sz w:val="21"/>
                <w:szCs w:val="21"/>
              </w:rPr>
              <w:t>☑</w:t>
            </w:r>
            <w:r>
              <w:rPr>
                <w:rFonts w:hint="eastAsia" w:ascii="宋体" w:hAnsi="宋体"/>
                <w:snapToGrid w:val="0"/>
                <w:sz w:val="21"/>
                <w:szCs w:val="21"/>
              </w:rPr>
              <w:t>履约担保金（含现金支票、银行汇票、保兑支票）或</w:t>
            </w:r>
            <w:r>
              <w:rPr>
                <w:rFonts w:hint="eastAsia" w:ascii="MS Mincho" w:hAnsi="MS Mincho" w:eastAsia="MS Mincho" w:cs="MS Mincho"/>
                <w:snapToGrid w:val="0"/>
                <w:sz w:val="21"/>
                <w:szCs w:val="21"/>
              </w:rPr>
              <w:t>☑</w:t>
            </w:r>
            <w:r>
              <w:rPr>
                <w:rFonts w:hint="eastAsia" w:ascii="宋体" w:hAnsi="宋体"/>
                <w:snapToGrid w:val="0"/>
                <w:sz w:val="21"/>
                <w:szCs w:val="21"/>
              </w:rPr>
              <w:t>银行履约保函或</w:t>
            </w:r>
            <w:r>
              <w:rPr>
                <w:rFonts w:hint="eastAsia" w:ascii="MS Mincho" w:hAnsi="MS Mincho" w:eastAsia="MS Mincho" w:cs="MS Mincho"/>
                <w:snapToGrid w:val="0"/>
                <w:sz w:val="21"/>
                <w:szCs w:val="21"/>
              </w:rPr>
              <w:t>☑</w:t>
            </w:r>
            <w:r>
              <w:rPr>
                <w:rFonts w:hint="eastAsia" w:ascii="宋体" w:hAnsi="宋体" w:eastAsia="宋体" w:cs="宋体"/>
                <w:snapToGrid w:val="0"/>
                <w:sz w:val="21"/>
                <w:szCs w:val="21"/>
              </w:rPr>
              <w:t>履约担保书（建设工程完工履约保证保险保单保函）</w:t>
            </w:r>
          </w:p>
          <w:p>
            <w:pPr>
              <w:snapToGrid w:val="0"/>
              <w:jc w:val="left"/>
              <w:rPr>
                <w:rFonts w:ascii="宋体" w:hAnsi="宋体"/>
                <w:snapToGrid w:val="0"/>
                <w:sz w:val="21"/>
                <w:szCs w:val="21"/>
              </w:rPr>
            </w:pPr>
            <w:r>
              <w:rPr>
                <w:rFonts w:hint="eastAsia" w:ascii="宋体" w:hAnsi="宋体"/>
                <w:snapToGrid w:val="0"/>
                <w:sz w:val="21"/>
                <w:szCs w:val="21"/>
              </w:rPr>
              <w:t>履约担保的金额：中标价的2%。</w:t>
            </w:r>
          </w:p>
          <w:p>
            <w:pPr>
              <w:snapToGrid w:val="0"/>
              <w:spacing w:line="240" w:lineRule="exact"/>
              <w:rPr>
                <w:rFonts w:ascii="宋体" w:hAnsi="宋体"/>
                <w:kern w:val="2"/>
                <w:sz w:val="20"/>
              </w:rPr>
            </w:pPr>
            <w:r>
              <w:rPr>
                <w:rFonts w:hint="eastAsia" w:ascii="宋体" w:hAnsi="宋体"/>
                <w:snapToGrid w:val="0"/>
                <w:sz w:val="21"/>
                <w:szCs w:val="21"/>
              </w:rPr>
              <w:t>注：采用建设工程完工履约保证保险保单保函的应符合《湖州市住房和城乡建设局等4部门关于开展建设工程综合保险试点工作的通知》湖建发【2018】211号、《湖州市建设工程综合保险项目共保体中标公示》等文件内容，由首席保险人出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89" w:hRule="atLeast"/>
        </w:trPr>
        <w:tc>
          <w:tcPr>
            <w:tcW w:w="876" w:type="dxa"/>
            <w:vAlign w:val="center"/>
          </w:tcPr>
          <w:p>
            <w:pPr>
              <w:tabs>
                <w:tab w:val="left" w:pos="10324"/>
              </w:tabs>
              <w:spacing w:line="240" w:lineRule="exact"/>
              <w:jc w:val="center"/>
              <w:rPr>
                <w:rFonts w:ascii="宋体" w:hAnsi="宋体"/>
                <w:snapToGrid w:val="0"/>
                <w:kern w:val="2"/>
                <w:sz w:val="20"/>
              </w:rPr>
            </w:pPr>
            <w:r>
              <w:rPr>
                <w:rFonts w:hint="eastAsia" w:ascii="宋体" w:hAnsi="宋体"/>
                <w:snapToGrid w:val="0"/>
                <w:kern w:val="2"/>
                <w:sz w:val="20"/>
              </w:rPr>
              <w:t>9.5</w:t>
            </w:r>
          </w:p>
        </w:tc>
        <w:tc>
          <w:tcPr>
            <w:tcW w:w="2280" w:type="dxa"/>
            <w:vAlign w:val="center"/>
          </w:tcPr>
          <w:p>
            <w:pPr>
              <w:tabs>
                <w:tab w:val="left" w:pos="10324"/>
              </w:tabs>
              <w:spacing w:line="240" w:lineRule="exact"/>
              <w:jc w:val="center"/>
              <w:rPr>
                <w:rFonts w:ascii="宋体" w:hAnsi="宋体"/>
                <w:snapToGrid w:val="0"/>
                <w:kern w:val="2"/>
                <w:sz w:val="20"/>
              </w:rPr>
            </w:pPr>
            <w:r>
              <w:rPr>
                <w:rFonts w:hint="eastAsia" w:ascii="宋体" w:hAnsi="宋体"/>
                <w:snapToGrid w:val="0"/>
                <w:kern w:val="2"/>
                <w:sz w:val="20"/>
              </w:rPr>
              <w:t>投诉受理机构</w:t>
            </w:r>
          </w:p>
        </w:tc>
        <w:tc>
          <w:tcPr>
            <w:tcW w:w="5680" w:type="dxa"/>
            <w:vAlign w:val="center"/>
          </w:tcPr>
          <w:p>
            <w:pPr>
              <w:tabs>
                <w:tab w:val="left" w:pos="10324"/>
              </w:tabs>
              <w:spacing w:line="240" w:lineRule="exact"/>
              <w:jc w:val="left"/>
              <w:rPr>
                <w:rFonts w:ascii="宋体" w:hAnsi="宋体"/>
                <w:b/>
                <w:kern w:val="2"/>
                <w:sz w:val="20"/>
              </w:rPr>
            </w:pPr>
            <w:r>
              <w:rPr>
                <w:rFonts w:hint="eastAsia" w:ascii="宋体" w:hAnsi="宋体"/>
                <w:snapToGrid w:val="0"/>
                <w:kern w:val="2"/>
                <w:sz w:val="20"/>
                <w:lang w:eastAsia="zh-CN"/>
              </w:rPr>
              <w:t>湖州南太湖现代农业综合区开发有限公司</w:t>
            </w:r>
            <w:r>
              <w:rPr>
                <w:rFonts w:hint="eastAsia" w:ascii="宋体" w:hAnsi="宋体"/>
                <w:snapToGrid w:val="0"/>
                <w:kern w:val="2"/>
                <w:sz w:val="20"/>
              </w:rPr>
              <w:t>发包监督小组（</w:t>
            </w:r>
            <w:r>
              <w:rPr>
                <w:rFonts w:hint="eastAsia" w:ascii="宋体" w:hAnsi="宋体"/>
                <w:kern w:val="2"/>
                <w:sz w:val="20"/>
              </w:rPr>
              <w:t>投诉请根据《湖州市限额以下工程建设项目发包办法》的相关规定向发包监督小组进行投诉，否则将视为无效投诉。</w:t>
            </w:r>
            <w:r>
              <w:rPr>
                <w:rFonts w:hint="eastAsia" w:ascii="宋体" w:hAnsi="宋体"/>
                <w:snapToGrid w:val="0"/>
                <w:kern w:val="2"/>
                <w:sz w:val="20"/>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876" w:type="dxa"/>
            <w:vAlign w:val="center"/>
          </w:tcPr>
          <w:p>
            <w:pPr>
              <w:tabs>
                <w:tab w:val="left" w:pos="10324"/>
              </w:tabs>
              <w:spacing w:line="240" w:lineRule="exact"/>
              <w:jc w:val="center"/>
              <w:rPr>
                <w:rFonts w:ascii="宋体" w:hAnsi="宋体"/>
                <w:snapToGrid w:val="0"/>
                <w:kern w:val="2"/>
                <w:sz w:val="20"/>
              </w:rPr>
            </w:pPr>
            <w:r>
              <w:rPr>
                <w:rFonts w:ascii="宋体" w:hAnsi="宋体"/>
                <w:snapToGrid w:val="0"/>
                <w:kern w:val="2"/>
                <w:sz w:val="20"/>
              </w:rPr>
              <w:t>10</w:t>
            </w:r>
          </w:p>
        </w:tc>
        <w:tc>
          <w:tcPr>
            <w:tcW w:w="2280" w:type="dxa"/>
            <w:vAlign w:val="center"/>
          </w:tcPr>
          <w:p>
            <w:pPr>
              <w:tabs>
                <w:tab w:val="left" w:pos="10324"/>
              </w:tabs>
              <w:spacing w:line="240" w:lineRule="exact"/>
              <w:jc w:val="center"/>
              <w:rPr>
                <w:rFonts w:ascii="宋体" w:hAnsi="宋体"/>
                <w:snapToGrid w:val="0"/>
                <w:kern w:val="2"/>
                <w:sz w:val="20"/>
              </w:rPr>
            </w:pPr>
            <w:r>
              <w:rPr>
                <w:rFonts w:ascii="宋体" w:hAnsi="宋体"/>
                <w:snapToGrid w:val="0"/>
                <w:kern w:val="2"/>
                <w:sz w:val="20"/>
              </w:rPr>
              <w:t>需要补充的其他内容</w:t>
            </w:r>
          </w:p>
        </w:tc>
        <w:tc>
          <w:tcPr>
            <w:tcW w:w="5680" w:type="dxa"/>
            <w:vAlign w:val="center"/>
          </w:tcPr>
          <w:p>
            <w:pPr>
              <w:tabs>
                <w:tab w:val="left" w:pos="10324"/>
              </w:tabs>
              <w:spacing w:line="240" w:lineRule="exact"/>
              <w:jc w:val="left"/>
              <w:rPr>
                <w:rFonts w:ascii="宋体" w:hAnsi="宋体"/>
                <w:snapToGrid w:val="0"/>
                <w:kern w:val="2"/>
                <w:sz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876" w:type="dxa"/>
            <w:vAlign w:val="center"/>
          </w:tcPr>
          <w:p>
            <w:pPr>
              <w:tabs>
                <w:tab w:val="left" w:pos="10324"/>
              </w:tabs>
              <w:spacing w:line="240" w:lineRule="exact"/>
              <w:jc w:val="center"/>
              <w:rPr>
                <w:rFonts w:ascii="宋体" w:hAnsi="宋体"/>
                <w:snapToGrid w:val="0"/>
                <w:kern w:val="2"/>
                <w:sz w:val="20"/>
              </w:rPr>
            </w:pPr>
            <w:r>
              <w:rPr>
                <w:rFonts w:hint="eastAsia" w:ascii="宋体" w:hAnsi="宋体"/>
                <w:snapToGrid w:val="0"/>
                <w:kern w:val="2"/>
                <w:sz w:val="20"/>
              </w:rPr>
              <w:t>10.1</w:t>
            </w:r>
          </w:p>
        </w:tc>
        <w:tc>
          <w:tcPr>
            <w:tcW w:w="2280" w:type="dxa"/>
            <w:vAlign w:val="center"/>
          </w:tcPr>
          <w:p>
            <w:pPr>
              <w:tabs>
                <w:tab w:val="left" w:pos="10324"/>
              </w:tabs>
              <w:spacing w:line="240" w:lineRule="exact"/>
              <w:jc w:val="center"/>
              <w:rPr>
                <w:rFonts w:ascii="宋体" w:hAnsi="宋体"/>
                <w:snapToGrid w:val="0"/>
                <w:kern w:val="2"/>
                <w:sz w:val="20"/>
              </w:rPr>
            </w:pPr>
            <w:r>
              <w:rPr>
                <w:rFonts w:hint="eastAsia" w:ascii="宋体" w:hAnsi="宋体"/>
                <w:snapToGrid w:val="0"/>
                <w:kern w:val="2"/>
                <w:sz w:val="20"/>
              </w:rPr>
              <w:t>类似业绩</w:t>
            </w:r>
          </w:p>
        </w:tc>
        <w:tc>
          <w:tcPr>
            <w:tcW w:w="5680" w:type="dxa"/>
            <w:vAlign w:val="center"/>
          </w:tcPr>
          <w:p>
            <w:pPr>
              <w:tabs>
                <w:tab w:val="left" w:pos="10324"/>
              </w:tabs>
              <w:spacing w:line="240" w:lineRule="exact"/>
              <w:jc w:val="left"/>
              <w:rPr>
                <w:rFonts w:ascii="宋体" w:hAnsi="宋体"/>
                <w:snapToGrid w:val="0"/>
                <w:kern w:val="2"/>
                <w:sz w:val="20"/>
              </w:rPr>
            </w:pPr>
            <w:r>
              <w:rPr>
                <w:rFonts w:hint="eastAsia" w:ascii="宋体" w:hAnsi="宋体"/>
                <w:snapToGrid w:val="0"/>
                <w:kern w:val="2"/>
                <w:sz w:val="20"/>
              </w:rPr>
              <w:t>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91" w:hRule="atLeast"/>
        </w:trPr>
        <w:tc>
          <w:tcPr>
            <w:tcW w:w="876" w:type="dxa"/>
            <w:vAlign w:val="center"/>
          </w:tcPr>
          <w:p>
            <w:pPr>
              <w:widowControl/>
              <w:autoSpaceDE/>
              <w:autoSpaceDN/>
              <w:adjustRightInd/>
              <w:spacing w:line="240" w:lineRule="exact"/>
              <w:jc w:val="center"/>
              <w:textAlignment w:val="auto"/>
              <w:rPr>
                <w:rFonts w:ascii="宋体" w:hAnsi="宋体"/>
                <w:snapToGrid w:val="0"/>
                <w:kern w:val="2"/>
                <w:sz w:val="20"/>
              </w:rPr>
            </w:pPr>
            <w:r>
              <w:rPr>
                <w:rFonts w:hint="eastAsia" w:ascii="宋体" w:hAnsi="宋体"/>
                <w:snapToGrid w:val="0"/>
                <w:kern w:val="2"/>
                <w:sz w:val="20"/>
              </w:rPr>
              <w:t>10.2</w:t>
            </w:r>
          </w:p>
        </w:tc>
        <w:tc>
          <w:tcPr>
            <w:tcW w:w="2280" w:type="dxa"/>
            <w:vAlign w:val="center"/>
          </w:tcPr>
          <w:p>
            <w:pPr>
              <w:widowControl/>
              <w:autoSpaceDE/>
              <w:autoSpaceDN/>
              <w:adjustRightInd/>
              <w:spacing w:line="240" w:lineRule="exact"/>
              <w:jc w:val="center"/>
              <w:textAlignment w:val="auto"/>
              <w:rPr>
                <w:rFonts w:ascii="宋体" w:hAnsi="宋体"/>
                <w:snapToGrid w:val="0"/>
                <w:kern w:val="2"/>
                <w:sz w:val="20"/>
              </w:rPr>
            </w:pPr>
            <w:r>
              <w:rPr>
                <w:rFonts w:ascii="宋体" w:hAnsi="宋体"/>
                <w:snapToGrid w:val="0"/>
                <w:kern w:val="2"/>
                <w:sz w:val="20"/>
              </w:rPr>
              <w:t>已标价工程量清单</w:t>
            </w:r>
          </w:p>
        </w:tc>
        <w:tc>
          <w:tcPr>
            <w:tcW w:w="5680" w:type="dxa"/>
            <w:vAlign w:val="center"/>
          </w:tcPr>
          <w:p>
            <w:pPr>
              <w:widowControl/>
              <w:autoSpaceDE/>
              <w:autoSpaceDN/>
              <w:adjustRightInd/>
              <w:spacing w:line="240" w:lineRule="exact"/>
              <w:textAlignment w:val="auto"/>
              <w:rPr>
                <w:rFonts w:ascii="宋体" w:cs="宋体"/>
                <w:kern w:val="2"/>
                <w:sz w:val="20"/>
              </w:rPr>
            </w:pPr>
            <w:r>
              <w:rPr>
                <w:rFonts w:hint="eastAsia" w:ascii="宋体" w:cs="宋体"/>
                <w:kern w:val="2"/>
                <w:sz w:val="20"/>
              </w:rPr>
              <w:t>各竞包人需在湖州市限额以下发包平台上传已标价的工程量清单电子扫描件。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91" w:hRule="atLeast"/>
        </w:trPr>
        <w:tc>
          <w:tcPr>
            <w:tcW w:w="876" w:type="dxa"/>
            <w:vAlign w:val="center"/>
          </w:tcPr>
          <w:p>
            <w:pPr>
              <w:widowControl/>
              <w:autoSpaceDE/>
              <w:autoSpaceDN/>
              <w:adjustRightInd/>
              <w:spacing w:line="240" w:lineRule="exact"/>
              <w:jc w:val="center"/>
              <w:textAlignment w:val="auto"/>
              <w:rPr>
                <w:rFonts w:ascii="宋体" w:hAnsi="宋体"/>
                <w:snapToGrid w:val="0"/>
                <w:kern w:val="2"/>
                <w:sz w:val="20"/>
              </w:rPr>
            </w:pPr>
            <w:r>
              <w:rPr>
                <w:rFonts w:ascii="宋体" w:hAnsi="宋体"/>
                <w:snapToGrid w:val="0"/>
                <w:kern w:val="2"/>
                <w:sz w:val="20"/>
              </w:rPr>
              <w:t>10.</w:t>
            </w:r>
            <w:r>
              <w:rPr>
                <w:rFonts w:hint="eastAsia" w:ascii="宋体" w:hAnsi="宋体"/>
                <w:snapToGrid w:val="0"/>
                <w:kern w:val="2"/>
                <w:sz w:val="20"/>
              </w:rPr>
              <w:t>3</w:t>
            </w:r>
          </w:p>
        </w:tc>
        <w:tc>
          <w:tcPr>
            <w:tcW w:w="2280" w:type="dxa"/>
            <w:vAlign w:val="center"/>
          </w:tcPr>
          <w:p>
            <w:pPr>
              <w:spacing w:line="240" w:lineRule="exact"/>
              <w:jc w:val="center"/>
              <w:rPr>
                <w:rFonts w:ascii="宋体" w:hAnsi="宋体"/>
                <w:snapToGrid w:val="0"/>
                <w:kern w:val="2"/>
                <w:sz w:val="20"/>
                <w:highlight w:val="red"/>
              </w:rPr>
            </w:pPr>
            <w:r>
              <w:rPr>
                <w:rFonts w:hint="eastAsia" w:ascii="宋体" w:hAnsi="宋体"/>
                <w:snapToGrid w:val="0"/>
                <w:kern w:val="2"/>
                <w:sz w:val="20"/>
              </w:rPr>
              <w:t>原件</w:t>
            </w:r>
          </w:p>
        </w:tc>
        <w:tc>
          <w:tcPr>
            <w:tcW w:w="5680" w:type="dxa"/>
            <w:vAlign w:val="center"/>
          </w:tcPr>
          <w:p>
            <w:pPr>
              <w:snapToGrid w:val="0"/>
              <w:spacing w:line="240" w:lineRule="atLeast"/>
              <w:jc w:val="left"/>
              <w:textAlignment w:val="auto"/>
              <w:rPr>
                <w:rFonts w:ascii="宋体" w:hAnsi="宋体"/>
                <w:kern w:val="2"/>
                <w:sz w:val="20"/>
              </w:rPr>
            </w:pPr>
            <w:r>
              <w:rPr>
                <w:rFonts w:hint="eastAsia" w:ascii="宋体" w:hAnsi="宋体"/>
                <w:kern w:val="2"/>
                <w:sz w:val="20"/>
              </w:rPr>
              <w:t>扫描上传，且应遵守如下规定：</w:t>
            </w:r>
          </w:p>
          <w:p>
            <w:pPr>
              <w:snapToGrid w:val="0"/>
              <w:spacing w:line="240" w:lineRule="atLeast"/>
              <w:jc w:val="left"/>
              <w:textAlignment w:val="auto"/>
              <w:rPr>
                <w:rFonts w:ascii="宋体" w:hAnsi="宋体"/>
                <w:kern w:val="2"/>
                <w:sz w:val="20"/>
              </w:rPr>
            </w:pPr>
            <w:r>
              <w:rPr>
                <w:rFonts w:hint="eastAsia" w:ascii="宋体" w:hAnsi="宋体"/>
                <w:kern w:val="2"/>
                <w:sz w:val="20"/>
              </w:rPr>
              <w:t>1）与评审有关的原件扫描上传，竞包人须确保上传原件扫描件的真实性。</w:t>
            </w:r>
          </w:p>
          <w:p>
            <w:pPr>
              <w:snapToGrid w:val="0"/>
              <w:spacing w:line="240" w:lineRule="atLeast"/>
              <w:ind w:firstLine="400" w:firstLineChars="200"/>
              <w:jc w:val="left"/>
              <w:textAlignment w:val="auto"/>
              <w:rPr>
                <w:rFonts w:ascii="宋体" w:hAnsi="宋体"/>
                <w:kern w:val="2"/>
                <w:sz w:val="20"/>
              </w:rPr>
            </w:pPr>
            <w:r>
              <w:rPr>
                <w:rFonts w:hint="eastAsia" w:ascii="宋体" w:hAnsi="宋体"/>
                <w:kern w:val="2"/>
                <w:sz w:val="20"/>
              </w:rPr>
              <w:t>与评审有关的原件包括：</w:t>
            </w:r>
          </w:p>
          <w:p>
            <w:pPr>
              <w:spacing w:line="240" w:lineRule="exact"/>
              <w:ind w:firstLine="400" w:firstLineChars="200"/>
              <w:rPr>
                <w:rFonts w:ascii="宋体" w:hAnsi="宋体"/>
                <w:kern w:val="2"/>
                <w:sz w:val="20"/>
              </w:rPr>
            </w:pPr>
            <w:r>
              <w:rPr>
                <w:rFonts w:hint="eastAsia" w:ascii="宋体" w:hAnsi="宋体"/>
                <w:kern w:val="2"/>
                <w:sz w:val="20"/>
              </w:rPr>
              <w:t>1 企业部分</w:t>
            </w:r>
          </w:p>
          <w:p>
            <w:pPr>
              <w:spacing w:line="240" w:lineRule="exact"/>
              <w:ind w:firstLine="400" w:firstLineChars="200"/>
              <w:rPr>
                <w:rFonts w:ascii="宋体" w:hAnsi="宋体"/>
                <w:kern w:val="2"/>
                <w:sz w:val="20"/>
              </w:rPr>
            </w:pPr>
            <w:r>
              <w:rPr>
                <w:rFonts w:hint="eastAsia" w:ascii="宋体" w:hAnsi="宋体"/>
                <w:kern w:val="2"/>
                <w:sz w:val="20"/>
              </w:rPr>
              <w:t>(1) 营业执照；</w:t>
            </w:r>
          </w:p>
          <w:p>
            <w:pPr>
              <w:spacing w:line="240" w:lineRule="exact"/>
              <w:ind w:firstLine="400" w:firstLineChars="200"/>
              <w:rPr>
                <w:rFonts w:ascii="宋体" w:hAnsi="宋体"/>
                <w:kern w:val="2"/>
                <w:sz w:val="20"/>
              </w:rPr>
            </w:pPr>
            <w:r>
              <w:rPr>
                <w:rFonts w:hint="eastAsia" w:ascii="宋体" w:hAnsi="宋体"/>
                <w:kern w:val="2"/>
                <w:sz w:val="20"/>
              </w:rPr>
              <w:t>(2) 安全生产许可证；</w:t>
            </w:r>
          </w:p>
          <w:p>
            <w:pPr>
              <w:spacing w:line="240" w:lineRule="exact"/>
              <w:ind w:firstLine="400" w:firstLineChars="200"/>
              <w:rPr>
                <w:rFonts w:ascii="宋体" w:hAnsi="宋体"/>
                <w:kern w:val="2"/>
                <w:sz w:val="20"/>
              </w:rPr>
            </w:pPr>
            <w:r>
              <w:rPr>
                <w:rFonts w:hint="eastAsia" w:ascii="宋体" w:hAnsi="宋体"/>
                <w:kern w:val="2"/>
                <w:sz w:val="20"/>
              </w:rPr>
              <w:t>(3) 资质证书；</w:t>
            </w:r>
          </w:p>
          <w:p>
            <w:pPr>
              <w:spacing w:line="240" w:lineRule="exact"/>
              <w:ind w:firstLine="400" w:firstLineChars="200"/>
              <w:rPr>
                <w:rFonts w:ascii="宋体" w:hAnsi="宋体"/>
                <w:kern w:val="2"/>
                <w:sz w:val="20"/>
              </w:rPr>
            </w:pPr>
            <w:r>
              <w:rPr>
                <w:rFonts w:hint="eastAsia" w:ascii="宋体" w:hAnsi="宋体"/>
                <w:kern w:val="2"/>
                <w:sz w:val="20"/>
              </w:rPr>
              <w:t>(4) 法人代表的安全生产考核合格证书（A证）；</w:t>
            </w:r>
          </w:p>
          <w:p>
            <w:pPr>
              <w:spacing w:line="240" w:lineRule="exact"/>
              <w:ind w:firstLine="400" w:firstLineChars="200"/>
              <w:rPr>
                <w:rFonts w:ascii="宋体" w:hAnsi="宋体"/>
                <w:kern w:val="2"/>
                <w:sz w:val="20"/>
              </w:rPr>
            </w:pPr>
            <w:r>
              <w:rPr>
                <w:rFonts w:hint="eastAsia" w:ascii="宋体" w:hAnsi="宋体"/>
                <w:kern w:val="2"/>
                <w:sz w:val="20"/>
              </w:rPr>
              <w:t>(5) 总经理的安全生产考核合格证书（A证）；</w:t>
            </w:r>
          </w:p>
          <w:p>
            <w:pPr>
              <w:spacing w:line="240" w:lineRule="exact"/>
              <w:ind w:firstLine="400" w:firstLineChars="200"/>
              <w:rPr>
                <w:rFonts w:ascii="宋体" w:hAnsi="宋体"/>
                <w:kern w:val="2"/>
                <w:sz w:val="20"/>
              </w:rPr>
            </w:pPr>
            <w:r>
              <w:rPr>
                <w:rFonts w:hint="eastAsia" w:ascii="宋体" w:hAnsi="宋体"/>
                <w:kern w:val="2"/>
                <w:sz w:val="20"/>
              </w:rPr>
              <w:t>(6) 分管安全生产的副总经理安全生产考核合格证书（A证）和任命书；</w:t>
            </w:r>
          </w:p>
          <w:p>
            <w:pPr>
              <w:spacing w:line="240" w:lineRule="exact"/>
              <w:ind w:firstLine="400" w:firstLineChars="200"/>
              <w:rPr>
                <w:rFonts w:ascii="宋体" w:hAnsi="宋体"/>
                <w:kern w:val="2"/>
                <w:sz w:val="20"/>
              </w:rPr>
            </w:pPr>
            <w:r>
              <w:rPr>
                <w:rFonts w:hint="eastAsia" w:ascii="宋体" w:hAnsi="宋体"/>
                <w:kern w:val="2"/>
                <w:sz w:val="20"/>
              </w:rPr>
              <w:t>(7) 企业技术负责人的安全生产考核合格证书（A证）；</w:t>
            </w:r>
          </w:p>
          <w:p>
            <w:pPr>
              <w:tabs>
                <w:tab w:val="left" w:pos="10324"/>
              </w:tabs>
              <w:spacing w:line="240" w:lineRule="exact"/>
              <w:ind w:firstLine="394" w:firstLineChars="197"/>
              <w:rPr>
                <w:rFonts w:ascii="宋体" w:hAnsi="宋体"/>
                <w:kern w:val="2"/>
                <w:sz w:val="20"/>
              </w:rPr>
            </w:pPr>
            <w:r>
              <w:rPr>
                <w:rFonts w:hint="eastAsia" w:ascii="宋体" w:hAnsi="宋体"/>
                <w:kern w:val="2"/>
                <w:sz w:val="20"/>
              </w:rPr>
              <w:t xml:space="preserve"> (8)经会计师事务所或审计机构审计的财务会计报表，包括资产负债表、现金流量表、利润表和财务情况说明书；</w:t>
            </w:r>
          </w:p>
          <w:p>
            <w:pPr>
              <w:spacing w:line="240" w:lineRule="exact"/>
              <w:ind w:firstLine="400" w:firstLineChars="200"/>
              <w:rPr>
                <w:rFonts w:ascii="宋体" w:hAnsi="宋体"/>
                <w:kern w:val="2"/>
                <w:sz w:val="20"/>
              </w:rPr>
            </w:pPr>
            <w:r>
              <w:rPr>
                <w:rFonts w:hint="eastAsia" w:ascii="宋体" w:hAnsi="宋体"/>
                <w:kern w:val="2"/>
                <w:sz w:val="20"/>
              </w:rPr>
              <w:t>(9) 竞包人在“浙江省水利建设市场信息平台” 公示本企业及拟投入本项目管理班子成员信息及外地进浙施工企业的委托代理人在“浙江省水利建设市场信息平台”上已经公示的授权</w:t>
            </w:r>
            <w:r>
              <w:rPr>
                <w:rFonts w:hint="eastAsia" w:ascii="宋体" w:hAnsi="宋体"/>
                <w:kern w:val="2"/>
                <w:sz w:val="20"/>
                <w:lang w:eastAsia="zh-CN"/>
              </w:rPr>
              <w:t>代理</w:t>
            </w:r>
            <w:r>
              <w:rPr>
                <w:rFonts w:hint="eastAsia" w:ascii="宋体" w:hAnsi="宋体"/>
                <w:kern w:val="2"/>
                <w:sz w:val="20"/>
              </w:rPr>
              <w:t>人的网页打印件（加盖单位公章）应装订在竞包文件正本中；评审时应对信息进行复核，以竞包截止日“浙江水利建设市场信息平台”公示信息为准；</w:t>
            </w:r>
          </w:p>
          <w:p>
            <w:pPr>
              <w:spacing w:line="240" w:lineRule="exact"/>
              <w:ind w:firstLine="390"/>
              <w:rPr>
                <w:rFonts w:ascii="宋体" w:hAnsi="宋体"/>
                <w:kern w:val="2"/>
                <w:sz w:val="20"/>
              </w:rPr>
            </w:pPr>
            <w:r>
              <w:rPr>
                <w:rFonts w:hint="eastAsia" w:ascii="宋体" w:hAnsi="宋体"/>
                <w:kern w:val="2"/>
                <w:sz w:val="20"/>
              </w:rPr>
              <w:t xml:space="preserve"> (10) 其他资料。</w:t>
            </w:r>
          </w:p>
          <w:p>
            <w:pPr>
              <w:spacing w:line="240" w:lineRule="exact"/>
              <w:ind w:firstLine="400" w:firstLineChars="200"/>
              <w:rPr>
                <w:rFonts w:ascii="宋体" w:hAnsi="宋体"/>
                <w:kern w:val="2"/>
                <w:sz w:val="20"/>
              </w:rPr>
            </w:pPr>
            <w:r>
              <w:rPr>
                <w:rFonts w:hint="eastAsia" w:ascii="宋体" w:hAnsi="宋体"/>
                <w:kern w:val="2"/>
                <w:sz w:val="20"/>
              </w:rPr>
              <w:t>2 项目部部分</w:t>
            </w:r>
          </w:p>
          <w:p>
            <w:pPr>
              <w:numPr>
                <w:ilvl w:val="0"/>
                <w:numId w:val="5"/>
              </w:numPr>
              <w:spacing w:line="240" w:lineRule="exact"/>
              <w:ind w:firstLine="400" w:firstLineChars="200"/>
              <w:rPr>
                <w:rFonts w:ascii="宋体" w:hAnsi="宋体"/>
                <w:kern w:val="2"/>
                <w:sz w:val="20"/>
              </w:rPr>
            </w:pPr>
            <w:r>
              <w:rPr>
                <w:rFonts w:hint="eastAsia" w:ascii="宋体" w:hAnsi="宋体"/>
                <w:kern w:val="2"/>
                <w:sz w:val="20"/>
              </w:rPr>
              <w:t>项目负责人的水利水电工程贰级及以上建造师注册证书；</w:t>
            </w:r>
          </w:p>
          <w:p>
            <w:pPr>
              <w:spacing w:line="240" w:lineRule="exact"/>
              <w:ind w:firstLine="400" w:firstLineChars="200"/>
              <w:rPr>
                <w:rFonts w:ascii="宋体" w:hAnsi="宋体"/>
                <w:kern w:val="2"/>
                <w:sz w:val="20"/>
              </w:rPr>
            </w:pPr>
            <w:r>
              <w:rPr>
                <w:rFonts w:hint="eastAsia" w:ascii="宋体" w:hAnsi="宋体"/>
                <w:kern w:val="2"/>
                <w:sz w:val="20"/>
              </w:rPr>
              <w:t>(2) 项目负责人的水利行业主管部门颁发的安全生产考核合格证书(B证)；</w:t>
            </w:r>
          </w:p>
          <w:p>
            <w:pPr>
              <w:spacing w:line="240" w:lineRule="exact"/>
              <w:ind w:firstLine="400" w:firstLineChars="200"/>
              <w:rPr>
                <w:rFonts w:ascii="宋体" w:hAnsi="宋体"/>
                <w:kern w:val="2"/>
                <w:sz w:val="20"/>
              </w:rPr>
            </w:pPr>
            <w:r>
              <w:rPr>
                <w:rFonts w:hint="eastAsia" w:ascii="宋体" w:hAnsi="宋体"/>
                <w:kern w:val="2"/>
                <w:sz w:val="20"/>
              </w:rPr>
              <w:t>(3) 项目技术负责人应具有水利及相关专业中级及以上技术职称；</w:t>
            </w:r>
          </w:p>
          <w:p>
            <w:pPr>
              <w:spacing w:line="240" w:lineRule="exact"/>
              <w:ind w:firstLine="400" w:firstLineChars="200"/>
              <w:rPr>
                <w:rFonts w:ascii="宋体" w:hAnsi="宋体"/>
                <w:kern w:val="2"/>
                <w:sz w:val="20"/>
              </w:rPr>
            </w:pPr>
            <w:r>
              <w:rPr>
                <w:rFonts w:hint="eastAsia" w:ascii="宋体" w:hAnsi="宋体"/>
                <w:kern w:val="2"/>
                <w:sz w:val="20"/>
              </w:rPr>
              <w:t>(4) 项目安全员、质量员和施工员必须持有省级及以上水利行政主管部门颁发或认可的上岗证；</w:t>
            </w:r>
          </w:p>
          <w:p>
            <w:pPr>
              <w:spacing w:line="240" w:lineRule="exact"/>
              <w:ind w:firstLine="400" w:firstLineChars="200"/>
              <w:rPr>
                <w:rFonts w:ascii="宋体" w:hAnsi="宋体"/>
                <w:kern w:val="2"/>
                <w:sz w:val="20"/>
              </w:rPr>
            </w:pPr>
            <w:r>
              <w:rPr>
                <w:rFonts w:hint="eastAsia" w:ascii="宋体" w:hAnsi="宋体"/>
                <w:kern w:val="2"/>
                <w:sz w:val="20"/>
              </w:rPr>
              <w:t>(5) 项目质量负责人的水利水电工程贰级及以上建造师注册证书；</w:t>
            </w:r>
          </w:p>
          <w:p>
            <w:pPr>
              <w:spacing w:line="240" w:lineRule="exact"/>
              <w:ind w:firstLine="400" w:firstLineChars="200"/>
              <w:rPr>
                <w:rFonts w:ascii="宋体" w:hAnsi="宋体"/>
                <w:kern w:val="2"/>
                <w:sz w:val="20"/>
              </w:rPr>
            </w:pPr>
            <w:r>
              <w:rPr>
                <w:rFonts w:hint="eastAsia" w:ascii="宋体" w:hAnsi="宋体"/>
                <w:kern w:val="2"/>
                <w:sz w:val="20"/>
              </w:rPr>
              <w:t>(6) 项目安全负责人的水利水电工程贰级及以上建造师注册证书；</w:t>
            </w:r>
          </w:p>
          <w:p>
            <w:pPr>
              <w:spacing w:line="240" w:lineRule="exact"/>
              <w:ind w:firstLine="420"/>
              <w:rPr>
                <w:rFonts w:ascii="宋体" w:hAnsi="宋体"/>
                <w:kern w:val="2"/>
                <w:sz w:val="20"/>
              </w:rPr>
            </w:pPr>
            <w:r>
              <w:rPr>
                <w:rFonts w:hint="eastAsia" w:ascii="宋体" w:hAnsi="宋体"/>
                <w:kern w:val="2"/>
                <w:sz w:val="20"/>
              </w:rPr>
              <w:t>(7) 项目专职安全生产管理人员的省级及以上水利行政主管部门颁发的安全生产考核合格证书(C证)；</w:t>
            </w:r>
          </w:p>
          <w:p>
            <w:pPr>
              <w:spacing w:line="240" w:lineRule="exact"/>
              <w:ind w:firstLine="420"/>
              <w:rPr>
                <w:rFonts w:ascii="宋体" w:hAnsi="宋体"/>
                <w:kern w:val="2"/>
                <w:sz w:val="20"/>
              </w:rPr>
            </w:pPr>
            <w:r>
              <w:rPr>
                <w:rFonts w:hint="eastAsia" w:ascii="宋体" w:hAnsi="宋体"/>
                <w:kern w:val="2"/>
                <w:sz w:val="20"/>
              </w:rPr>
              <w:t>(8) 委托代理人及拟派本工程的主要人员连续近3个月社保缴费证明；</w:t>
            </w:r>
          </w:p>
          <w:p>
            <w:pPr>
              <w:spacing w:line="240" w:lineRule="exact"/>
              <w:ind w:firstLine="420"/>
              <w:rPr>
                <w:rFonts w:ascii="宋体" w:hAnsi="宋体"/>
                <w:kern w:val="2"/>
                <w:sz w:val="20"/>
              </w:rPr>
            </w:pPr>
            <w:r>
              <w:rPr>
                <w:rFonts w:hint="eastAsia" w:ascii="宋体" w:hAnsi="宋体"/>
                <w:kern w:val="2"/>
                <w:sz w:val="20"/>
              </w:rPr>
              <w:t>(9) 项目负责人无担任其他工程项目、无限制竞包的不良行为记录承诺书；</w:t>
            </w:r>
          </w:p>
          <w:p>
            <w:pPr>
              <w:spacing w:line="240" w:lineRule="exact"/>
              <w:ind w:firstLine="400" w:firstLineChars="200"/>
              <w:rPr>
                <w:rFonts w:ascii="宋体" w:hAnsi="宋体"/>
                <w:kern w:val="2"/>
                <w:sz w:val="20"/>
              </w:rPr>
            </w:pPr>
            <w:r>
              <w:rPr>
                <w:rFonts w:hint="eastAsia" w:ascii="宋体" w:hAnsi="宋体"/>
                <w:kern w:val="2"/>
                <w:sz w:val="20"/>
              </w:rPr>
              <w:t>(10)无欠薪承诺。</w:t>
            </w:r>
          </w:p>
          <w:p>
            <w:pPr>
              <w:pStyle w:val="2"/>
              <w:rPr>
                <w:rFonts w:hint="eastAsia" w:ascii="仿宋" w:hAnsi="仿宋" w:eastAsia="仿宋" w:cs="仿宋"/>
                <w:b/>
                <w:snapToGrid w:val="0"/>
                <w:sz w:val="20"/>
                <w:szCs w:val="20"/>
              </w:rPr>
            </w:pPr>
            <w:r>
              <w:rPr>
                <w:rFonts w:hint="eastAsia" w:ascii="仿宋" w:hAnsi="仿宋" w:eastAsia="仿宋" w:cs="仿宋"/>
                <w:b/>
                <w:snapToGrid w:val="0"/>
                <w:sz w:val="20"/>
                <w:szCs w:val="20"/>
              </w:rPr>
              <w:t>备注：</w:t>
            </w:r>
            <w:r>
              <w:rPr>
                <w:rFonts w:hint="eastAsia" w:ascii="仿宋" w:hAnsi="仿宋" w:eastAsia="仿宋" w:cs="仿宋"/>
                <w:b/>
                <w:snapToGrid w:val="0"/>
                <w:sz w:val="20"/>
                <w:szCs w:val="20"/>
                <w:lang w:val="en-US" w:eastAsia="zh-CN"/>
              </w:rPr>
              <w:t>1、</w:t>
            </w:r>
            <w:r>
              <w:rPr>
                <w:rFonts w:hint="eastAsia" w:ascii="仿宋" w:hAnsi="仿宋" w:eastAsia="仿宋" w:cs="仿宋"/>
                <w:b/>
                <w:snapToGrid w:val="0"/>
                <w:sz w:val="20"/>
                <w:szCs w:val="20"/>
              </w:rPr>
              <w:t>如果安全生产许可证和建造师注册证书已用行政主管部门颁发的电子证书代替纸质证书的，可以使用电子证书打印件（加盖单位公章）作为原件。</w:t>
            </w:r>
          </w:p>
          <w:p>
            <w:pPr>
              <w:pStyle w:val="2"/>
              <w:rPr>
                <w:rFonts w:hint="eastAsia" w:ascii="仿宋" w:hAnsi="仿宋" w:eastAsia="仿宋" w:cs="仿宋"/>
                <w:b/>
                <w:snapToGrid w:val="0"/>
                <w:sz w:val="20"/>
                <w:szCs w:val="20"/>
              </w:rPr>
            </w:pPr>
            <w:r>
              <w:rPr>
                <w:rFonts w:hint="eastAsia" w:ascii="仿宋" w:hAnsi="仿宋" w:eastAsia="仿宋" w:cs="仿宋"/>
                <w:b/>
                <w:snapToGrid w:val="0"/>
                <w:sz w:val="20"/>
                <w:szCs w:val="20"/>
              </w:rPr>
              <w:t>2、以上资格审查资料由竞包人以扫描件形式上传至系统设置的模块中，竞包人必须确保提供的扫描件清晰，届时若无法辨认的，由此造成的后果由竞包人自行承担。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3" w:hRule="atLeast"/>
        </w:trPr>
        <w:tc>
          <w:tcPr>
            <w:tcW w:w="876" w:type="dxa"/>
            <w:vAlign w:val="center"/>
          </w:tcPr>
          <w:p>
            <w:pPr>
              <w:spacing w:line="240" w:lineRule="exact"/>
              <w:jc w:val="center"/>
              <w:rPr>
                <w:rFonts w:ascii="宋体" w:hAnsi="宋体"/>
                <w:snapToGrid w:val="0"/>
                <w:kern w:val="2"/>
                <w:sz w:val="20"/>
              </w:rPr>
            </w:pPr>
            <w:r>
              <w:rPr>
                <w:rFonts w:ascii="宋体" w:hAnsi="宋体"/>
                <w:snapToGrid w:val="0"/>
                <w:kern w:val="2"/>
                <w:sz w:val="20"/>
              </w:rPr>
              <w:t>10.</w:t>
            </w:r>
            <w:r>
              <w:rPr>
                <w:rFonts w:hint="eastAsia" w:ascii="宋体" w:hAnsi="宋体"/>
                <w:snapToGrid w:val="0"/>
                <w:kern w:val="2"/>
                <w:sz w:val="20"/>
              </w:rPr>
              <w:t>4</w:t>
            </w:r>
          </w:p>
        </w:tc>
        <w:tc>
          <w:tcPr>
            <w:tcW w:w="2280" w:type="dxa"/>
            <w:vAlign w:val="center"/>
          </w:tcPr>
          <w:p>
            <w:pPr>
              <w:spacing w:line="240" w:lineRule="exact"/>
              <w:jc w:val="center"/>
              <w:rPr>
                <w:rFonts w:ascii="宋体" w:hAnsi="宋体"/>
                <w:snapToGrid w:val="0"/>
                <w:kern w:val="2"/>
                <w:sz w:val="20"/>
              </w:rPr>
            </w:pPr>
            <w:r>
              <w:rPr>
                <w:rFonts w:hint="eastAsia" w:ascii="宋体" w:hAnsi="宋体"/>
                <w:snapToGrid w:val="0"/>
                <w:kern w:val="2"/>
                <w:sz w:val="20"/>
              </w:rPr>
              <w:t>成交</w:t>
            </w:r>
            <w:r>
              <w:rPr>
                <w:rFonts w:ascii="宋体" w:hAnsi="宋体"/>
                <w:snapToGrid w:val="0"/>
                <w:kern w:val="2"/>
                <w:sz w:val="20"/>
              </w:rPr>
              <w:t>后须提交的</w:t>
            </w:r>
            <w:r>
              <w:rPr>
                <w:rFonts w:hint="eastAsia" w:ascii="宋体" w:hAnsi="宋体"/>
                <w:snapToGrid w:val="0"/>
                <w:kern w:val="2"/>
                <w:sz w:val="20"/>
              </w:rPr>
              <w:t>竞包文件</w:t>
            </w:r>
          </w:p>
        </w:tc>
        <w:tc>
          <w:tcPr>
            <w:tcW w:w="5680" w:type="dxa"/>
            <w:vAlign w:val="center"/>
          </w:tcPr>
          <w:p>
            <w:pPr>
              <w:snapToGrid w:val="0"/>
              <w:spacing w:line="240" w:lineRule="exact"/>
              <w:jc w:val="left"/>
              <w:textAlignment w:val="auto"/>
              <w:rPr>
                <w:rFonts w:ascii="宋体" w:cs="宋体"/>
                <w:kern w:val="2"/>
                <w:sz w:val="20"/>
              </w:rPr>
            </w:pPr>
            <w:r>
              <w:rPr>
                <w:rFonts w:hint="eastAsia" w:ascii="宋体" w:hAnsi="宋体" w:cs="宋体"/>
                <w:snapToGrid w:val="0"/>
                <w:kern w:val="2"/>
                <w:sz w:val="20"/>
              </w:rPr>
              <w:t>竞包人成交后应在签订合同协议书前补交与竞包文件正本内容相同的竞包文件副本3份及以Excel格式保存的工程量清单电子文件（光盘或U盘）竞包文件电子文件1份。</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876" w:type="dxa"/>
            <w:tcBorders>
              <w:top w:val="single" w:color="auto" w:sz="4" w:space="0"/>
              <w:left w:val="single" w:color="auto" w:sz="8" w:space="0"/>
              <w:bottom w:val="single" w:color="auto" w:sz="4" w:space="0"/>
              <w:right w:val="single" w:color="auto" w:sz="4" w:space="0"/>
            </w:tcBorders>
            <w:vAlign w:val="center"/>
          </w:tcPr>
          <w:p>
            <w:pPr>
              <w:spacing w:line="240" w:lineRule="exact"/>
              <w:jc w:val="center"/>
              <w:rPr>
                <w:rFonts w:ascii="宋体" w:hAnsi="宋体"/>
                <w:snapToGrid w:val="0"/>
                <w:kern w:val="2"/>
                <w:sz w:val="20"/>
              </w:rPr>
            </w:pPr>
            <w:r>
              <w:rPr>
                <w:rFonts w:ascii="宋体" w:hAnsi="宋体"/>
                <w:snapToGrid w:val="0"/>
                <w:kern w:val="2"/>
                <w:sz w:val="20"/>
              </w:rPr>
              <w:t>10.</w:t>
            </w:r>
            <w:r>
              <w:rPr>
                <w:rFonts w:hint="eastAsia" w:ascii="宋体" w:hAnsi="宋体"/>
                <w:snapToGrid w:val="0"/>
                <w:kern w:val="2"/>
                <w:sz w:val="20"/>
              </w:rPr>
              <w:t>5</w:t>
            </w:r>
          </w:p>
        </w:tc>
        <w:tc>
          <w:tcPr>
            <w:tcW w:w="228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napToGrid w:val="0"/>
                <w:kern w:val="2"/>
                <w:sz w:val="20"/>
              </w:rPr>
            </w:pPr>
            <w:r>
              <w:rPr>
                <w:rFonts w:hint="eastAsia" w:ascii="宋体" w:hAnsi="宋体"/>
                <w:snapToGrid w:val="0"/>
                <w:kern w:val="2"/>
                <w:sz w:val="20"/>
              </w:rPr>
              <w:t>发包人</w:t>
            </w:r>
            <w:r>
              <w:rPr>
                <w:rFonts w:ascii="宋体" w:hAnsi="宋体"/>
                <w:snapToGrid w:val="0"/>
                <w:kern w:val="2"/>
                <w:sz w:val="20"/>
              </w:rPr>
              <w:t>最高限价</w:t>
            </w:r>
            <w:r>
              <w:rPr>
                <w:rFonts w:hint="eastAsia" w:ascii="宋体" w:hAnsi="宋体"/>
                <w:snapToGrid w:val="0"/>
                <w:kern w:val="2"/>
                <w:sz w:val="20"/>
              </w:rPr>
              <w:t>及安全施工费</w:t>
            </w:r>
          </w:p>
        </w:tc>
        <w:tc>
          <w:tcPr>
            <w:tcW w:w="5680" w:type="dxa"/>
            <w:tcBorders>
              <w:top w:val="single" w:color="auto" w:sz="4" w:space="0"/>
              <w:left w:val="single" w:color="auto" w:sz="4" w:space="0"/>
              <w:bottom w:val="single" w:color="auto" w:sz="4" w:space="0"/>
              <w:right w:val="single" w:color="auto" w:sz="8" w:space="0"/>
            </w:tcBorders>
            <w:vAlign w:val="center"/>
          </w:tcPr>
          <w:p>
            <w:pPr>
              <w:rPr>
                <w:rFonts w:ascii="宋体" w:hAnsi="宋体" w:cs="宋体"/>
                <w:snapToGrid w:val="0"/>
                <w:kern w:val="2"/>
                <w:sz w:val="20"/>
              </w:rPr>
            </w:pPr>
            <w:r>
              <w:rPr>
                <w:rFonts w:hint="eastAsia" w:ascii="宋体" w:hAnsi="宋体" w:cs="宋体"/>
                <w:snapToGrid w:val="0"/>
                <w:color w:val="000000" w:themeColor="text1"/>
                <w:kern w:val="2"/>
                <w:sz w:val="20"/>
                <w14:textFill>
                  <w14:solidFill>
                    <w14:schemeClr w14:val="tx1"/>
                  </w14:solidFill>
                </w14:textFill>
              </w:rPr>
              <w:t>本次招标设置投标最</w:t>
            </w:r>
            <w:r>
              <w:rPr>
                <w:rFonts w:hint="eastAsia" w:ascii="宋体" w:hAnsi="宋体" w:cs="宋体"/>
                <w:snapToGrid w:val="0"/>
                <w:color w:val="auto"/>
                <w:kern w:val="2"/>
                <w:sz w:val="20"/>
              </w:rPr>
              <w:t>高</w:t>
            </w:r>
            <w:bookmarkStart w:id="809" w:name="_GoBack"/>
            <w:bookmarkEnd w:id="809"/>
            <w:r>
              <w:rPr>
                <w:rFonts w:hint="eastAsia" w:ascii="宋体" w:hAnsi="宋体" w:cs="宋体"/>
                <w:snapToGrid w:val="0"/>
                <w:color w:val="auto"/>
                <w:kern w:val="2"/>
                <w:sz w:val="20"/>
              </w:rPr>
              <w:t>限价,</w:t>
            </w:r>
            <w:r>
              <w:rPr>
                <w:rFonts w:hint="eastAsia" w:ascii="宋体" w:hAnsi="宋体" w:cs="宋体"/>
                <w:b/>
                <w:bCs/>
                <w:snapToGrid w:val="0"/>
                <w:color w:val="auto"/>
                <w:kern w:val="2"/>
                <w:sz w:val="20"/>
              </w:rPr>
              <w:t>最高限价为168</w:t>
            </w:r>
            <w:r>
              <w:rPr>
                <w:rFonts w:hint="eastAsia" w:ascii="宋体" w:hAnsi="宋体" w:cs="宋体"/>
                <w:b/>
                <w:bCs/>
                <w:snapToGrid w:val="0"/>
                <w:color w:val="auto"/>
                <w:kern w:val="2"/>
                <w:sz w:val="20"/>
                <w:lang w:val="en-US" w:eastAsia="zh-CN"/>
              </w:rPr>
              <w:t>.</w:t>
            </w:r>
            <w:r>
              <w:rPr>
                <w:rFonts w:hint="eastAsia" w:ascii="宋体" w:hAnsi="宋体" w:cs="宋体"/>
                <w:b/>
                <w:bCs/>
                <w:snapToGrid w:val="0"/>
                <w:color w:val="auto"/>
                <w:kern w:val="2"/>
                <w:sz w:val="20"/>
              </w:rPr>
              <w:t>6</w:t>
            </w:r>
            <w:r>
              <w:rPr>
                <w:rFonts w:hint="eastAsia" w:ascii="宋体" w:hAnsi="宋体" w:cs="宋体"/>
                <w:b/>
                <w:bCs/>
                <w:snapToGrid w:val="0"/>
                <w:color w:val="auto"/>
                <w:kern w:val="2"/>
                <w:sz w:val="20"/>
                <w:lang w:val="en-US" w:eastAsia="zh-CN"/>
              </w:rPr>
              <w:t>6</w:t>
            </w:r>
            <w:r>
              <w:rPr>
                <w:rFonts w:hint="eastAsia" w:ascii="宋体" w:hAnsi="宋体" w:cs="宋体"/>
                <w:b/>
                <w:bCs/>
                <w:snapToGrid w:val="0"/>
                <w:color w:val="auto"/>
                <w:kern w:val="2"/>
                <w:sz w:val="20"/>
              </w:rPr>
              <w:t>61万元（大写：</w:t>
            </w:r>
            <w:r>
              <w:rPr>
                <w:rFonts w:hint="eastAsia" w:ascii="宋体" w:hAnsi="宋体" w:cs="宋体"/>
                <w:b/>
                <w:bCs/>
                <w:snapToGrid w:val="0"/>
                <w:color w:val="auto"/>
                <w:kern w:val="2"/>
                <w:sz w:val="20"/>
                <w:lang w:eastAsia="zh-CN"/>
              </w:rPr>
              <w:t>壹佰陆拾捌万陆仟陆佰陆拾壹</w:t>
            </w:r>
            <w:r>
              <w:rPr>
                <w:rFonts w:hint="eastAsia" w:ascii="宋体" w:hAnsi="宋体" w:cs="宋体"/>
                <w:b/>
                <w:bCs/>
                <w:snapToGrid w:val="0"/>
                <w:color w:val="auto"/>
                <w:kern w:val="2"/>
                <w:sz w:val="20"/>
              </w:rPr>
              <w:t>元整）安全施工费为：</w:t>
            </w:r>
            <w:r>
              <w:rPr>
                <w:rFonts w:hint="eastAsia" w:ascii="宋体" w:hAnsi="宋体"/>
                <w:b/>
                <w:bCs/>
                <w:snapToGrid w:val="0"/>
                <w:color w:val="auto"/>
                <w:kern w:val="2"/>
                <w:sz w:val="20"/>
              </w:rPr>
              <w:t>￥</w:t>
            </w:r>
            <w:r>
              <w:rPr>
                <w:rFonts w:hint="eastAsia" w:ascii="宋体" w:hAnsi="宋体"/>
                <w:b/>
                <w:bCs/>
                <w:snapToGrid w:val="0"/>
                <w:color w:val="auto"/>
                <w:kern w:val="2"/>
                <w:sz w:val="20"/>
                <w:lang w:val="en-US" w:eastAsia="zh-CN"/>
              </w:rPr>
              <w:t>19853</w:t>
            </w:r>
            <w:r>
              <w:rPr>
                <w:rFonts w:hint="eastAsia" w:ascii="宋体" w:hAnsi="宋体" w:cs="宋体"/>
                <w:b/>
                <w:bCs/>
                <w:snapToGrid w:val="0"/>
                <w:color w:val="auto"/>
                <w:kern w:val="2"/>
                <w:sz w:val="20"/>
              </w:rPr>
              <w:t>元（大写：</w:t>
            </w:r>
            <w:r>
              <w:rPr>
                <w:rFonts w:hint="eastAsia" w:ascii="宋体" w:hAnsi="宋体" w:cs="宋体"/>
                <w:b/>
                <w:bCs/>
                <w:snapToGrid w:val="0"/>
                <w:color w:val="auto"/>
                <w:kern w:val="2"/>
                <w:sz w:val="20"/>
                <w:lang w:val="en-US" w:eastAsia="zh-CN"/>
              </w:rPr>
              <w:t>壹万玖仟捌佰伍拾叁</w:t>
            </w:r>
            <w:r>
              <w:rPr>
                <w:rFonts w:hint="eastAsia" w:ascii="宋体" w:hAnsi="宋体" w:cs="宋体"/>
                <w:b/>
                <w:bCs/>
                <w:snapToGrid w:val="0"/>
                <w:color w:val="auto"/>
                <w:kern w:val="2"/>
                <w:sz w:val="20"/>
              </w:rPr>
              <w:t>元整）。</w:t>
            </w:r>
            <w:r>
              <w:rPr>
                <w:rFonts w:hint="eastAsia" w:ascii="宋体" w:hAnsi="宋体" w:cs="宋体"/>
                <w:snapToGrid w:val="0"/>
                <w:color w:val="auto"/>
                <w:kern w:val="2"/>
                <w:sz w:val="20"/>
                <w:szCs w:val="20"/>
              </w:rPr>
              <w:t>安全施工费按浙江省水利厅文件《浙江省水利水电工程设计概（预）算编制规定》（2018）规定执行，不作为竞争性费用。未按规定或未单独列项报价的，将作为无效竞包处理。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53" w:hRule="atLeast"/>
        </w:trPr>
        <w:tc>
          <w:tcPr>
            <w:tcW w:w="876" w:type="dxa"/>
            <w:tcBorders>
              <w:top w:val="single" w:color="auto" w:sz="4" w:space="0"/>
              <w:left w:val="single" w:color="auto" w:sz="8" w:space="0"/>
              <w:bottom w:val="single" w:color="auto" w:sz="4" w:space="0"/>
              <w:right w:val="single" w:color="auto" w:sz="4" w:space="0"/>
            </w:tcBorders>
            <w:vAlign w:val="center"/>
          </w:tcPr>
          <w:p>
            <w:pPr>
              <w:spacing w:line="240" w:lineRule="exact"/>
              <w:jc w:val="center"/>
              <w:rPr>
                <w:rFonts w:ascii="宋体" w:hAnsi="宋体"/>
                <w:snapToGrid w:val="0"/>
                <w:kern w:val="2"/>
                <w:sz w:val="20"/>
              </w:rPr>
            </w:pPr>
            <w:r>
              <w:rPr>
                <w:rFonts w:hint="eastAsia" w:ascii="宋体" w:hAnsi="宋体"/>
                <w:snapToGrid w:val="0"/>
                <w:kern w:val="2"/>
                <w:sz w:val="20"/>
              </w:rPr>
              <w:t>10.6</w:t>
            </w:r>
          </w:p>
        </w:tc>
        <w:tc>
          <w:tcPr>
            <w:tcW w:w="228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napToGrid w:val="0"/>
                <w:kern w:val="2"/>
                <w:sz w:val="20"/>
              </w:rPr>
            </w:pPr>
            <w:r>
              <w:rPr>
                <w:rFonts w:hint="eastAsia" w:ascii="宋体" w:hAnsi="宋体" w:cs="宋体"/>
                <w:snapToGrid w:val="0"/>
                <w:kern w:val="2"/>
                <w:sz w:val="20"/>
                <w:szCs w:val="20"/>
              </w:rPr>
              <w:t>行贿犯罪与不良行为档案记录查询</w:t>
            </w:r>
          </w:p>
        </w:tc>
        <w:tc>
          <w:tcPr>
            <w:tcW w:w="5680" w:type="dxa"/>
            <w:tcBorders>
              <w:top w:val="single" w:color="auto" w:sz="4" w:space="0"/>
              <w:left w:val="single" w:color="auto" w:sz="4" w:space="0"/>
              <w:bottom w:val="single" w:color="auto" w:sz="4" w:space="0"/>
              <w:right w:val="single" w:color="auto" w:sz="8" w:space="0"/>
            </w:tcBorders>
            <w:vAlign w:val="center"/>
          </w:tcPr>
          <w:p>
            <w:pPr>
              <w:snapToGrid w:val="0"/>
              <w:spacing w:line="240" w:lineRule="exact"/>
              <w:jc w:val="left"/>
              <w:textAlignment w:val="auto"/>
              <w:rPr>
                <w:rFonts w:ascii="宋体" w:hAnsi="宋体"/>
                <w:kern w:val="2"/>
                <w:sz w:val="20"/>
              </w:rPr>
            </w:pPr>
            <w:r>
              <w:rPr>
                <w:rFonts w:hint="eastAsia" w:ascii="宋体" w:hAnsi="宋体" w:cs="宋体"/>
                <w:snapToGrid w:val="0"/>
                <w:kern w:val="2"/>
                <w:sz w:val="20"/>
                <w:szCs w:val="20"/>
              </w:rPr>
              <w:t>由竞包人登录中国裁判文书网（http://wenshu.court.cov.cn）</w:t>
            </w:r>
            <w:r>
              <w:rPr>
                <w:rFonts w:hint="eastAsia" w:ascii="宋体" w:hAnsi="宋体"/>
                <w:kern w:val="2"/>
                <w:sz w:val="20"/>
              </w:rPr>
              <w:t>自行查询行贿犯罪记录及有无被项目所在地区（吴兴区）水利建设市场限制竞包的不良行为档案记录查询。若发现存在水利建设市场主体不良行为档案记录，一律取消其承包资格， 并没收竞包保证金。</w:t>
            </w:r>
          </w:p>
          <w:p>
            <w:pPr>
              <w:snapToGrid w:val="0"/>
              <w:spacing w:line="240" w:lineRule="exact"/>
              <w:jc w:val="left"/>
              <w:textAlignment w:val="auto"/>
              <w:rPr>
                <w:rFonts w:ascii="宋体" w:hAnsi="宋体"/>
                <w:kern w:val="2"/>
                <w:sz w:val="20"/>
              </w:rPr>
            </w:pPr>
            <w:r>
              <w:rPr>
                <w:rFonts w:hint="eastAsia" w:ascii="宋体" w:hAnsi="宋体"/>
                <w:kern w:val="2"/>
                <w:sz w:val="20"/>
              </w:rPr>
              <w:t>承包候选人拟派本标段的项目负责人不得在其他任何在建合同工程中担任项目负责人，若发现其有的，一律取消其承包资格，并没收竞包保证金。</w:t>
            </w:r>
          </w:p>
          <w:p>
            <w:pPr>
              <w:snapToGrid w:val="0"/>
              <w:spacing w:line="240" w:lineRule="exact"/>
              <w:jc w:val="left"/>
              <w:textAlignment w:val="auto"/>
              <w:rPr>
                <w:rFonts w:ascii="宋体" w:hAnsi="宋体"/>
                <w:b/>
                <w:snapToGrid w:val="0"/>
                <w:color w:val="FFC000" w:themeColor="accent4"/>
                <w:kern w:val="2"/>
                <w:highlight w:val="yellow"/>
                <w14:textFill>
                  <w14:solidFill>
                    <w14:schemeClr w14:val="accent4"/>
                  </w14:solidFill>
                </w14:textFill>
              </w:rPr>
            </w:pPr>
            <w:r>
              <w:rPr>
                <w:rFonts w:hint="eastAsia" w:ascii="宋体" w:hAnsi="宋体"/>
                <w:kern w:val="2"/>
                <w:sz w:val="20"/>
              </w:rPr>
              <w:t>评审委员会将在评审过程中对项目负责人在建情况进行查询，有在建的竞包人将不予进入下一评审环节，发包人在确定承包候选人（定标）前将对拟承包单位拟派项目负责人在建情况做进一步查询。</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91" w:hRule="atLeast"/>
        </w:trPr>
        <w:tc>
          <w:tcPr>
            <w:tcW w:w="876" w:type="dxa"/>
            <w:tcBorders>
              <w:top w:val="single" w:color="auto" w:sz="4" w:space="0"/>
              <w:left w:val="single" w:color="auto" w:sz="8" w:space="0"/>
              <w:bottom w:val="single" w:color="auto" w:sz="4" w:space="0"/>
              <w:right w:val="single" w:color="auto" w:sz="4" w:space="0"/>
            </w:tcBorders>
            <w:vAlign w:val="center"/>
          </w:tcPr>
          <w:p>
            <w:pPr>
              <w:spacing w:line="240" w:lineRule="exact"/>
              <w:jc w:val="center"/>
              <w:rPr>
                <w:rFonts w:ascii="宋体" w:hAnsi="宋体"/>
                <w:snapToGrid w:val="0"/>
                <w:kern w:val="2"/>
                <w:sz w:val="20"/>
              </w:rPr>
            </w:pPr>
            <w:r>
              <w:rPr>
                <w:rFonts w:hint="eastAsia" w:ascii="宋体" w:hAnsi="宋体"/>
                <w:snapToGrid w:val="0"/>
                <w:kern w:val="2"/>
                <w:sz w:val="20"/>
              </w:rPr>
              <w:t>10.7</w:t>
            </w:r>
          </w:p>
        </w:tc>
        <w:tc>
          <w:tcPr>
            <w:tcW w:w="2280"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textAlignment w:val="auto"/>
              <w:rPr>
                <w:rFonts w:ascii="宋体" w:cs="宋体"/>
                <w:snapToGrid w:val="0"/>
                <w:kern w:val="2"/>
                <w:sz w:val="20"/>
                <w:szCs w:val="20"/>
              </w:rPr>
            </w:pPr>
            <w:r>
              <w:rPr>
                <w:rFonts w:hint="eastAsia" w:ascii="宋体" w:cs="宋体"/>
                <w:kern w:val="2"/>
                <w:sz w:val="20"/>
              </w:rPr>
              <w:t>评审结果公示</w:t>
            </w:r>
          </w:p>
        </w:tc>
        <w:tc>
          <w:tcPr>
            <w:tcW w:w="5680" w:type="dxa"/>
            <w:tcBorders>
              <w:top w:val="single" w:color="auto" w:sz="4" w:space="0"/>
              <w:left w:val="single" w:color="auto" w:sz="4" w:space="0"/>
              <w:bottom w:val="single" w:color="auto" w:sz="4" w:space="0"/>
              <w:right w:val="single" w:color="auto" w:sz="8" w:space="0"/>
            </w:tcBorders>
            <w:vAlign w:val="center"/>
          </w:tcPr>
          <w:p>
            <w:pPr>
              <w:snapToGrid w:val="0"/>
              <w:spacing w:line="240" w:lineRule="exact"/>
              <w:jc w:val="left"/>
              <w:textAlignment w:val="auto"/>
              <w:rPr>
                <w:rFonts w:ascii="宋体" w:cs="宋体"/>
                <w:snapToGrid w:val="0"/>
                <w:kern w:val="2"/>
                <w:sz w:val="20"/>
                <w:szCs w:val="20"/>
              </w:rPr>
            </w:pPr>
            <w:r>
              <w:rPr>
                <w:rFonts w:hint="eastAsia" w:ascii="宋体" w:cs="宋体"/>
                <w:kern w:val="2"/>
                <w:sz w:val="20"/>
              </w:rPr>
              <w:t>推荐3名承包候选人。评审结束后，将评审结果在原发布发包公告网上公示不少于三个日历天，公示包括推荐承包候选人及其最终报价等。如果发现有弄虚作假的行为，取消承包资格，并建议政府主管部门予以通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91" w:hRule="atLeast"/>
        </w:trPr>
        <w:tc>
          <w:tcPr>
            <w:tcW w:w="876" w:type="dxa"/>
            <w:tcBorders>
              <w:top w:val="single" w:color="auto" w:sz="4" w:space="0"/>
              <w:left w:val="single" w:color="auto" w:sz="8" w:space="0"/>
              <w:bottom w:val="single" w:color="auto" w:sz="4" w:space="0"/>
              <w:right w:val="single" w:color="auto" w:sz="4" w:space="0"/>
            </w:tcBorders>
            <w:vAlign w:val="center"/>
          </w:tcPr>
          <w:p>
            <w:pPr>
              <w:spacing w:line="300" w:lineRule="exact"/>
              <w:jc w:val="center"/>
              <w:rPr>
                <w:rFonts w:ascii="仿宋" w:hAnsi="仿宋" w:eastAsia="仿宋" w:cs="仿宋"/>
                <w:snapToGrid w:val="0"/>
                <w:kern w:val="2"/>
                <w:sz w:val="20"/>
              </w:rPr>
            </w:pPr>
            <w:bookmarkStart w:id="23" w:name="_Toc261333111"/>
            <w:bookmarkStart w:id="24" w:name="_Toc271200543"/>
            <w:bookmarkStart w:id="25" w:name="_Toc271220709"/>
            <w:bookmarkStart w:id="26" w:name="_Toc184635081"/>
            <w:bookmarkStart w:id="27" w:name="_Toc218314686"/>
            <w:bookmarkStart w:id="28" w:name="_Toc261464179"/>
            <w:r>
              <w:rPr>
                <w:rFonts w:hint="eastAsia" w:ascii="宋体" w:hAnsi="宋体"/>
                <w:snapToGrid w:val="0"/>
                <w:kern w:val="2"/>
                <w:sz w:val="20"/>
              </w:rPr>
              <w:t>10.8</w:t>
            </w:r>
          </w:p>
        </w:tc>
        <w:tc>
          <w:tcPr>
            <w:tcW w:w="228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cs="宋体"/>
                <w:kern w:val="2"/>
                <w:sz w:val="20"/>
              </w:rPr>
            </w:pPr>
            <w:r>
              <w:rPr>
                <w:rFonts w:hint="eastAsia" w:ascii="宋体" w:cs="宋体"/>
                <w:kern w:val="2"/>
                <w:sz w:val="20"/>
              </w:rPr>
              <w:t>竞包人硬件设备要求</w:t>
            </w:r>
          </w:p>
        </w:tc>
        <w:tc>
          <w:tcPr>
            <w:tcW w:w="5680" w:type="dxa"/>
            <w:tcBorders>
              <w:top w:val="single" w:color="auto" w:sz="4" w:space="0"/>
              <w:left w:val="single" w:color="auto" w:sz="4" w:space="0"/>
              <w:bottom w:val="single" w:color="auto" w:sz="4" w:space="0"/>
              <w:right w:val="single" w:color="auto" w:sz="8" w:space="0"/>
            </w:tcBorders>
            <w:vAlign w:val="center"/>
          </w:tcPr>
          <w:p>
            <w:pPr>
              <w:spacing w:line="300" w:lineRule="exact"/>
              <w:rPr>
                <w:rFonts w:ascii="宋体" w:cs="宋体"/>
                <w:kern w:val="2"/>
                <w:sz w:val="20"/>
              </w:rPr>
            </w:pPr>
            <w:r>
              <w:rPr>
                <w:rFonts w:hint="eastAsia" w:ascii="宋体" w:cs="宋体"/>
                <w:kern w:val="2"/>
                <w:sz w:val="20"/>
              </w:rPr>
              <w:t>各竞包人需要保障参与不见面开标的电脑硬件要求符合以下内容：</w:t>
            </w:r>
          </w:p>
          <w:p>
            <w:pPr>
              <w:spacing w:line="300" w:lineRule="exact"/>
              <w:rPr>
                <w:rFonts w:ascii="宋体" w:cs="宋体"/>
                <w:kern w:val="2"/>
                <w:sz w:val="20"/>
              </w:rPr>
            </w:pPr>
            <w:r>
              <w:rPr>
                <w:rFonts w:hint="eastAsia" w:ascii="宋体" w:cs="宋体"/>
                <w:kern w:val="2"/>
                <w:sz w:val="20"/>
              </w:rPr>
              <w:t>1.具备摄像头与耳麦（用于接收代理公司开标指令）。</w:t>
            </w:r>
          </w:p>
          <w:p>
            <w:pPr>
              <w:spacing w:line="300" w:lineRule="exact"/>
              <w:rPr>
                <w:rFonts w:ascii="宋体" w:cs="宋体"/>
                <w:kern w:val="2"/>
                <w:sz w:val="20"/>
              </w:rPr>
            </w:pPr>
            <w:r>
              <w:rPr>
                <w:rFonts w:hint="eastAsia" w:ascii="宋体" w:cs="宋体"/>
                <w:kern w:val="2"/>
                <w:sz w:val="20"/>
              </w:rPr>
              <w:t>2.要求使用ie浏览器11及以上版本。</w:t>
            </w:r>
          </w:p>
          <w:p>
            <w:pPr>
              <w:spacing w:line="300" w:lineRule="exact"/>
              <w:rPr>
                <w:rFonts w:ascii="宋体" w:cs="宋体"/>
                <w:kern w:val="2"/>
                <w:sz w:val="20"/>
              </w:rPr>
            </w:pPr>
            <w:r>
              <w:rPr>
                <w:rFonts w:hint="eastAsia" w:ascii="宋体" w:cs="宋体"/>
                <w:kern w:val="2"/>
                <w:sz w:val="20"/>
              </w:rPr>
              <w:t>3.电脑操作系统要求在win7及以上。</w:t>
            </w:r>
          </w:p>
          <w:p>
            <w:pPr>
              <w:spacing w:line="300" w:lineRule="exact"/>
              <w:rPr>
                <w:rFonts w:ascii="宋体" w:cs="宋体"/>
                <w:kern w:val="2"/>
                <w:sz w:val="20"/>
              </w:rPr>
            </w:pPr>
            <w:r>
              <w:rPr>
                <w:rFonts w:hint="eastAsia" w:ascii="宋体" w:cs="宋体"/>
                <w:kern w:val="2"/>
                <w:sz w:val="20"/>
              </w:rPr>
              <w:t>4.内存要求在4G以上。</w:t>
            </w:r>
          </w:p>
          <w:p>
            <w:pPr>
              <w:spacing w:line="300" w:lineRule="exact"/>
              <w:rPr>
                <w:rFonts w:ascii="宋体" w:cs="宋体"/>
                <w:kern w:val="2"/>
                <w:sz w:val="20"/>
              </w:rPr>
            </w:pPr>
            <w:r>
              <w:rPr>
                <w:rFonts w:hint="eastAsia" w:ascii="宋体" w:cs="宋体"/>
                <w:kern w:val="2"/>
                <w:sz w:val="20"/>
              </w:rPr>
              <w:t>5.要求正确安装湖州市电子招投标驱动程序。</w:t>
            </w:r>
          </w:p>
          <w:p>
            <w:pPr>
              <w:spacing w:line="300" w:lineRule="exact"/>
              <w:rPr>
                <w:rFonts w:ascii="宋体" w:cs="宋体"/>
                <w:kern w:val="2"/>
                <w:sz w:val="20"/>
              </w:rPr>
            </w:pPr>
            <w:r>
              <w:rPr>
                <w:rFonts w:hint="eastAsia" w:ascii="宋体" w:cs="宋体"/>
                <w:kern w:val="2"/>
                <w:sz w:val="20"/>
              </w:rPr>
              <w:t>开标过程中不得随意离开摄像头范围，因投标单位自身原因造成未成功解密的，均按未提交投标文件处理。</w:t>
            </w:r>
          </w:p>
        </w:tc>
      </w:tr>
    </w:tbl>
    <w:p>
      <w:pPr>
        <w:pStyle w:val="6"/>
        <w:snapToGrid w:val="0"/>
        <w:spacing w:line="374" w:lineRule="exact"/>
        <w:jc w:val="both"/>
        <w:rPr>
          <w:rFonts w:ascii="宋体" w:hAnsi="宋体" w:eastAsia="宋体"/>
          <w:snapToGrid w:val="0"/>
          <w:sz w:val="21"/>
          <w:szCs w:val="21"/>
        </w:rPr>
        <w:sectPr>
          <w:footerReference r:id="rId8" w:type="first"/>
          <w:headerReference r:id="rId6" w:type="default"/>
          <w:footerReference r:id="rId7" w:type="default"/>
          <w:pgSz w:w="11907" w:h="16840"/>
          <w:pgMar w:top="1474" w:right="1474" w:bottom="1474" w:left="1474" w:header="1304" w:footer="1134" w:gutter="0"/>
          <w:pgBorders>
            <w:top w:val="none" w:sz="0" w:space="0"/>
            <w:left w:val="none" w:sz="0" w:space="0"/>
            <w:bottom w:val="none" w:sz="0" w:space="0"/>
            <w:right w:val="none" w:sz="0" w:space="0"/>
          </w:pgBorders>
          <w:pgNumType w:fmt="decimal" w:chapStyle="1" w:chapSep="hyphen"/>
          <w:cols w:space="720" w:num="1"/>
          <w:docGrid w:type="linesAndChars" w:linePitch="457" w:charSpace="0"/>
        </w:sectPr>
      </w:pPr>
    </w:p>
    <w:p>
      <w:pPr>
        <w:pStyle w:val="6"/>
        <w:snapToGrid w:val="0"/>
        <w:spacing w:line="374" w:lineRule="exact"/>
        <w:jc w:val="both"/>
        <w:rPr>
          <w:rFonts w:ascii="宋体" w:hAnsi="宋体" w:eastAsia="宋体"/>
          <w:snapToGrid w:val="0"/>
          <w:sz w:val="21"/>
          <w:szCs w:val="21"/>
        </w:rPr>
      </w:pPr>
      <w:bookmarkStart w:id="29" w:name="_Toc26307"/>
      <w:r>
        <w:rPr>
          <w:rFonts w:ascii="宋体" w:hAnsi="宋体" w:eastAsia="宋体"/>
          <w:snapToGrid w:val="0"/>
          <w:sz w:val="21"/>
          <w:szCs w:val="21"/>
        </w:rPr>
        <w:t>1总则</w:t>
      </w:r>
      <w:bookmarkEnd w:id="23"/>
      <w:bookmarkEnd w:id="24"/>
      <w:bookmarkEnd w:id="25"/>
      <w:bookmarkEnd w:id="29"/>
    </w:p>
    <w:p>
      <w:pPr>
        <w:snapToGrid w:val="0"/>
        <w:spacing w:line="374" w:lineRule="exact"/>
        <w:rPr>
          <w:rFonts w:ascii="宋体" w:hAnsi="宋体"/>
          <w:b/>
          <w:sz w:val="21"/>
          <w:szCs w:val="21"/>
        </w:rPr>
      </w:pPr>
      <w:r>
        <w:rPr>
          <w:rFonts w:ascii="宋体" w:hAnsi="宋体"/>
          <w:b/>
          <w:sz w:val="21"/>
          <w:szCs w:val="21"/>
        </w:rPr>
        <w:t>1.1 项目概况</w:t>
      </w:r>
    </w:p>
    <w:p>
      <w:pPr>
        <w:pStyle w:val="22"/>
        <w:shd w:val="clear" w:color="auto" w:fill="FFFFFF"/>
        <w:spacing w:beforeAutospacing="0" w:afterAutospacing="0"/>
        <w:ind w:firstLine="360"/>
        <w:jc w:val="both"/>
        <w:rPr>
          <w:rFonts w:ascii="宋体" w:hAnsi="宋体"/>
          <w:b/>
          <w:sz w:val="21"/>
          <w:szCs w:val="21"/>
        </w:rPr>
      </w:pPr>
      <w:r>
        <w:rPr>
          <w:rFonts w:ascii="宋体" w:cs="宋体"/>
          <w:sz w:val="21"/>
          <w:szCs w:val="21"/>
        </w:rPr>
        <w:t>1.1.1</w:t>
      </w:r>
      <w:r>
        <w:rPr>
          <w:rFonts w:hint="eastAsia" w:ascii="宋体" w:cs="宋体"/>
          <w:sz w:val="21"/>
          <w:szCs w:val="21"/>
        </w:rPr>
        <w:t>根据我市相关文件规定，本发包项目已具备发包条件，现对本标段施工进行发包；</w:t>
      </w:r>
    </w:p>
    <w:p>
      <w:pPr>
        <w:snapToGrid w:val="0"/>
        <w:spacing w:line="374" w:lineRule="exact"/>
        <w:ind w:firstLine="420" w:firstLineChars="200"/>
        <w:rPr>
          <w:rFonts w:ascii="宋体" w:hAnsi="宋体"/>
          <w:snapToGrid w:val="0"/>
          <w:sz w:val="21"/>
          <w:szCs w:val="21"/>
        </w:rPr>
      </w:pPr>
      <w:r>
        <w:rPr>
          <w:rFonts w:ascii="宋体" w:hAnsi="宋体"/>
          <w:snapToGrid w:val="0"/>
          <w:sz w:val="21"/>
          <w:szCs w:val="21"/>
        </w:rPr>
        <w:t>1.1.2 本</w:t>
      </w:r>
      <w:r>
        <w:rPr>
          <w:rFonts w:hint="eastAsia" w:ascii="宋体" w:hAnsi="宋体"/>
          <w:snapToGrid w:val="0"/>
          <w:sz w:val="21"/>
          <w:szCs w:val="21"/>
        </w:rPr>
        <w:t>发包</w:t>
      </w:r>
      <w:r>
        <w:rPr>
          <w:rFonts w:ascii="宋体" w:hAnsi="宋体"/>
          <w:snapToGrid w:val="0"/>
          <w:sz w:val="21"/>
          <w:szCs w:val="21"/>
        </w:rPr>
        <w:t>项目</w:t>
      </w:r>
      <w:r>
        <w:rPr>
          <w:rFonts w:hint="eastAsia" w:ascii="宋体" w:hAnsi="宋体"/>
          <w:snapToGrid w:val="0"/>
          <w:sz w:val="21"/>
          <w:szCs w:val="21"/>
        </w:rPr>
        <w:t>发包人</w:t>
      </w:r>
      <w:r>
        <w:rPr>
          <w:rFonts w:ascii="宋体" w:hAnsi="宋体"/>
          <w:snapToGrid w:val="0"/>
          <w:sz w:val="21"/>
          <w:szCs w:val="21"/>
        </w:rPr>
        <w:t>：见</w:t>
      </w:r>
      <w:r>
        <w:rPr>
          <w:rFonts w:hint="eastAsia" w:ascii="宋体" w:hAnsi="宋体"/>
          <w:snapToGrid w:val="0"/>
          <w:sz w:val="21"/>
          <w:szCs w:val="21"/>
        </w:rPr>
        <w:t>竞包人</w:t>
      </w:r>
      <w:r>
        <w:rPr>
          <w:rFonts w:ascii="宋体" w:hAnsi="宋体"/>
          <w:snapToGrid w:val="0"/>
          <w:sz w:val="21"/>
          <w:szCs w:val="21"/>
        </w:rPr>
        <w:t>须知前附表</w:t>
      </w:r>
      <w:r>
        <w:rPr>
          <w:rFonts w:hint="eastAsia" w:ascii="宋体" w:hAnsi="宋体"/>
          <w:snapToGrid w:val="0"/>
          <w:sz w:val="21"/>
          <w:szCs w:val="21"/>
        </w:rPr>
        <w:t>；</w:t>
      </w:r>
    </w:p>
    <w:p>
      <w:pPr>
        <w:snapToGrid w:val="0"/>
        <w:spacing w:line="374" w:lineRule="exact"/>
        <w:ind w:firstLine="420" w:firstLineChars="200"/>
        <w:rPr>
          <w:rFonts w:ascii="宋体" w:hAnsi="宋体"/>
          <w:snapToGrid w:val="0"/>
          <w:sz w:val="21"/>
          <w:szCs w:val="21"/>
        </w:rPr>
      </w:pPr>
      <w:r>
        <w:rPr>
          <w:rFonts w:ascii="宋体" w:hAnsi="宋体"/>
          <w:snapToGrid w:val="0"/>
          <w:sz w:val="21"/>
          <w:szCs w:val="21"/>
        </w:rPr>
        <w:t>1.1.3 本标段</w:t>
      </w:r>
      <w:r>
        <w:rPr>
          <w:rFonts w:hint="eastAsia" w:ascii="宋体" w:hAnsi="宋体"/>
          <w:snapToGrid w:val="0"/>
          <w:sz w:val="21"/>
          <w:szCs w:val="21"/>
        </w:rPr>
        <w:t>发包代理机构</w:t>
      </w:r>
      <w:r>
        <w:rPr>
          <w:rFonts w:ascii="宋体" w:hAnsi="宋体"/>
          <w:snapToGrid w:val="0"/>
          <w:sz w:val="21"/>
          <w:szCs w:val="21"/>
        </w:rPr>
        <w:t>：见</w:t>
      </w:r>
      <w:r>
        <w:rPr>
          <w:rFonts w:hint="eastAsia" w:ascii="宋体" w:hAnsi="宋体"/>
          <w:snapToGrid w:val="0"/>
          <w:sz w:val="21"/>
          <w:szCs w:val="21"/>
        </w:rPr>
        <w:t>竞包人</w:t>
      </w:r>
      <w:r>
        <w:rPr>
          <w:rFonts w:ascii="宋体" w:hAnsi="宋体"/>
          <w:snapToGrid w:val="0"/>
          <w:sz w:val="21"/>
          <w:szCs w:val="21"/>
        </w:rPr>
        <w:t>须知前附表</w:t>
      </w:r>
      <w:r>
        <w:rPr>
          <w:rFonts w:hint="eastAsia" w:ascii="宋体" w:hAnsi="宋体"/>
          <w:snapToGrid w:val="0"/>
          <w:sz w:val="21"/>
          <w:szCs w:val="21"/>
        </w:rPr>
        <w:t>；</w:t>
      </w:r>
    </w:p>
    <w:p>
      <w:pPr>
        <w:snapToGrid w:val="0"/>
        <w:spacing w:line="374" w:lineRule="exact"/>
        <w:ind w:firstLine="420" w:firstLineChars="200"/>
        <w:rPr>
          <w:rFonts w:ascii="宋体" w:hAnsi="宋体"/>
          <w:snapToGrid w:val="0"/>
          <w:sz w:val="21"/>
          <w:szCs w:val="21"/>
        </w:rPr>
      </w:pPr>
      <w:r>
        <w:rPr>
          <w:rFonts w:ascii="宋体" w:hAnsi="宋体"/>
          <w:snapToGrid w:val="0"/>
          <w:sz w:val="21"/>
          <w:szCs w:val="21"/>
        </w:rPr>
        <w:t>1.1.4 本</w:t>
      </w:r>
      <w:r>
        <w:rPr>
          <w:rFonts w:hint="eastAsia" w:ascii="宋体" w:hAnsi="宋体"/>
          <w:snapToGrid w:val="0"/>
          <w:sz w:val="21"/>
          <w:szCs w:val="21"/>
        </w:rPr>
        <w:t>发包</w:t>
      </w:r>
      <w:r>
        <w:rPr>
          <w:rFonts w:ascii="宋体" w:hAnsi="宋体"/>
          <w:snapToGrid w:val="0"/>
          <w:sz w:val="21"/>
          <w:szCs w:val="21"/>
        </w:rPr>
        <w:t>项目名称：见</w:t>
      </w:r>
      <w:r>
        <w:rPr>
          <w:rFonts w:hint="eastAsia" w:ascii="宋体" w:hAnsi="宋体"/>
          <w:snapToGrid w:val="0"/>
          <w:sz w:val="21"/>
          <w:szCs w:val="21"/>
        </w:rPr>
        <w:t>竞包人</w:t>
      </w:r>
      <w:r>
        <w:rPr>
          <w:rFonts w:ascii="宋体" w:hAnsi="宋体"/>
          <w:snapToGrid w:val="0"/>
          <w:sz w:val="21"/>
          <w:szCs w:val="21"/>
        </w:rPr>
        <w:t>须知前附表</w:t>
      </w:r>
      <w:r>
        <w:rPr>
          <w:rFonts w:hint="eastAsia" w:ascii="宋体" w:hAnsi="宋体"/>
          <w:snapToGrid w:val="0"/>
          <w:sz w:val="21"/>
          <w:szCs w:val="21"/>
        </w:rPr>
        <w:t>；</w:t>
      </w:r>
    </w:p>
    <w:p>
      <w:pPr>
        <w:snapToGrid w:val="0"/>
        <w:spacing w:line="374" w:lineRule="exact"/>
        <w:ind w:firstLine="420" w:firstLineChars="200"/>
        <w:rPr>
          <w:rFonts w:ascii="宋体" w:hAnsi="宋体"/>
          <w:snapToGrid w:val="0"/>
          <w:sz w:val="21"/>
          <w:szCs w:val="21"/>
        </w:rPr>
      </w:pPr>
      <w:r>
        <w:rPr>
          <w:rFonts w:ascii="宋体" w:hAnsi="宋体"/>
          <w:snapToGrid w:val="0"/>
          <w:sz w:val="21"/>
          <w:szCs w:val="21"/>
        </w:rPr>
        <w:t>1.1.5 本标段建设地点：见</w:t>
      </w:r>
      <w:r>
        <w:rPr>
          <w:rFonts w:hint="eastAsia" w:ascii="宋体" w:hAnsi="宋体"/>
          <w:snapToGrid w:val="0"/>
          <w:sz w:val="21"/>
          <w:szCs w:val="21"/>
        </w:rPr>
        <w:t>竞包人</w:t>
      </w:r>
      <w:r>
        <w:rPr>
          <w:rFonts w:ascii="宋体" w:hAnsi="宋体"/>
          <w:snapToGrid w:val="0"/>
          <w:sz w:val="21"/>
          <w:szCs w:val="21"/>
        </w:rPr>
        <w:t>须知前附表</w:t>
      </w:r>
      <w:r>
        <w:rPr>
          <w:rFonts w:hint="eastAsia" w:ascii="宋体" w:hAnsi="宋体"/>
          <w:snapToGrid w:val="0"/>
          <w:sz w:val="21"/>
          <w:szCs w:val="21"/>
        </w:rPr>
        <w:t>；</w:t>
      </w:r>
    </w:p>
    <w:p>
      <w:pPr>
        <w:snapToGrid w:val="0"/>
        <w:spacing w:line="374" w:lineRule="exact"/>
        <w:ind w:firstLine="420" w:firstLineChars="200"/>
        <w:rPr>
          <w:rFonts w:ascii="宋体" w:hAnsi="宋体"/>
          <w:snapToGrid w:val="0"/>
          <w:sz w:val="21"/>
          <w:szCs w:val="21"/>
        </w:rPr>
      </w:pPr>
      <w:r>
        <w:rPr>
          <w:rFonts w:hint="eastAsia" w:ascii="宋体" w:hAnsi="宋体"/>
          <w:snapToGrid w:val="0"/>
          <w:sz w:val="21"/>
          <w:szCs w:val="21"/>
        </w:rPr>
        <w:t>1.1.6 本发包项目现场管理机构：</w:t>
      </w:r>
      <w:r>
        <w:rPr>
          <w:rFonts w:ascii="宋体" w:hAnsi="宋体"/>
          <w:snapToGrid w:val="0"/>
          <w:sz w:val="21"/>
          <w:szCs w:val="21"/>
        </w:rPr>
        <w:t>见</w:t>
      </w:r>
      <w:r>
        <w:rPr>
          <w:rFonts w:hint="eastAsia" w:ascii="宋体" w:hAnsi="宋体"/>
          <w:snapToGrid w:val="0"/>
          <w:sz w:val="21"/>
          <w:szCs w:val="21"/>
        </w:rPr>
        <w:t>竞包人</w:t>
      </w:r>
      <w:r>
        <w:rPr>
          <w:rFonts w:ascii="宋体" w:hAnsi="宋体"/>
          <w:snapToGrid w:val="0"/>
          <w:sz w:val="21"/>
          <w:szCs w:val="21"/>
        </w:rPr>
        <w:t>须知前附表</w:t>
      </w:r>
      <w:r>
        <w:rPr>
          <w:rFonts w:hint="eastAsia" w:ascii="宋体" w:hAnsi="宋体"/>
          <w:snapToGrid w:val="0"/>
          <w:sz w:val="21"/>
          <w:szCs w:val="21"/>
        </w:rPr>
        <w:t>；</w:t>
      </w:r>
    </w:p>
    <w:p>
      <w:pPr>
        <w:snapToGrid w:val="0"/>
        <w:spacing w:line="374" w:lineRule="exact"/>
        <w:ind w:firstLine="420" w:firstLineChars="200"/>
        <w:rPr>
          <w:rFonts w:ascii="宋体" w:hAnsi="宋体"/>
          <w:snapToGrid w:val="0"/>
          <w:sz w:val="21"/>
          <w:szCs w:val="21"/>
        </w:rPr>
      </w:pPr>
      <w:r>
        <w:rPr>
          <w:rFonts w:hint="eastAsia" w:ascii="宋体" w:hAnsi="宋体"/>
          <w:snapToGrid w:val="0"/>
          <w:sz w:val="21"/>
          <w:szCs w:val="21"/>
        </w:rPr>
        <w:t>1.1.7 本发包项目设计人：</w:t>
      </w:r>
      <w:r>
        <w:rPr>
          <w:rFonts w:ascii="宋体" w:hAnsi="宋体"/>
          <w:snapToGrid w:val="0"/>
          <w:sz w:val="21"/>
          <w:szCs w:val="21"/>
        </w:rPr>
        <w:t>见</w:t>
      </w:r>
      <w:r>
        <w:rPr>
          <w:rFonts w:hint="eastAsia" w:ascii="宋体" w:hAnsi="宋体"/>
          <w:snapToGrid w:val="0"/>
          <w:sz w:val="21"/>
          <w:szCs w:val="21"/>
        </w:rPr>
        <w:t>竞包人</w:t>
      </w:r>
      <w:r>
        <w:rPr>
          <w:rFonts w:ascii="宋体" w:hAnsi="宋体"/>
          <w:snapToGrid w:val="0"/>
          <w:sz w:val="21"/>
          <w:szCs w:val="21"/>
        </w:rPr>
        <w:t>须知前附表</w:t>
      </w:r>
      <w:r>
        <w:rPr>
          <w:rFonts w:hint="eastAsia" w:ascii="宋体" w:hAnsi="宋体"/>
          <w:snapToGrid w:val="0"/>
          <w:sz w:val="21"/>
          <w:szCs w:val="21"/>
        </w:rPr>
        <w:t>；</w:t>
      </w:r>
    </w:p>
    <w:p>
      <w:pPr>
        <w:snapToGrid w:val="0"/>
        <w:spacing w:line="374" w:lineRule="exact"/>
        <w:ind w:firstLine="420" w:firstLineChars="200"/>
        <w:rPr>
          <w:rFonts w:ascii="宋体" w:hAnsi="宋体"/>
          <w:snapToGrid w:val="0"/>
          <w:sz w:val="21"/>
          <w:szCs w:val="21"/>
        </w:rPr>
      </w:pPr>
      <w:r>
        <w:rPr>
          <w:rFonts w:hint="eastAsia" w:ascii="宋体" w:hAnsi="宋体"/>
          <w:snapToGrid w:val="0"/>
          <w:sz w:val="21"/>
          <w:szCs w:val="21"/>
        </w:rPr>
        <w:t>1.1.8 本发包项目监理人：</w:t>
      </w:r>
      <w:r>
        <w:rPr>
          <w:rFonts w:ascii="宋体" w:hAnsi="宋体"/>
          <w:snapToGrid w:val="0"/>
          <w:sz w:val="21"/>
          <w:szCs w:val="21"/>
        </w:rPr>
        <w:t>见</w:t>
      </w:r>
      <w:r>
        <w:rPr>
          <w:rFonts w:hint="eastAsia" w:ascii="宋体" w:hAnsi="宋体"/>
          <w:snapToGrid w:val="0"/>
          <w:sz w:val="21"/>
          <w:szCs w:val="21"/>
        </w:rPr>
        <w:t>竞包人</w:t>
      </w:r>
      <w:r>
        <w:rPr>
          <w:rFonts w:ascii="宋体" w:hAnsi="宋体"/>
          <w:snapToGrid w:val="0"/>
          <w:sz w:val="21"/>
          <w:szCs w:val="21"/>
        </w:rPr>
        <w:t>须知前附表。</w:t>
      </w:r>
    </w:p>
    <w:p>
      <w:pPr>
        <w:snapToGrid w:val="0"/>
        <w:spacing w:line="374" w:lineRule="exact"/>
        <w:rPr>
          <w:rFonts w:ascii="宋体" w:hAnsi="宋体"/>
          <w:b/>
          <w:sz w:val="21"/>
          <w:szCs w:val="21"/>
        </w:rPr>
      </w:pPr>
      <w:r>
        <w:rPr>
          <w:rFonts w:ascii="宋体" w:hAnsi="宋体"/>
          <w:b/>
          <w:sz w:val="21"/>
          <w:szCs w:val="21"/>
        </w:rPr>
        <w:t>1.2 资金来源和落实情况</w:t>
      </w:r>
    </w:p>
    <w:p>
      <w:pPr>
        <w:snapToGrid w:val="0"/>
        <w:spacing w:line="374" w:lineRule="exact"/>
        <w:ind w:firstLine="420" w:firstLineChars="200"/>
        <w:rPr>
          <w:rFonts w:ascii="宋体" w:hAnsi="宋体"/>
          <w:snapToGrid w:val="0"/>
          <w:sz w:val="21"/>
          <w:szCs w:val="21"/>
        </w:rPr>
      </w:pPr>
      <w:r>
        <w:rPr>
          <w:rFonts w:ascii="宋体" w:hAnsi="宋体"/>
          <w:snapToGrid w:val="0"/>
          <w:sz w:val="21"/>
          <w:szCs w:val="21"/>
        </w:rPr>
        <w:t>1.2.1 本</w:t>
      </w:r>
      <w:r>
        <w:rPr>
          <w:rFonts w:hint="eastAsia" w:ascii="宋体" w:hAnsi="宋体"/>
          <w:snapToGrid w:val="0"/>
          <w:sz w:val="21"/>
          <w:szCs w:val="21"/>
        </w:rPr>
        <w:t>发包项目</w:t>
      </w:r>
      <w:r>
        <w:rPr>
          <w:rFonts w:ascii="宋体" w:hAnsi="宋体"/>
          <w:snapToGrid w:val="0"/>
          <w:sz w:val="21"/>
          <w:szCs w:val="21"/>
        </w:rPr>
        <w:t>的资金来源：见</w:t>
      </w:r>
      <w:r>
        <w:rPr>
          <w:rFonts w:hint="eastAsia" w:ascii="宋体" w:hAnsi="宋体"/>
          <w:snapToGrid w:val="0"/>
          <w:sz w:val="21"/>
          <w:szCs w:val="21"/>
        </w:rPr>
        <w:t>竞包人</w:t>
      </w:r>
      <w:r>
        <w:rPr>
          <w:rFonts w:ascii="宋体" w:hAnsi="宋体"/>
          <w:snapToGrid w:val="0"/>
          <w:sz w:val="21"/>
          <w:szCs w:val="21"/>
        </w:rPr>
        <w:t>须知前附表</w:t>
      </w:r>
      <w:r>
        <w:rPr>
          <w:rFonts w:hint="eastAsia" w:ascii="宋体" w:hAnsi="宋体"/>
          <w:snapToGrid w:val="0"/>
          <w:sz w:val="21"/>
          <w:szCs w:val="21"/>
        </w:rPr>
        <w:t>；</w:t>
      </w:r>
    </w:p>
    <w:p>
      <w:pPr>
        <w:snapToGrid w:val="0"/>
        <w:spacing w:line="374" w:lineRule="exact"/>
        <w:ind w:firstLine="420" w:firstLineChars="200"/>
        <w:rPr>
          <w:rFonts w:ascii="宋体" w:hAnsi="宋体"/>
          <w:snapToGrid w:val="0"/>
          <w:sz w:val="21"/>
          <w:szCs w:val="21"/>
        </w:rPr>
      </w:pPr>
      <w:r>
        <w:rPr>
          <w:rFonts w:ascii="宋体" w:hAnsi="宋体"/>
          <w:snapToGrid w:val="0"/>
          <w:sz w:val="21"/>
          <w:szCs w:val="21"/>
        </w:rPr>
        <w:t>1.2.2 本</w:t>
      </w:r>
      <w:r>
        <w:rPr>
          <w:rFonts w:hint="eastAsia" w:ascii="宋体" w:hAnsi="宋体"/>
          <w:snapToGrid w:val="0"/>
          <w:sz w:val="21"/>
          <w:szCs w:val="21"/>
        </w:rPr>
        <w:t>发包项目</w:t>
      </w:r>
      <w:r>
        <w:rPr>
          <w:rFonts w:ascii="宋体" w:hAnsi="宋体"/>
          <w:snapToGrid w:val="0"/>
          <w:sz w:val="21"/>
          <w:szCs w:val="21"/>
        </w:rPr>
        <w:t>的出资比例：见</w:t>
      </w:r>
      <w:r>
        <w:rPr>
          <w:rFonts w:hint="eastAsia" w:ascii="宋体" w:hAnsi="宋体"/>
          <w:snapToGrid w:val="0"/>
          <w:sz w:val="21"/>
          <w:szCs w:val="21"/>
        </w:rPr>
        <w:t>竞包人</w:t>
      </w:r>
      <w:r>
        <w:rPr>
          <w:rFonts w:ascii="宋体" w:hAnsi="宋体"/>
          <w:snapToGrid w:val="0"/>
          <w:sz w:val="21"/>
          <w:szCs w:val="21"/>
        </w:rPr>
        <w:t>须知前附表</w:t>
      </w:r>
      <w:r>
        <w:rPr>
          <w:rFonts w:hint="eastAsia" w:ascii="宋体" w:hAnsi="宋体"/>
          <w:snapToGrid w:val="0"/>
          <w:sz w:val="21"/>
          <w:szCs w:val="21"/>
        </w:rPr>
        <w:t>；</w:t>
      </w:r>
    </w:p>
    <w:p>
      <w:pPr>
        <w:snapToGrid w:val="0"/>
        <w:spacing w:line="374" w:lineRule="exact"/>
        <w:ind w:firstLine="420" w:firstLineChars="200"/>
        <w:rPr>
          <w:rFonts w:ascii="宋体" w:hAnsi="宋体"/>
          <w:snapToGrid w:val="0"/>
          <w:sz w:val="21"/>
          <w:szCs w:val="21"/>
        </w:rPr>
      </w:pPr>
      <w:r>
        <w:rPr>
          <w:rFonts w:ascii="宋体" w:hAnsi="宋体"/>
          <w:snapToGrid w:val="0"/>
          <w:sz w:val="21"/>
          <w:szCs w:val="21"/>
        </w:rPr>
        <w:t>1.2.3 本</w:t>
      </w:r>
      <w:r>
        <w:rPr>
          <w:rFonts w:hint="eastAsia" w:ascii="宋体" w:hAnsi="宋体"/>
          <w:snapToGrid w:val="0"/>
          <w:sz w:val="21"/>
          <w:szCs w:val="21"/>
        </w:rPr>
        <w:t>发包项目</w:t>
      </w:r>
      <w:r>
        <w:rPr>
          <w:rFonts w:ascii="宋体" w:hAnsi="宋体"/>
          <w:snapToGrid w:val="0"/>
          <w:sz w:val="21"/>
          <w:szCs w:val="21"/>
        </w:rPr>
        <w:t>的资金落实情况：见</w:t>
      </w:r>
      <w:r>
        <w:rPr>
          <w:rFonts w:hint="eastAsia" w:ascii="宋体" w:hAnsi="宋体"/>
          <w:snapToGrid w:val="0"/>
          <w:sz w:val="21"/>
          <w:szCs w:val="21"/>
        </w:rPr>
        <w:t>竞包人</w:t>
      </w:r>
      <w:r>
        <w:rPr>
          <w:rFonts w:ascii="宋体" w:hAnsi="宋体"/>
          <w:snapToGrid w:val="0"/>
          <w:sz w:val="21"/>
          <w:szCs w:val="21"/>
        </w:rPr>
        <w:t>须知前附表。</w:t>
      </w:r>
    </w:p>
    <w:p>
      <w:pPr>
        <w:snapToGrid w:val="0"/>
        <w:spacing w:line="374" w:lineRule="exact"/>
        <w:rPr>
          <w:rFonts w:ascii="宋体" w:hAnsi="宋体"/>
          <w:sz w:val="21"/>
          <w:szCs w:val="21"/>
        </w:rPr>
      </w:pPr>
      <w:r>
        <w:rPr>
          <w:rFonts w:ascii="宋体" w:hAnsi="宋体"/>
          <w:b/>
          <w:sz w:val="21"/>
          <w:szCs w:val="21"/>
        </w:rPr>
        <w:t xml:space="preserve">1.3 </w:t>
      </w:r>
      <w:r>
        <w:rPr>
          <w:rFonts w:hint="eastAsia" w:ascii="宋体" w:hAnsi="宋体"/>
          <w:b/>
          <w:sz w:val="21"/>
          <w:szCs w:val="21"/>
        </w:rPr>
        <w:t>发包</w:t>
      </w:r>
      <w:r>
        <w:rPr>
          <w:rFonts w:ascii="宋体" w:hAnsi="宋体"/>
          <w:b/>
          <w:sz w:val="21"/>
          <w:szCs w:val="21"/>
        </w:rPr>
        <w:t>范围、计划工期和质量要求</w:t>
      </w:r>
    </w:p>
    <w:p>
      <w:pPr>
        <w:snapToGrid w:val="0"/>
        <w:spacing w:line="374" w:lineRule="exact"/>
        <w:ind w:firstLine="420" w:firstLineChars="200"/>
        <w:rPr>
          <w:rFonts w:ascii="宋体" w:hAnsi="宋体"/>
          <w:snapToGrid w:val="0"/>
          <w:sz w:val="21"/>
          <w:szCs w:val="21"/>
        </w:rPr>
      </w:pPr>
      <w:r>
        <w:rPr>
          <w:rFonts w:ascii="宋体" w:hAnsi="宋体"/>
          <w:snapToGrid w:val="0"/>
          <w:sz w:val="21"/>
          <w:szCs w:val="21"/>
        </w:rPr>
        <w:t>1.3.1 本次</w:t>
      </w:r>
      <w:r>
        <w:rPr>
          <w:rFonts w:hint="eastAsia" w:ascii="宋体" w:hAnsi="宋体"/>
          <w:snapToGrid w:val="0"/>
          <w:sz w:val="21"/>
          <w:szCs w:val="21"/>
        </w:rPr>
        <w:t>发包</w:t>
      </w:r>
      <w:r>
        <w:rPr>
          <w:rFonts w:ascii="宋体" w:hAnsi="宋体"/>
          <w:snapToGrid w:val="0"/>
          <w:sz w:val="21"/>
          <w:szCs w:val="21"/>
        </w:rPr>
        <w:t>范围：见</w:t>
      </w:r>
      <w:r>
        <w:rPr>
          <w:rFonts w:hint="eastAsia" w:ascii="宋体" w:hAnsi="宋体"/>
          <w:snapToGrid w:val="0"/>
          <w:sz w:val="21"/>
          <w:szCs w:val="21"/>
        </w:rPr>
        <w:t>竞包人</w:t>
      </w:r>
      <w:r>
        <w:rPr>
          <w:rFonts w:ascii="宋体" w:hAnsi="宋体"/>
          <w:snapToGrid w:val="0"/>
          <w:sz w:val="21"/>
          <w:szCs w:val="21"/>
        </w:rPr>
        <w:t>须知前附表</w:t>
      </w:r>
      <w:r>
        <w:rPr>
          <w:rFonts w:hint="eastAsia" w:ascii="宋体" w:hAnsi="宋体"/>
          <w:snapToGrid w:val="0"/>
          <w:sz w:val="21"/>
          <w:szCs w:val="21"/>
        </w:rPr>
        <w:t>；</w:t>
      </w:r>
    </w:p>
    <w:p>
      <w:pPr>
        <w:snapToGrid w:val="0"/>
        <w:spacing w:line="374" w:lineRule="exact"/>
        <w:ind w:firstLine="420" w:firstLineChars="200"/>
        <w:rPr>
          <w:rFonts w:ascii="宋体" w:hAnsi="宋体"/>
          <w:snapToGrid w:val="0"/>
          <w:sz w:val="21"/>
          <w:szCs w:val="21"/>
        </w:rPr>
      </w:pPr>
      <w:r>
        <w:rPr>
          <w:rFonts w:ascii="宋体" w:hAnsi="宋体"/>
          <w:snapToGrid w:val="0"/>
          <w:sz w:val="21"/>
          <w:szCs w:val="21"/>
        </w:rPr>
        <w:t>1.3.2 本标段的计划工期：见</w:t>
      </w:r>
      <w:r>
        <w:rPr>
          <w:rFonts w:hint="eastAsia" w:ascii="宋体" w:hAnsi="宋体"/>
          <w:snapToGrid w:val="0"/>
          <w:sz w:val="21"/>
          <w:szCs w:val="21"/>
        </w:rPr>
        <w:t>竞包人</w:t>
      </w:r>
      <w:r>
        <w:rPr>
          <w:rFonts w:ascii="宋体" w:hAnsi="宋体"/>
          <w:snapToGrid w:val="0"/>
          <w:sz w:val="21"/>
          <w:szCs w:val="21"/>
        </w:rPr>
        <w:t>须知前附表</w:t>
      </w:r>
      <w:r>
        <w:rPr>
          <w:rFonts w:hint="eastAsia" w:ascii="宋体" w:hAnsi="宋体"/>
          <w:snapToGrid w:val="0"/>
          <w:sz w:val="21"/>
          <w:szCs w:val="21"/>
        </w:rPr>
        <w:t>；</w:t>
      </w:r>
    </w:p>
    <w:p>
      <w:pPr>
        <w:snapToGrid w:val="0"/>
        <w:spacing w:line="374" w:lineRule="exact"/>
        <w:ind w:firstLine="420" w:firstLineChars="200"/>
        <w:rPr>
          <w:rFonts w:ascii="宋体" w:hAnsi="宋体"/>
          <w:snapToGrid w:val="0"/>
          <w:sz w:val="21"/>
          <w:szCs w:val="21"/>
        </w:rPr>
      </w:pPr>
      <w:r>
        <w:rPr>
          <w:rFonts w:ascii="宋体" w:hAnsi="宋体"/>
          <w:snapToGrid w:val="0"/>
          <w:sz w:val="21"/>
          <w:szCs w:val="21"/>
        </w:rPr>
        <w:t>1.3.3 本标段的质量要求：见</w:t>
      </w:r>
      <w:r>
        <w:rPr>
          <w:rFonts w:hint="eastAsia" w:ascii="宋体" w:hAnsi="宋体"/>
          <w:snapToGrid w:val="0"/>
          <w:sz w:val="21"/>
          <w:szCs w:val="21"/>
        </w:rPr>
        <w:t>竞包人</w:t>
      </w:r>
      <w:r>
        <w:rPr>
          <w:rFonts w:ascii="宋体" w:hAnsi="宋体"/>
          <w:snapToGrid w:val="0"/>
          <w:sz w:val="21"/>
          <w:szCs w:val="21"/>
        </w:rPr>
        <w:t>须知前附表。</w:t>
      </w:r>
    </w:p>
    <w:p>
      <w:pPr>
        <w:snapToGrid w:val="0"/>
        <w:spacing w:line="374" w:lineRule="exact"/>
        <w:rPr>
          <w:rFonts w:ascii="宋体" w:hAnsi="宋体"/>
          <w:b/>
          <w:sz w:val="21"/>
          <w:szCs w:val="21"/>
        </w:rPr>
      </w:pPr>
      <w:r>
        <w:rPr>
          <w:rFonts w:ascii="宋体" w:hAnsi="宋体"/>
          <w:b/>
          <w:sz w:val="21"/>
          <w:szCs w:val="21"/>
        </w:rPr>
        <w:t xml:space="preserve">1.4 </w:t>
      </w:r>
      <w:r>
        <w:rPr>
          <w:rFonts w:hint="eastAsia" w:ascii="宋体" w:hAnsi="宋体"/>
          <w:b/>
          <w:sz w:val="21"/>
          <w:szCs w:val="21"/>
        </w:rPr>
        <w:t>竞包人</w:t>
      </w:r>
      <w:r>
        <w:rPr>
          <w:rFonts w:ascii="宋体" w:hAnsi="宋体"/>
          <w:b/>
          <w:sz w:val="21"/>
          <w:szCs w:val="21"/>
        </w:rPr>
        <w:t>资格要求</w:t>
      </w:r>
    </w:p>
    <w:p>
      <w:pPr>
        <w:snapToGrid w:val="0"/>
        <w:spacing w:line="374" w:lineRule="exact"/>
        <w:ind w:firstLine="420" w:firstLineChars="200"/>
        <w:rPr>
          <w:rFonts w:ascii="宋体" w:hAnsi="宋体"/>
          <w:snapToGrid w:val="0"/>
          <w:sz w:val="21"/>
          <w:szCs w:val="21"/>
        </w:rPr>
      </w:pPr>
      <w:r>
        <w:rPr>
          <w:rFonts w:hint="eastAsia" w:ascii="宋体" w:hAnsi="宋体"/>
          <w:snapToGrid w:val="0"/>
          <w:sz w:val="21"/>
          <w:szCs w:val="21"/>
        </w:rPr>
        <w:t>1.4.1 竞包人应具备承担本标段施工的资质条件、能力和信誉；</w:t>
      </w:r>
    </w:p>
    <w:p>
      <w:pPr>
        <w:snapToGrid w:val="0"/>
        <w:spacing w:line="374" w:lineRule="exact"/>
        <w:ind w:firstLine="420" w:firstLineChars="200"/>
        <w:rPr>
          <w:rFonts w:ascii="宋体" w:hAnsi="宋体"/>
          <w:snapToGrid w:val="0"/>
          <w:sz w:val="21"/>
          <w:szCs w:val="21"/>
        </w:rPr>
      </w:pPr>
      <w:r>
        <w:rPr>
          <w:rFonts w:hint="eastAsia" w:ascii="宋体" w:hAnsi="宋体"/>
          <w:snapToGrid w:val="0"/>
          <w:sz w:val="21"/>
          <w:szCs w:val="21"/>
        </w:rPr>
        <w:t>(1) 资质条件：见竞包人须知前附表；</w:t>
      </w:r>
    </w:p>
    <w:p>
      <w:pPr>
        <w:snapToGrid w:val="0"/>
        <w:spacing w:line="374" w:lineRule="exact"/>
        <w:ind w:firstLine="420" w:firstLineChars="200"/>
        <w:rPr>
          <w:rFonts w:ascii="宋体" w:hAnsi="宋体"/>
          <w:snapToGrid w:val="0"/>
          <w:sz w:val="21"/>
          <w:szCs w:val="21"/>
        </w:rPr>
      </w:pPr>
      <w:r>
        <w:rPr>
          <w:rFonts w:hint="eastAsia" w:ascii="宋体" w:hAnsi="宋体"/>
          <w:snapToGrid w:val="0"/>
          <w:sz w:val="21"/>
          <w:szCs w:val="21"/>
        </w:rPr>
        <w:t>(2) 财务要求：见竞包人须知前附表；</w:t>
      </w:r>
    </w:p>
    <w:p>
      <w:pPr>
        <w:snapToGrid w:val="0"/>
        <w:spacing w:line="374" w:lineRule="exact"/>
        <w:ind w:firstLine="420" w:firstLineChars="200"/>
        <w:rPr>
          <w:rFonts w:ascii="宋体" w:hAnsi="宋体"/>
          <w:snapToGrid w:val="0"/>
          <w:sz w:val="21"/>
          <w:szCs w:val="21"/>
        </w:rPr>
      </w:pPr>
      <w:r>
        <w:rPr>
          <w:rFonts w:hint="eastAsia" w:ascii="宋体" w:hAnsi="宋体"/>
          <w:snapToGrid w:val="0"/>
          <w:sz w:val="21"/>
          <w:szCs w:val="21"/>
        </w:rPr>
        <w:t>(3) 业绩要求：见竞包人须知前附表；</w:t>
      </w:r>
    </w:p>
    <w:p>
      <w:pPr>
        <w:snapToGrid w:val="0"/>
        <w:spacing w:line="374" w:lineRule="exact"/>
        <w:ind w:firstLine="420" w:firstLineChars="200"/>
        <w:rPr>
          <w:rFonts w:ascii="宋体" w:hAnsi="宋体"/>
          <w:snapToGrid w:val="0"/>
          <w:sz w:val="21"/>
          <w:szCs w:val="21"/>
        </w:rPr>
      </w:pPr>
      <w:r>
        <w:rPr>
          <w:rFonts w:hint="eastAsia" w:ascii="宋体" w:hAnsi="宋体"/>
          <w:snapToGrid w:val="0"/>
          <w:sz w:val="21"/>
          <w:szCs w:val="21"/>
        </w:rPr>
        <w:t>(4) 信誉要求：见竞包人须知前附表；</w:t>
      </w:r>
    </w:p>
    <w:p>
      <w:pPr>
        <w:snapToGrid w:val="0"/>
        <w:spacing w:line="374" w:lineRule="exact"/>
        <w:ind w:firstLine="420" w:firstLineChars="200"/>
        <w:rPr>
          <w:rFonts w:ascii="宋体" w:hAnsi="宋体"/>
          <w:snapToGrid w:val="0"/>
          <w:sz w:val="21"/>
          <w:szCs w:val="21"/>
        </w:rPr>
      </w:pPr>
      <w:r>
        <w:rPr>
          <w:rFonts w:hint="eastAsia" w:ascii="宋体" w:hAnsi="宋体"/>
          <w:snapToGrid w:val="0"/>
          <w:sz w:val="21"/>
          <w:szCs w:val="21"/>
        </w:rPr>
        <w:t>(5) 项目负责人资格：见竞包人须知前附表；</w:t>
      </w:r>
    </w:p>
    <w:p>
      <w:pPr>
        <w:snapToGrid w:val="0"/>
        <w:spacing w:line="374" w:lineRule="exact"/>
        <w:ind w:firstLine="420" w:firstLineChars="200"/>
        <w:rPr>
          <w:rFonts w:ascii="宋体" w:hAnsi="宋体"/>
          <w:snapToGrid w:val="0"/>
          <w:sz w:val="21"/>
          <w:szCs w:val="21"/>
        </w:rPr>
      </w:pPr>
      <w:r>
        <w:rPr>
          <w:rFonts w:hint="eastAsia" w:ascii="宋体" w:hAnsi="宋体"/>
          <w:snapToGrid w:val="0"/>
          <w:sz w:val="21"/>
          <w:szCs w:val="21"/>
        </w:rPr>
        <w:t>(6) 其他要求：见竞包人须知前附表。</w:t>
      </w:r>
    </w:p>
    <w:p>
      <w:pPr>
        <w:snapToGrid w:val="0"/>
        <w:spacing w:line="374" w:lineRule="exact"/>
        <w:ind w:firstLine="420" w:firstLineChars="200"/>
        <w:rPr>
          <w:rFonts w:ascii="宋体" w:hAnsi="宋体"/>
          <w:snapToGrid w:val="0"/>
          <w:sz w:val="21"/>
          <w:szCs w:val="21"/>
        </w:rPr>
      </w:pPr>
      <w:r>
        <w:rPr>
          <w:rFonts w:hint="eastAsia" w:ascii="宋体" w:hAnsi="宋体"/>
          <w:snapToGrid w:val="0"/>
          <w:sz w:val="21"/>
          <w:szCs w:val="21"/>
        </w:rPr>
        <w:t>1.4.2 竞包人须知前附表规定不接受联合体竞包。</w:t>
      </w:r>
    </w:p>
    <w:p>
      <w:pPr>
        <w:snapToGrid w:val="0"/>
        <w:spacing w:line="374" w:lineRule="exact"/>
        <w:ind w:firstLine="420" w:firstLineChars="200"/>
        <w:rPr>
          <w:rFonts w:ascii="宋体" w:hAnsi="宋体"/>
          <w:snapToGrid w:val="0"/>
          <w:sz w:val="21"/>
          <w:szCs w:val="21"/>
        </w:rPr>
      </w:pPr>
      <w:r>
        <w:rPr>
          <w:rFonts w:hint="eastAsia" w:ascii="宋体" w:hAnsi="宋体"/>
          <w:snapToGrid w:val="0"/>
          <w:sz w:val="21"/>
          <w:szCs w:val="21"/>
        </w:rPr>
        <w:t>1.4.3 竞包人不得存在下列情形之一：</w:t>
      </w:r>
    </w:p>
    <w:p>
      <w:pPr>
        <w:snapToGrid w:val="0"/>
        <w:spacing w:line="374" w:lineRule="exact"/>
        <w:ind w:firstLine="420" w:firstLineChars="200"/>
        <w:rPr>
          <w:rFonts w:ascii="宋体" w:hAnsi="宋体"/>
          <w:snapToGrid w:val="0"/>
          <w:sz w:val="21"/>
          <w:szCs w:val="21"/>
        </w:rPr>
      </w:pPr>
      <w:r>
        <w:rPr>
          <w:rFonts w:hint="eastAsia" w:ascii="宋体" w:hAnsi="宋体"/>
          <w:snapToGrid w:val="0"/>
          <w:sz w:val="21"/>
          <w:szCs w:val="21"/>
        </w:rPr>
        <w:t>(1) 为发包人不具有独立法人资格的附属机构（单位）；</w:t>
      </w:r>
    </w:p>
    <w:p>
      <w:pPr>
        <w:snapToGrid w:val="0"/>
        <w:spacing w:line="374" w:lineRule="exact"/>
        <w:ind w:firstLine="420" w:firstLineChars="200"/>
        <w:rPr>
          <w:rFonts w:ascii="宋体" w:hAnsi="宋体"/>
          <w:snapToGrid w:val="0"/>
          <w:sz w:val="21"/>
          <w:szCs w:val="21"/>
        </w:rPr>
      </w:pPr>
      <w:r>
        <w:rPr>
          <w:rFonts w:hint="eastAsia" w:ascii="宋体" w:hAnsi="宋体"/>
          <w:snapToGrid w:val="0"/>
          <w:sz w:val="21"/>
          <w:szCs w:val="21"/>
        </w:rPr>
        <w:t>(2) 为本标段前期准备提供设计或咨询服务的，但设计施工总承包的除外；</w:t>
      </w:r>
    </w:p>
    <w:p>
      <w:pPr>
        <w:snapToGrid w:val="0"/>
        <w:spacing w:line="374" w:lineRule="exact"/>
        <w:ind w:firstLine="420" w:firstLineChars="200"/>
        <w:rPr>
          <w:rFonts w:ascii="宋体" w:hAnsi="宋体"/>
          <w:snapToGrid w:val="0"/>
          <w:sz w:val="21"/>
          <w:szCs w:val="21"/>
        </w:rPr>
      </w:pPr>
      <w:r>
        <w:rPr>
          <w:rFonts w:hint="eastAsia" w:ascii="宋体" w:hAnsi="宋体"/>
          <w:snapToGrid w:val="0"/>
          <w:sz w:val="21"/>
          <w:szCs w:val="21"/>
        </w:rPr>
        <w:t>(3) 为本标段的监理人；</w:t>
      </w:r>
    </w:p>
    <w:p>
      <w:pPr>
        <w:snapToGrid w:val="0"/>
        <w:spacing w:line="374" w:lineRule="exact"/>
        <w:ind w:firstLine="420" w:firstLineChars="200"/>
        <w:rPr>
          <w:rFonts w:ascii="宋体" w:hAnsi="宋体"/>
          <w:snapToGrid w:val="0"/>
          <w:sz w:val="21"/>
          <w:szCs w:val="21"/>
        </w:rPr>
      </w:pPr>
      <w:r>
        <w:rPr>
          <w:rFonts w:hint="eastAsia" w:ascii="宋体" w:hAnsi="宋体"/>
          <w:snapToGrid w:val="0"/>
          <w:sz w:val="21"/>
          <w:szCs w:val="21"/>
        </w:rPr>
        <w:t>(4) 为本标段的代建人；</w:t>
      </w:r>
    </w:p>
    <w:p>
      <w:pPr>
        <w:snapToGrid w:val="0"/>
        <w:spacing w:line="374" w:lineRule="exact"/>
        <w:ind w:firstLine="420" w:firstLineChars="200"/>
        <w:rPr>
          <w:rFonts w:ascii="宋体" w:hAnsi="宋体"/>
          <w:snapToGrid w:val="0"/>
          <w:sz w:val="21"/>
          <w:szCs w:val="21"/>
        </w:rPr>
      </w:pPr>
      <w:r>
        <w:rPr>
          <w:rFonts w:hint="eastAsia" w:ascii="宋体" w:hAnsi="宋体"/>
          <w:snapToGrid w:val="0"/>
          <w:sz w:val="21"/>
          <w:szCs w:val="21"/>
        </w:rPr>
        <w:t>(5) 为本标段提供发包代理服务的；</w:t>
      </w:r>
    </w:p>
    <w:p>
      <w:pPr>
        <w:snapToGrid w:val="0"/>
        <w:spacing w:line="374" w:lineRule="exact"/>
        <w:ind w:firstLine="420" w:firstLineChars="200"/>
        <w:rPr>
          <w:rFonts w:ascii="宋体" w:hAnsi="宋体"/>
          <w:snapToGrid w:val="0"/>
          <w:sz w:val="21"/>
          <w:szCs w:val="21"/>
        </w:rPr>
      </w:pPr>
      <w:r>
        <w:rPr>
          <w:rFonts w:hint="eastAsia" w:ascii="宋体" w:hAnsi="宋体"/>
          <w:snapToGrid w:val="0"/>
          <w:sz w:val="21"/>
          <w:szCs w:val="21"/>
        </w:rPr>
        <w:t>(6) 与本标段的监理人或代建人或发包代理机构同为一个法定代表人的；</w:t>
      </w:r>
    </w:p>
    <w:p>
      <w:pPr>
        <w:snapToGrid w:val="0"/>
        <w:spacing w:line="374" w:lineRule="exact"/>
        <w:ind w:firstLine="420" w:firstLineChars="200"/>
        <w:rPr>
          <w:rFonts w:ascii="宋体" w:hAnsi="宋体"/>
          <w:snapToGrid w:val="0"/>
          <w:sz w:val="21"/>
          <w:szCs w:val="21"/>
        </w:rPr>
      </w:pPr>
      <w:r>
        <w:rPr>
          <w:rFonts w:hint="eastAsia" w:ascii="宋体" w:hAnsi="宋体"/>
          <w:snapToGrid w:val="0"/>
          <w:sz w:val="21"/>
          <w:szCs w:val="21"/>
        </w:rPr>
        <w:t>(7) 与本标段的监理人或代建人或发包代理机构相互控股或参股的；</w:t>
      </w:r>
    </w:p>
    <w:p>
      <w:pPr>
        <w:snapToGrid w:val="0"/>
        <w:spacing w:line="374" w:lineRule="exact"/>
        <w:ind w:firstLine="420" w:firstLineChars="200"/>
        <w:rPr>
          <w:rFonts w:ascii="宋体" w:hAnsi="宋体"/>
          <w:snapToGrid w:val="0"/>
          <w:sz w:val="21"/>
          <w:szCs w:val="21"/>
        </w:rPr>
      </w:pPr>
      <w:r>
        <w:rPr>
          <w:rFonts w:hint="eastAsia" w:ascii="宋体" w:hAnsi="宋体"/>
          <w:snapToGrid w:val="0"/>
          <w:sz w:val="21"/>
          <w:szCs w:val="21"/>
        </w:rPr>
        <w:t>(8) 与本标段的监理人或代建人或发包代理机构相互任职或工作的；</w:t>
      </w:r>
    </w:p>
    <w:p>
      <w:pPr>
        <w:snapToGrid w:val="0"/>
        <w:spacing w:line="374" w:lineRule="exact"/>
        <w:ind w:firstLine="420" w:firstLineChars="200"/>
        <w:rPr>
          <w:rFonts w:ascii="宋体" w:hAnsi="宋体"/>
          <w:snapToGrid w:val="0"/>
          <w:sz w:val="21"/>
          <w:szCs w:val="21"/>
        </w:rPr>
      </w:pPr>
      <w:r>
        <w:rPr>
          <w:rFonts w:hint="eastAsia" w:ascii="宋体" w:hAnsi="宋体"/>
          <w:snapToGrid w:val="0"/>
          <w:sz w:val="21"/>
          <w:szCs w:val="21"/>
        </w:rPr>
        <w:t>(9) 被责令停业的；</w:t>
      </w:r>
    </w:p>
    <w:p>
      <w:pPr>
        <w:snapToGrid w:val="0"/>
        <w:spacing w:line="374" w:lineRule="exact"/>
        <w:ind w:firstLine="420" w:firstLineChars="200"/>
        <w:rPr>
          <w:rFonts w:ascii="宋体" w:hAnsi="宋体"/>
          <w:snapToGrid w:val="0"/>
          <w:sz w:val="21"/>
          <w:szCs w:val="21"/>
        </w:rPr>
      </w:pPr>
      <w:r>
        <w:rPr>
          <w:rFonts w:ascii="宋体" w:hAnsi="宋体"/>
          <w:snapToGrid w:val="0"/>
          <w:sz w:val="21"/>
          <w:szCs w:val="21"/>
        </w:rPr>
        <w:t xml:space="preserve">(10) </w:t>
      </w:r>
      <w:r>
        <w:rPr>
          <w:rFonts w:hint="eastAsia" w:ascii="宋体" w:hAnsi="宋体"/>
          <w:snapToGrid w:val="0"/>
          <w:sz w:val="21"/>
          <w:szCs w:val="21"/>
        </w:rPr>
        <w:t>被暂停或取消竞包资格的；</w:t>
      </w:r>
    </w:p>
    <w:p>
      <w:pPr>
        <w:snapToGrid w:val="0"/>
        <w:spacing w:line="374" w:lineRule="exact"/>
        <w:ind w:firstLine="420" w:firstLineChars="200"/>
        <w:rPr>
          <w:rFonts w:ascii="宋体" w:hAnsi="宋体"/>
          <w:snapToGrid w:val="0"/>
          <w:sz w:val="21"/>
          <w:szCs w:val="21"/>
        </w:rPr>
      </w:pPr>
      <w:r>
        <w:rPr>
          <w:rFonts w:ascii="宋体" w:hAnsi="宋体"/>
          <w:snapToGrid w:val="0"/>
          <w:sz w:val="21"/>
          <w:szCs w:val="21"/>
        </w:rPr>
        <w:t xml:space="preserve">(11) </w:t>
      </w:r>
      <w:r>
        <w:rPr>
          <w:rFonts w:hint="eastAsia" w:ascii="宋体" w:hAnsi="宋体"/>
          <w:snapToGrid w:val="0"/>
          <w:sz w:val="21"/>
          <w:szCs w:val="21"/>
        </w:rPr>
        <w:t>财产被接管或冻结的；</w:t>
      </w:r>
    </w:p>
    <w:p>
      <w:pPr>
        <w:snapToGrid w:val="0"/>
        <w:spacing w:line="374" w:lineRule="exact"/>
        <w:ind w:firstLine="420" w:firstLineChars="200"/>
        <w:rPr>
          <w:rFonts w:ascii="宋体" w:hAnsi="宋体"/>
          <w:snapToGrid w:val="0"/>
          <w:sz w:val="21"/>
          <w:szCs w:val="21"/>
        </w:rPr>
      </w:pPr>
      <w:r>
        <w:rPr>
          <w:rFonts w:ascii="宋体" w:hAnsi="宋体"/>
          <w:snapToGrid w:val="0"/>
          <w:sz w:val="21"/>
          <w:szCs w:val="21"/>
        </w:rPr>
        <w:t xml:space="preserve">(12) </w:t>
      </w:r>
      <w:r>
        <w:rPr>
          <w:rFonts w:hint="eastAsia" w:ascii="宋体" w:hAnsi="宋体"/>
          <w:snapToGrid w:val="0"/>
          <w:sz w:val="21"/>
          <w:szCs w:val="21"/>
        </w:rPr>
        <w:t>在最近</w:t>
      </w:r>
      <w:r>
        <w:rPr>
          <w:rFonts w:ascii="宋体" w:hAnsi="宋体"/>
          <w:snapToGrid w:val="0"/>
          <w:sz w:val="21"/>
          <w:szCs w:val="21"/>
        </w:rPr>
        <w:t>3</w:t>
      </w:r>
      <w:r>
        <w:rPr>
          <w:rFonts w:hint="eastAsia" w:ascii="宋体" w:hAnsi="宋体"/>
          <w:snapToGrid w:val="0"/>
          <w:sz w:val="21"/>
          <w:szCs w:val="21"/>
        </w:rPr>
        <w:t>年内有骗取承包或严重违约或重大工程质量问题</w:t>
      </w:r>
      <w:r>
        <w:rPr>
          <w:rFonts w:hint="eastAsia" w:ascii="宋体" w:hAnsi="宋体"/>
          <w:snapToGrid w:val="0"/>
          <w:sz w:val="21"/>
          <w:szCs w:val="21"/>
          <w:lang w:eastAsia="zh-CN"/>
        </w:rPr>
        <w:t>被取消投标资格</w:t>
      </w:r>
      <w:r>
        <w:rPr>
          <w:rFonts w:hint="eastAsia" w:ascii="宋体" w:hAnsi="宋体"/>
          <w:snapToGrid w:val="0"/>
          <w:sz w:val="21"/>
          <w:szCs w:val="21"/>
        </w:rPr>
        <w:t>的；</w:t>
      </w:r>
    </w:p>
    <w:p>
      <w:pPr>
        <w:snapToGrid w:val="0"/>
        <w:spacing w:line="374" w:lineRule="exact"/>
        <w:ind w:firstLine="420" w:firstLineChars="200"/>
        <w:rPr>
          <w:rFonts w:ascii="宋体" w:hAnsi="宋体"/>
          <w:snapToGrid w:val="0"/>
          <w:sz w:val="21"/>
          <w:szCs w:val="21"/>
        </w:rPr>
      </w:pPr>
      <w:r>
        <w:rPr>
          <w:rFonts w:ascii="宋体" w:hAnsi="宋体"/>
          <w:snapToGrid w:val="0"/>
          <w:sz w:val="21"/>
          <w:szCs w:val="21"/>
        </w:rPr>
        <w:t>(13)</w:t>
      </w:r>
      <w:r>
        <w:rPr>
          <w:rFonts w:hint="eastAsia" w:ascii="宋体" w:hAnsi="宋体"/>
          <w:snapToGrid w:val="0"/>
          <w:sz w:val="21"/>
          <w:szCs w:val="21"/>
          <w:lang w:val="en-US" w:eastAsia="zh-CN"/>
        </w:rPr>
        <w:t xml:space="preserve"> </w:t>
      </w:r>
      <w:r>
        <w:rPr>
          <w:rFonts w:hint="eastAsia" w:ascii="宋体" w:hAnsi="宋体"/>
          <w:snapToGrid w:val="0"/>
          <w:sz w:val="21"/>
          <w:szCs w:val="21"/>
        </w:rPr>
        <w:t>与发包人存在利害关系可能影响发包公正性的法人或者其他组织；</w:t>
      </w:r>
    </w:p>
    <w:p>
      <w:pPr>
        <w:snapToGrid w:val="0"/>
        <w:spacing w:line="374" w:lineRule="exact"/>
        <w:ind w:firstLine="420" w:firstLineChars="200"/>
        <w:rPr>
          <w:rFonts w:ascii="宋体" w:hAnsi="宋体"/>
          <w:snapToGrid w:val="0"/>
          <w:sz w:val="21"/>
          <w:szCs w:val="21"/>
        </w:rPr>
      </w:pPr>
      <w:r>
        <w:rPr>
          <w:rFonts w:ascii="宋体" w:hAnsi="宋体"/>
          <w:snapToGrid w:val="0"/>
          <w:sz w:val="21"/>
          <w:szCs w:val="21"/>
        </w:rPr>
        <w:t>(14)</w:t>
      </w:r>
      <w:r>
        <w:rPr>
          <w:rFonts w:hint="eastAsia" w:ascii="宋体" w:hAnsi="宋体"/>
          <w:snapToGrid w:val="0"/>
          <w:sz w:val="21"/>
          <w:szCs w:val="21"/>
          <w:lang w:val="en-US" w:eastAsia="zh-CN"/>
        </w:rPr>
        <w:t xml:space="preserve"> </w:t>
      </w:r>
      <w:r>
        <w:rPr>
          <w:rFonts w:hint="eastAsia" w:ascii="宋体" w:hAnsi="宋体"/>
          <w:snapToGrid w:val="0"/>
          <w:sz w:val="21"/>
          <w:szCs w:val="21"/>
        </w:rPr>
        <w:t>单位负责人为同一人或者存在控股、管理关系的不同单位；</w:t>
      </w:r>
    </w:p>
    <w:p>
      <w:pPr>
        <w:snapToGrid w:val="0"/>
        <w:spacing w:line="374" w:lineRule="exact"/>
        <w:ind w:firstLine="420" w:firstLineChars="200"/>
        <w:rPr>
          <w:rFonts w:ascii="宋体" w:hAnsi="宋体" w:eastAsia="宋体" w:cs="宋体"/>
          <w:sz w:val="21"/>
          <w:szCs w:val="21"/>
          <w:highlight w:val="none"/>
        </w:rPr>
      </w:pPr>
      <w:r>
        <w:rPr>
          <w:rFonts w:ascii="宋体" w:hAnsi="宋体"/>
          <w:snapToGrid w:val="0"/>
          <w:sz w:val="21"/>
          <w:szCs w:val="21"/>
          <w:highlight w:val="none"/>
        </w:rPr>
        <w:t>(1</w:t>
      </w:r>
      <w:r>
        <w:rPr>
          <w:rFonts w:hint="eastAsia" w:ascii="宋体" w:hAnsi="宋体"/>
          <w:snapToGrid w:val="0"/>
          <w:sz w:val="21"/>
          <w:szCs w:val="21"/>
          <w:highlight w:val="none"/>
        </w:rPr>
        <w:t>5</w:t>
      </w:r>
      <w:r>
        <w:rPr>
          <w:rFonts w:ascii="宋体" w:hAnsi="宋体"/>
          <w:snapToGrid w:val="0"/>
          <w:sz w:val="21"/>
          <w:szCs w:val="21"/>
          <w:highlight w:val="none"/>
        </w:rPr>
        <w:t>)</w:t>
      </w:r>
      <w:r>
        <w:rPr>
          <w:rFonts w:hint="eastAsia" w:ascii="宋体" w:hAnsi="宋体"/>
          <w:snapToGrid w:val="0"/>
          <w:sz w:val="21"/>
          <w:szCs w:val="21"/>
          <w:highlight w:val="none"/>
          <w:lang w:val="en-US" w:eastAsia="zh-CN"/>
        </w:rPr>
        <w:t xml:space="preserve"> </w:t>
      </w:r>
      <w:r>
        <w:rPr>
          <w:rFonts w:hint="eastAsia" w:ascii="宋体" w:hAnsi="宋体" w:eastAsia="宋体" w:cs="宋体"/>
          <w:sz w:val="21"/>
          <w:szCs w:val="21"/>
          <w:highlight w:val="none"/>
        </w:rPr>
        <w:t>竞包人及其相关人员在工程建设招投标（发竞包）活动中出现串通投标（竞包）、弄虚作假行为，或在中标（承包）后履约中出现转包、违法分包行为，或发生与工程建设相关的较大工程质量事故、安全事故受到行政处罚且在处罚有效期内（无有效期的按一年计）的参与本项目竞包。</w:t>
      </w:r>
    </w:p>
    <w:p>
      <w:pPr>
        <w:snapToGrid w:val="0"/>
        <w:spacing w:line="374" w:lineRule="exact"/>
        <w:ind w:firstLine="420" w:firstLineChars="200"/>
        <w:rPr>
          <w:rFonts w:ascii="宋体" w:hAnsi="宋体"/>
          <w:snapToGrid w:val="0"/>
          <w:sz w:val="21"/>
          <w:szCs w:val="21"/>
          <w:highlight w:val="none"/>
        </w:rPr>
      </w:pPr>
      <w:r>
        <w:rPr>
          <w:rFonts w:ascii="宋体" w:hAnsi="宋体"/>
          <w:snapToGrid w:val="0"/>
          <w:sz w:val="21"/>
          <w:szCs w:val="21"/>
          <w:highlight w:val="none"/>
        </w:rPr>
        <w:t>(1</w:t>
      </w:r>
      <w:r>
        <w:rPr>
          <w:rFonts w:hint="eastAsia" w:ascii="宋体" w:hAnsi="宋体"/>
          <w:snapToGrid w:val="0"/>
          <w:sz w:val="21"/>
          <w:szCs w:val="21"/>
          <w:highlight w:val="none"/>
        </w:rPr>
        <w:t>6</w:t>
      </w:r>
      <w:r>
        <w:rPr>
          <w:rFonts w:ascii="宋体" w:hAnsi="宋体"/>
          <w:snapToGrid w:val="0"/>
          <w:sz w:val="21"/>
          <w:szCs w:val="21"/>
          <w:highlight w:val="none"/>
        </w:rPr>
        <w:t>)</w:t>
      </w:r>
      <w:r>
        <w:rPr>
          <w:rFonts w:hint="eastAsia" w:ascii="宋体" w:hAnsi="宋体"/>
          <w:snapToGrid w:val="0"/>
          <w:sz w:val="21"/>
          <w:szCs w:val="21"/>
          <w:highlight w:val="none"/>
          <w:lang w:val="en-US" w:eastAsia="zh-CN"/>
        </w:rPr>
        <w:t xml:space="preserve"> </w:t>
      </w:r>
      <w:r>
        <w:rPr>
          <w:rFonts w:hint="eastAsia" w:ascii="宋体" w:hAnsi="宋体"/>
          <w:snapToGrid w:val="0"/>
          <w:sz w:val="21"/>
          <w:szCs w:val="21"/>
          <w:highlight w:val="none"/>
        </w:rPr>
        <w:t>其它法律法规规定的情形。</w:t>
      </w:r>
    </w:p>
    <w:p>
      <w:pPr>
        <w:snapToGrid w:val="0"/>
        <w:spacing w:line="374" w:lineRule="exact"/>
        <w:rPr>
          <w:rFonts w:ascii="宋体" w:hAnsi="宋体"/>
          <w:b/>
          <w:sz w:val="21"/>
          <w:szCs w:val="21"/>
        </w:rPr>
      </w:pPr>
      <w:r>
        <w:rPr>
          <w:rFonts w:ascii="宋体" w:hAnsi="宋体"/>
          <w:b/>
          <w:sz w:val="21"/>
          <w:szCs w:val="21"/>
        </w:rPr>
        <w:t>1.5 费用承担</w:t>
      </w:r>
    </w:p>
    <w:p>
      <w:pPr>
        <w:snapToGrid w:val="0"/>
        <w:spacing w:line="374" w:lineRule="exact"/>
        <w:ind w:firstLine="420" w:firstLineChars="200"/>
        <w:rPr>
          <w:rFonts w:ascii="宋体" w:hAnsi="宋体"/>
          <w:snapToGrid w:val="0"/>
          <w:sz w:val="21"/>
          <w:szCs w:val="21"/>
        </w:rPr>
      </w:pPr>
      <w:r>
        <w:rPr>
          <w:rFonts w:hint="eastAsia" w:ascii="宋体" w:hAnsi="宋体"/>
          <w:snapToGrid w:val="0"/>
          <w:sz w:val="21"/>
          <w:szCs w:val="21"/>
        </w:rPr>
        <w:t>竞包人</w:t>
      </w:r>
      <w:r>
        <w:rPr>
          <w:rFonts w:ascii="宋体" w:hAnsi="宋体"/>
          <w:snapToGrid w:val="0"/>
          <w:sz w:val="21"/>
          <w:szCs w:val="21"/>
        </w:rPr>
        <w:t>准备和参加</w:t>
      </w:r>
      <w:r>
        <w:rPr>
          <w:rFonts w:hint="eastAsia" w:ascii="宋体" w:hAnsi="宋体"/>
          <w:snapToGrid w:val="0"/>
          <w:sz w:val="21"/>
          <w:szCs w:val="21"/>
        </w:rPr>
        <w:t>竞包</w:t>
      </w:r>
      <w:r>
        <w:rPr>
          <w:rFonts w:ascii="宋体" w:hAnsi="宋体"/>
          <w:snapToGrid w:val="0"/>
          <w:sz w:val="21"/>
          <w:szCs w:val="21"/>
        </w:rPr>
        <w:t>活动发生的费用自理。</w:t>
      </w:r>
    </w:p>
    <w:p>
      <w:pPr>
        <w:snapToGrid w:val="0"/>
        <w:spacing w:line="374" w:lineRule="exact"/>
        <w:rPr>
          <w:rFonts w:ascii="宋体" w:hAnsi="宋体"/>
          <w:b/>
          <w:sz w:val="21"/>
          <w:szCs w:val="21"/>
        </w:rPr>
      </w:pPr>
      <w:r>
        <w:rPr>
          <w:rFonts w:ascii="宋体" w:hAnsi="宋体"/>
          <w:b/>
          <w:sz w:val="21"/>
          <w:szCs w:val="21"/>
        </w:rPr>
        <w:t>1.6 保密</w:t>
      </w:r>
    </w:p>
    <w:p>
      <w:pPr>
        <w:snapToGrid w:val="0"/>
        <w:spacing w:line="374" w:lineRule="exact"/>
        <w:ind w:firstLine="420" w:firstLineChars="200"/>
        <w:rPr>
          <w:rFonts w:ascii="宋体" w:hAnsi="宋体"/>
          <w:snapToGrid w:val="0"/>
          <w:sz w:val="21"/>
          <w:szCs w:val="21"/>
        </w:rPr>
      </w:pPr>
      <w:r>
        <w:rPr>
          <w:rFonts w:ascii="宋体" w:hAnsi="宋体"/>
          <w:snapToGrid w:val="0"/>
          <w:sz w:val="21"/>
          <w:szCs w:val="21"/>
        </w:rPr>
        <w:t>参与</w:t>
      </w:r>
      <w:r>
        <w:rPr>
          <w:rFonts w:hint="eastAsia" w:ascii="宋体" w:hAnsi="宋体"/>
          <w:snapToGrid w:val="0"/>
          <w:sz w:val="21"/>
          <w:szCs w:val="21"/>
        </w:rPr>
        <w:t>发包竞包</w:t>
      </w:r>
      <w:r>
        <w:rPr>
          <w:rFonts w:ascii="宋体" w:hAnsi="宋体"/>
          <w:snapToGrid w:val="0"/>
          <w:sz w:val="21"/>
          <w:szCs w:val="21"/>
        </w:rPr>
        <w:t>活动的各方应对</w:t>
      </w:r>
      <w:r>
        <w:rPr>
          <w:rFonts w:hint="eastAsia" w:ascii="宋体" w:hAnsi="宋体"/>
          <w:snapToGrid w:val="0"/>
          <w:sz w:val="21"/>
          <w:szCs w:val="21"/>
        </w:rPr>
        <w:t>发包文件</w:t>
      </w:r>
      <w:r>
        <w:rPr>
          <w:rFonts w:ascii="宋体" w:hAnsi="宋体"/>
          <w:snapToGrid w:val="0"/>
          <w:sz w:val="21"/>
          <w:szCs w:val="21"/>
        </w:rPr>
        <w:t>和</w:t>
      </w:r>
      <w:r>
        <w:rPr>
          <w:rFonts w:hint="eastAsia" w:ascii="宋体" w:hAnsi="宋体"/>
          <w:snapToGrid w:val="0"/>
          <w:sz w:val="21"/>
          <w:szCs w:val="21"/>
        </w:rPr>
        <w:t>竞包文件</w:t>
      </w:r>
      <w:r>
        <w:rPr>
          <w:rFonts w:ascii="宋体" w:hAnsi="宋体"/>
          <w:snapToGrid w:val="0"/>
          <w:sz w:val="21"/>
          <w:szCs w:val="21"/>
        </w:rPr>
        <w:t>中的商业和技术等秘密保密，违者应对由此造成的后果承担法律责任。</w:t>
      </w:r>
    </w:p>
    <w:p>
      <w:pPr>
        <w:snapToGrid w:val="0"/>
        <w:spacing w:line="374" w:lineRule="exact"/>
        <w:rPr>
          <w:rFonts w:ascii="宋体" w:hAnsi="宋体"/>
          <w:b/>
          <w:sz w:val="21"/>
          <w:szCs w:val="21"/>
        </w:rPr>
      </w:pPr>
      <w:r>
        <w:rPr>
          <w:rFonts w:ascii="宋体" w:hAnsi="宋体"/>
          <w:b/>
          <w:sz w:val="21"/>
          <w:szCs w:val="21"/>
        </w:rPr>
        <w:t>1.7 语言文字</w:t>
      </w:r>
    </w:p>
    <w:p>
      <w:pPr>
        <w:snapToGrid w:val="0"/>
        <w:spacing w:line="374" w:lineRule="exact"/>
        <w:ind w:firstLine="420" w:firstLineChars="200"/>
        <w:rPr>
          <w:rFonts w:ascii="宋体" w:hAnsi="宋体"/>
          <w:snapToGrid w:val="0"/>
          <w:sz w:val="21"/>
          <w:szCs w:val="21"/>
        </w:rPr>
      </w:pPr>
      <w:r>
        <w:rPr>
          <w:rFonts w:ascii="宋体" w:hAnsi="宋体"/>
          <w:snapToGrid w:val="0"/>
          <w:sz w:val="21"/>
          <w:szCs w:val="21"/>
        </w:rPr>
        <w:t>除专用术语外，与</w:t>
      </w:r>
      <w:r>
        <w:rPr>
          <w:rFonts w:hint="eastAsia" w:ascii="宋体" w:hAnsi="宋体"/>
          <w:snapToGrid w:val="0"/>
          <w:sz w:val="21"/>
          <w:szCs w:val="21"/>
        </w:rPr>
        <w:t>发包竞包</w:t>
      </w:r>
      <w:r>
        <w:rPr>
          <w:rFonts w:ascii="宋体" w:hAnsi="宋体"/>
          <w:snapToGrid w:val="0"/>
          <w:sz w:val="21"/>
          <w:szCs w:val="21"/>
        </w:rPr>
        <w:t>有关的语言均使用中文。必要时专用术语应附有中文注释。</w:t>
      </w:r>
    </w:p>
    <w:p>
      <w:pPr>
        <w:snapToGrid w:val="0"/>
        <w:spacing w:line="374" w:lineRule="exact"/>
        <w:rPr>
          <w:rFonts w:ascii="宋体" w:hAnsi="宋体"/>
          <w:b/>
          <w:sz w:val="21"/>
          <w:szCs w:val="21"/>
        </w:rPr>
      </w:pPr>
      <w:r>
        <w:rPr>
          <w:rFonts w:ascii="宋体" w:hAnsi="宋体"/>
          <w:b/>
          <w:sz w:val="21"/>
          <w:szCs w:val="21"/>
        </w:rPr>
        <w:t>1.8 计量单位</w:t>
      </w:r>
    </w:p>
    <w:p>
      <w:pPr>
        <w:snapToGrid w:val="0"/>
        <w:spacing w:line="374" w:lineRule="exact"/>
        <w:ind w:firstLine="420" w:firstLineChars="200"/>
        <w:rPr>
          <w:rFonts w:ascii="宋体" w:hAnsi="宋体"/>
          <w:snapToGrid w:val="0"/>
          <w:sz w:val="21"/>
          <w:szCs w:val="21"/>
        </w:rPr>
      </w:pPr>
      <w:r>
        <w:rPr>
          <w:rFonts w:ascii="宋体" w:hAnsi="宋体"/>
          <w:snapToGrid w:val="0"/>
          <w:sz w:val="21"/>
          <w:szCs w:val="21"/>
        </w:rPr>
        <w:t>所有计量均采用中华人民共和国法定计量单位。</w:t>
      </w:r>
    </w:p>
    <w:p>
      <w:pPr>
        <w:snapToGrid w:val="0"/>
        <w:spacing w:line="374" w:lineRule="exact"/>
        <w:rPr>
          <w:rFonts w:ascii="宋体" w:hAnsi="宋体"/>
          <w:b/>
          <w:sz w:val="21"/>
          <w:szCs w:val="21"/>
        </w:rPr>
      </w:pPr>
      <w:r>
        <w:rPr>
          <w:rFonts w:ascii="宋体" w:hAnsi="宋体"/>
          <w:b/>
          <w:sz w:val="21"/>
          <w:szCs w:val="21"/>
        </w:rPr>
        <w:t>1.9 踏勘现场</w:t>
      </w:r>
    </w:p>
    <w:p>
      <w:pPr>
        <w:snapToGrid w:val="0"/>
        <w:spacing w:line="374" w:lineRule="exact"/>
        <w:ind w:firstLine="420" w:firstLineChars="200"/>
        <w:rPr>
          <w:rFonts w:ascii="宋体" w:hAnsi="宋体"/>
          <w:snapToGrid w:val="0"/>
          <w:sz w:val="21"/>
          <w:szCs w:val="21"/>
        </w:rPr>
      </w:pPr>
      <w:r>
        <w:rPr>
          <w:rFonts w:ascii="宋体" w:hAnsi="宋体"/>
          <w:snapToGrid w:val="0"/>
          <w:sz w:val="21"/>
          <w:szCs w:val="21"/>
        </w:rPr>
        <w:t>1.9.1</w:t>
      </w:r>
      <w:r>
        <w:rPr>
          <w:rFonts w:hint="eastAsia" w:ascii="宋体" w:hAnsi="宋体"/>
          <w:b/>
          <w:snapToGrid w:val="0"/>
          <w:sz w:val="21"/>
          <w:szCs w:val="21"/>
        </w:rPr>
        <w:t xml:space="preserve"> 不统一组织踏勘现场，竞包人自行前往踏勘现场；</w:t>
      </w:r>
    </w:p>
    <w:p>
      <w:pPr>
        <w:snapToGrid w:val="0"/>
        <w:spacing w:line="374" w:lineRule="exact"/>
        <w:ind w:firstLine="420" w:firstLineChars="200"/>
        <w:rPr>
          <w:rFonts w:ascii="宋体" w:hAnsi="宋体"/>
          <w:snapToGrid w:val="0"/>
          <w:sz w:val="21"/>
          <w:szCs w:val="21"/>
        </w:rPr>
      </w:pPr>
      <w:r>
        <w:rPr>
          <w:rFonts w:ascii="宋体" w:hAnsi="宋体"/>
          <w:snapToGrid w:val="0"/>
          <w:sz w:val="21"/>
          <w:szCs w:val="21"/>
        </w:rPr>
        <w:t xml:space="preserve">1.9.2 </w:t>
      </w:r>
      <w:r>
        <w:rPr>
          <w:rFonts w:hint="eastAsia" w:ascii="宋体" w:hAnsi="宋体"/>
          <w:snapToGrid w:val="0"/>
          <w:sz w:val="21"/>
          <w:szCs w:val="21"/>
        </w:rPr>
        <w:t>竞包人</w:t>
      </w:r>
      <w:r>
        <w:rPr>
          <w:rFonts w:ascii="宋体" w:hAnsi="宋体"/>
          <w:snapToGrid w:val="0"/>
          <w:sz w:val="21"/>
          <w:szCs w:val="21"/>
        </w:rPr>
        <w:t>踏勘现场发生的费用自理</w:t>
      </w:r>
      <w:r>
        <w:rPr>
          <w:rFonts w:hint="eastAsia" w:ascii="宋体" w:hAnsi="宋体"/>
          <w:snapToGrid w:val="0"/>
          <w:sz w:val="21"/>
          <w:szCs w:val="21"/>
        </w:rPr>
        <w:t>；</w:t>
      </w:r>
    </w:p>
    <w:p>
      <w:pPr>
        <w:snapToGrid w:val="0"/>
        <w:spacing w:line="374" w:lineRule="exact"/>
        <w:ind w:firstLine="420" w:firstLineChars="200"/>
        <w:rPr>
          <w:rFonts w:ascii="宋体" w:hAnsi="宋体"/>
          <w:snapToGrid w:val="0"/>
          <w:sz w:val="21"/>
          <w:szCs w:val="21"/>
        </w:rPr>
      </w:pPr>
      <w:r>
        <w:rPr>
          <w:rFonts w:ascii="宋体" w:hAnsi="宋体"/>
          <w:snapToGrid w:val="0"/>
          <w:sz w:val="21"/>
          <w:szCs w:val="21"/>
        </w:rPr>
        <w:t>1.9.3 除</w:t>
      </w:r>
      <w:r>
        <w:rPr>
          <w:rFonts w:hint="eastAsia" w:ascii="宋体" w:hAnsi="宋体"/>
          <w:snapToGrid w:val="0"/>
          <w:sz w:val="21"/>
          <w:szCs w:val="21"/>
        </w:rPr>
        <w:t>发包人</w:t>
      </w:r>
      <w:r>
        <w:rPr>
          <w:rFonts w:ascii="宋体" w:hAnsi="宋体"/>
          <w:snapToGrid w:val="0"/>
          <w:sz w:val="21"/>
          <w:szCs w:val="21"/>
        </w:rPr>
        <w:t>的原因外，</w:t>
      </w:r>
      <w:r>
        <w:rPr>
          <w:rFonts w:hint="eastAsia" w:ascii="宋体" w:hAnsi="宋体"/>
          <w:snapToGrid w:val="0"/>
          <w:sz w:val="21"/>
          <w:szCs w:val="21"/>
        </w:rPr>
        <w:t>竞包人</w:t>
      </w:r>
      <w:r>
        <w:rPr>
          <w:rFonts w:ascii="宋体" w:hAnsi="宋体"/>
          <w:snapToGrid w:val="0"/>
          <w:sz w:val="21"/>
          <w:szCs w:val="21"/>
        </w:rPr>
        <w:t>自行负责在踏勘现场中所发生的人员伤亡和财产损失</w:t>
      </w:r>
      <w:r>
        <w:rPr>
          <w:rFonts w:hint="eastAsia" w:ascii="宋体" w:hAnsi="宋体"/>
          <w:snapToGrid w:val="0"/>
          <w:sz w:val="21"/>
          <w:szCs w:val="21"/>
        </w:rPr>
        <w:t>；</w:t>
      </w:r>
    </w:p>
    <w:p>
      <w:pPr>
        <w:snapToGrid w:val="0"/>
        <w:spacing w:line="374" w:lineRule="exact"/>
        <w:ind w:firstLine="420" w:firstLineChars="200"/>
        <w:rPr>
          <w:rFonts w:ascii="宋体" w:hAnsi="宋体"/>
          <w:snapToGrid w:val="0"/>
          <w:sz w:val="21"/>
          <w:szCs w:val="21"/>
        </w:rPr>
      </w:pPr>
      <w:r>
        <w:rPr>
          <w:rFonts w:ascii="宋体" w:hAnsi="宋体"/>
          <w:snapToGrid w:val="0"/>
          <w:sz w:val="21"/>
          <w:szCs w:val="21"/>
        </w:rPr>
        <w:t xml:space="preserve">1.9.4 </w:t>
      </w:r>
      <w:r>
        <w:rPr>
          <w:rFonts w:hint="eastAsia" w:ascii="宋体" w:hAnsi="宋体"/>
          <w:snapToGrid w:val="0"/>
          <w:sz w:val="21"/>
          <w:szCs w:val="21"/>
        </w:rPr>
        <w:t>发包人</w:t>
      </w:r>
      <w:r>
        <w:rPr>
          <w:rFonts w:ascii="宋体" w:hAnsi="宋体"/>
          <w:snapToGrid w:val="0"/>
          <w:sz w:val="21"/>
          <w:szCs w:val="21"/>
        </w:rPr>
        <w:t>在踏勘现场中介绍的工程场地和相关的周边环境情况，供</w:t>
      </w:r>
      <w:r>
        <w:rPr>
          <w:rFonts w:hint="eastAsia" w:ascii="宋体" w:hAnsi="宋体"/>
          <w:snapToGrid w:val="0"/>
          <w:sz w:val="21"/>
          <w:szCs w:val="21"/>
        </w:rPr>
        <w:t>竞包人</w:t>
      </w:r>
      <w:r>
        <w:rPr>
          <w:rFonts w:ascii="宋体" w:hAnsi="宋体"/>
          <w:snapToGrid w:val="0"/>
          <w:sz w:val="21"/>
          <w:szCs w:val="21"/>
        </w:rPr>
        <w:t>在编制</w:t>
      </w:r>
      <w:r>
        <w:rPr>
          <w:rFonts w:hint="eastAsia" w:ascii="宋体" w:hAnsi="宋体"/>
          <w:snapToGrid w:val="0"/>
          <w:sz w:val="21"/>
          <w:szCs w:val="21"/>
        </w:rPr>
        <w:t>竞包文件</w:t>
      </w:r>
      <w:r>
        <w:rPr>
          <w:rFonts w:ascii="宋体" w:hAnsi="宋体"/>
          <w:snapToGrid w:val="0"/>
          <w:sz w:val="21"/>
          <w:szCs w:val="21"/>
        </w:rPr>
        <w:t>时参考，</w:t>
      </w:r>
      <w:r>
        <w:rPr>
          <w:rFonts w:hint="eastAsia" w:ascii="宋体" w:hAnsi="宋体"/>
          <w:snapToGrid w:val="0"/>
          <w:sz w:val="21"/>
          <w:szCs w:val="21"/>
        </w:rPr>
        <w:t>发包人</w:t>
      </w:r>
      <w:r>
        <w:rPr>
          <w:rFonts w:ascii="宋体" w:hAnsi="宋体"/>
          <w:snapToGrid w:val="0"/>
          <w:sz w:val="21"/>
          <w:szCs w:val="21"/>
        </w:rPr>
        <w:t>不对</w:t>
      </w:r>
      <w:r>
        <w:rPr>
          <w:rFonts w:hint="eastAsia" w:ascii="宋体" w:hAnsi="宋体"/>
          <w:snapToGrid w:val="0"/>
          <w:sz w:val="21"/>
          <w:szCs w:val="21"/>
        </w:rPr>
        <w:t>竞包人</w:t>
      </w:r>
      <w:r>
        <w:rPr>
          <w:rFonts w:ascii="宋体" w:hAnsi="宋体"/>
          <w:snapToGrid w:val="0"/>
          <w:sz w:val="21"/>
          <w:szCs w:val="21"/>
        </w:rPr>
        <w:t>据此作出的判断和决策负责。</w:t>
      </w:r>
    </w:p>
    <w:p>
      <w:pPr>
        <w:snapToGrid w:val="0"/>
        <w:spacing w:line="374" w:lineRule="exact"/>
        <w:rPr>
          <w:rFonts w:ascii="宋体" w:hAnsi="宋体"/>
          <w:b/>
          <w:sz w:val="21"/>
          <w:szCs w:val="21"/>
        </w:rPr>
      </w:pPr>
      <w:r>
        <w:rPr>
          <w:rFonts w:ascii="宋体" w:hAnsi="宋体"/>
          <w:b/>
          <w:sz w:val="21"/>
          <w:szCs w:val="21"/>
        </w:rPr>
        <w:t xml:space="preserve">1.10 </w:t>
      </w:r>
      <w:r>
        <w:rPr>
          <w:rFonts w:hint="eastAsia" w:ascii="宋体" w:hAnsi="宋体"/>
          <w:b/>
          <w:sz w:val="21"/>
          <w:szCs w:val="21"/>
        </w:rPr>
        <w:t>竞包</w:t>
      </w:r>
      <w:r>
        <w:rPr>
          <w:rFonts w:ascii="宋体" w:hAnsi="宋体"/>
          <w:b/>
          <w:sz w:val="21"/>
          <w:szCs w:val="21"/>
        </w:rPr>
        <w:t>预备会</w:t>
      </w:r>
    </w:p>
    <w:p>
      <w:pPr>
        <w:snapToGrid w:val="0"/>
        <w:spacing w:line="374" w:lineRule="exact"/>
        <w:ind w:firstLine="420" w:firstLineChars="200"/>
        <w:rPr>
          <w:rFonts w:ascii="宋体" w:hAnsi="宋体"/>
          <w:snapToGrid w:val="0"/>
          <w:sz w:val="21"/>
          <w:szCs w:val="21"/>
        </w:rPr>
      </w:pPr>
      <w:r>
        <w:rPr>
          <w:rFonts w:ascii="宋体" w:hAnsi="宋体"/>
          <w:snapToGrid w:val="0"/>
          <w:sz w:val="21"/>
          <w:szCs w:val="21"/>
        </w:rPr>
        <w:t xml:space="preserve">1.10.1 </w:t>
      </w:r>
      <w:r>
        <w:rPr>
          <w:rFonts w:hint="eastAsia" w:ascii="宋体" w:hAnsi="宋体"/>
          <w:b/>
          <w:snapToGrid w:val="0"/>
          <w:sz w:val="21"/>
          <w:szCs w:val="21"/>
        </w:rPr>
        <w:t>不</w:t>
      </w:r>
      <w:r>
        <w:rPr>
          <w:rFonts w:ascii="宋体" w:hAnsi="宋体"/>
          <w:b/>
          <w:snapToGrid w:val="0"/>
          <w:sz w:val="21"/>
          <w:szCs w:val="21"/>
        </w:rPr>
        <w:t>召开</w:t>
      </w:r>
      <w:r>
        <w:rPr>
          <w:rFonts w:hint="eastAsia" w:ascii="宋体" w:hAnsi="宋体"/>
          <w:b/>
          <w:snapToGrid w:val="0"/>
          <w:sz w:val="21"/>
          <w:szCs w:val="21"/>
        </w:rPr>
        <w:t>竞包</w:t>
      </w:r>
      <w:r>
        <w:rPr>
          <w:rFonts w:ascii="宋体" w:hAnsi="宋体"/>
          <w:b/>
          <w:snapToGrid w:val="0"/>
          <w:sz w:val="21"/>
          <w:szCs w:val="21"/>
        </w:rPr>
        <w:t>预备会</w:t>
      </w:r>
      <w:r>
        <w:rPr>
          <w:rFonts w:ascii="宋体" w:hAnsi="宋体"/>
          <w:snapToGrid w:val="0"/>
          <w:sz w:val="21"/>
          <w:szCs w:val="21"/>
        </w:rPr>
        <w:t>。</w:t>
      </w:r>
    </w:p>
    <w:p>
      <w:pPr>
        <w:snapToGrid w:val="0"/>
        <w:spacing w:line="374" w:lineRule="exact"/>
        <w:rPr>
          <w:rFonts w:ascii="宋体" w:hAnsi="宋体"/>
          <w:b/>
          <w:sz w:val="21"/>
          <w:szCs w:val="21"/>
        </w:rPr>
      </w:pPr>
      <w:r>
        <w:rPr>
          <w:rFonts w:ascii="宋体" w:hAnsi="宋体"/>
          <w:b/>
          <w:sz w:val="21"/>
          <w:szCs w:val="21"/>
        </w:rPr>
        <w:t>1.11 分包</w:t>
      </w:r>
    </w:p>
    <w:p>
      <w:pPr>
        <w:snapToGrid w:val="0"/>
        <w:spacing w:line="374" w:lineRule="exact"/>
        <w:ind w:firstLine="420" w:firstLineChars="200"/>
        <w:rPr>
          <w:rFonts w:ascii="宋体" w:hAnsi="宋体"/>
          <w:b/>
          <w:snapToGrid w:val="0"/>
          <w:sz w:val="21"/>
          <w:szCs w:val="21"/>
        </w:rPr>
      </w:pPr>
      <w:r>
        <w:rPr>
          <w:rFonts w:hint="eastAsia" w:ascii="宋体" w:hAnsi="宋体"/>
          <w:b/>
          <w:snapToGrid w:val="0"/>
          <w:sz w:val="21"/>
          <w:szCs w:val="21"/>
        </w:rPr>
        <w:t>不允许分包。</w:t>
      </w:r>
    </w:p>
    <w:p>
      <w:pPr>
        <w:snapToGrid w:val="0"/>
        <w:spacing w:line="374" w:lineRule="exact"/>
        <w:rPr>
          <w:rFonts w:ascii="宋体" w:hAnsi="宋体"/>
          <w:b/>
          <w:sz w:val="21"/>
          <w:szCs w:val="21"/>
        </w:rPr>
      </w:pPr>
      <w:r>
        <w:rPr>
          <w:rFonts w:ascii="宋体" w:hAnsi="宋体"/>
          <w:b/>
          <w:sz w:val="21"/>
          <w:szCs w:val="21"/>
        </w:rPr>
        <w:t>1.12 偏离</w:t>
      </w:r>
    </w:p>
    <w:p>
      <w:pPr>
        <w:pStyle w:val="4"/>
        <w:rPr>
          <w:rFonts w:ascii="宋体" w:hAnsi="宋体" w:eastAsiaTheme="minorEastAsia"/>
          <w:snapToGrid w:val="0"/>
          <w:sz w:val="21"/>
          <w:szCs w:val="21"/>
        </w:rPr>
      </w:pPr>
      <w:bookmarkStart w:id="30" w:name="_Toc450405868"/>
      <w:bookmarkStart w:id="31" w:name="_Toc452839259"/>
      <w:bookmarkStart w:id="32" w:name="_Toc261333112"/>
      <w:bookmarkStart w:id="33" w:name="_Toc251245629"/>
      <w:bookmarkStart w:id="34" w:name="_Toc271200544"/>
      <w:bookmarkStart w:id="35" w:name="_Toc271220710"/>
      <w:bookmarkStart w:id="36" w:name="_Toc259802191"/>
      <w:bookmarkStart w:id="37" w:name="_Toc251597984"/>
      <w:r>
        <w:rPr>
          <w:rFonts w:hint="eastAsia" w:ascii="宋体" w:hAnsi="宋体" w:eastAsiaTheme="minorEastAsia"/>
          <w:snapToGrid w:val="0"/>
          <w:sz w:val="21"/>
          <w:szCs w:val="21"/>
        </w:rPr>
        <w:t>竞包文件不允许偏离发包文件的实质性要求和条件。竞包文件偏离发包文件的非实质性要求和条件的，其处理方式见竞包人须知前附表。</w:t>
      </w:r>
      <w:bookmarkEnd w:id="30"/>
      <w:bookmarkEnd w:id="31"/>
    </w:p>
    <w:p>
      <w:pPr>
        <w:pStyle w:val="6"/>
        <w:snapToGrid w:val="0"/>
        <w:spacing w:line="374" w:lineRule="exact"/>
        <w:jc w:val="both"/>
        <w:rPr>
          <w:rFonts w:ascii="宋体" w:hAnsi="宋体" w:eastAsia="宋体"/>
          <w:snapToGrid w:val="0"/>
          <w:sz w:val="21"/>
          <w:szCs w:val="21"/>
        </w:rPr>
      </w:pPr>
      <w:bookmarkStart w:id="38" w:name="_Toc20305"/>
      <w:r>
        <w:rPr>
          <w:rFonts w:ascii="宋体" w:hAnsi="宋体" w:eastAsia="宋体"/>
          <w:snapToGrid w:val="0"/>
          <w:sz w:val="21"/>
          <w:szCs w:val="21"/>
        </w:rPr>
        <w:t xml:space="preserve">2 </w:t>
      </w:r>
      <w:bookmarkEnd w:id="32"/>
      <w:bookmarkEnd w:id="33"/>
      <w:bookmarkEnd w:id="34"/>
      <w:bookmarkEnd w:id="35"/>
      <w:bookmarkEnd w:id="36"/>
      <w:bookmarkEnd w:id="37"/>
      <w:bookmarkEnd w:id="38"/>
      <w:r>
        <w:rPr>
          <w:rFonts w:hint="eastAsia" w:ascii="宋体" w:hAnsi="宋体" w:eastAsia="宋体"/>
          <w:snapToGrid w:val="0"/>
          <w:sz w:val="21"/>
          <w:szCs w:val="21"/>
        </w:rPr>
        <w:t>发包文件</w:t>
      </w:r>
    </w:p>
    <w:p>
      <w:pPr>
        <w:snapToGrid w:val="0"/>
        <w:spacing w:line="374" w:lineRule="exact"/>
        <w:rPr>
          <w:rFonts w:ascii="宋体" w:hAnsi="宋体"/>
          <w:b/>
          <w:sz w:val="21"/>
          <w:szCs w:val="21"/>
        </w:rPr>
      </w:pPr>
      <w:r>
        <w:rPr>
          <w:rFonts w:ascii="宋体" w:hAnsi="宋体"/>
          <w:b/>
          <w:sz w:val="21"/>
          <w:szCs w:val="21"/>
        </w:rPr>
        <w:t xml:space="preserve">2.1 </w:t>
      </w:r>
      <w:r>
        <w:rPr>
          <w:rFonts w:hint="eastAsia" w:ascii="宋体" w:hAnsi="宋体"/>
          <w:b/>
          <w:sz w:val="21"/>
          <w:szCs w:val="21"/>
        </w:rPr>
        <w:t>发包文件</w:t>
      </w:r>
      <w:r>
        <w:rPr>
          <w:rFonts w:ascii="宋体" w:hAnsi="宋体"/>
          <w:b/>
          <w:sz w:val="21"/>
          <w:szCs w:val="21"/>
        </w:rPr>
        <w:t>的组成</w:t>
      </w:r>
    </w:p>
    <w:p>
      <w:pPr>
        <w:snapToGrid w:val="0"/>
        <w:spacing w:line="374" w:lineRule="exact"/>
        <w:ind w:firstLine="420" w:firstLineChars="200"/>
        <w:rPr>
          <w:rFonts w:ascii="宋体" w:hAnsi="宋体"/>
          <w:snapToGrid w:val="0"/>
          <w:sz w:val="21"/>
          <w:szCs w:val="21"/>
        </w:rPr>
      </w:pPr>
      <w:r>
        <w:rPr>
          <w:rFonts w:ascii="宋体" w:hAnsi="宋体"/>
          <w:snapToGrid w:val="0"/>
          <w:sz w:val="21"/>
          <w:szCs w:val="21"/>
        </w:rPr>
        <w:t>本</w:t>
      </w:r>
      <w:r>
        <w:rPr>
          <w:rFonts w:hint="eastAsia" w:ascii="宋体" w:hAnsi="宋体"/>
          <w:snapToGrid w:val="0"/>
          <w:sz w:val="21"/>
          <w:szCs w:val="21"/>
        </w:rPr>
        <w:t>发包文件</w:t>
      </w:r>
      <w:r>
        <w:rPr>
          <w:rFonts w:ascii="宋体" w:hAnsi="宋体"/>
          <w:snapToGrid w:val="0"/>
          <w:sz w:val="21"/>
          <w:szCs w:val="21"/>
        </w:rPr>
        <w:t>包括：</w:t>
      </w:r>
    </w:p>
    <w:p>
      <w:pPr>
        <w:snapToGrid w:val="0"/>
        <w:spacing w:line="374" w:lineRule="exact"/>
        <w:ind w:firstLine="420" w:firstLineChars="200"/>
        <w:rPr>
          <w:rFonts w:ascii="宋体" w:hAnsi="宋体"/>
          <w:snapToGrid w:val="0"/>
          <w:sz w:val="21"/>
          <w:szCs w:val="21"/>
        </w:rPr>
      </w:pPr>
      <w:r>
        <w:rPr>
          <w:rFonts w:ascii="宋体" w:hAnsi="宋体"/>
          <w:snapToGrid w:val="0"/>
          <w:sz w:val="21"/>
          <w:szCs w:val="21"/>
        </w:rPr>
        <w:t>(1</w:t>
      </w:r>
      <w:r>
        <w:rPr>
          <w:rFonts w:hint="eastAsia" w:ascii="宋体" w:hAnsi="宋体"/>
          <w:snapToGrid w:val="0"/>
          <w:sz w:val="21"/>
          <w:szCs w:val="21"/>
        </w:rPr>
        <w:t>) 发包公告</w:t>
      </w:r>
      <w:r>
        <w:rPr>
          <w:rFonts w:ascii="宋体" w:hAnsi="宋体"/>
          <w:snapToGrid w:val="0"/>
          <w:sz w:val="21"/>
          <w:szCs w:val="21"/>
        </w:rPr>
        <w:t xml:space="preserve">； </w:t>
      </w:r>
    </w:p>
    <w:p>
      <w:pPr>
        <w:snapToGrid w:val="0"/>
        <w:spacing w:line="374" w:lineRule="exact"/>
        <w:ind w:firstLine="420" w:firstLineChars="200"/>
        <w:rPr>
          <w:rFonts w:ascii="宋体" w:hAnsi="宋体"/>
          <w:snapToGrid w:val="0"/>
          <w:sz w:val="21"/>
          <w:szCs w:val="21"/>
        </w:rPr>
      </w:pPr>
      <w:r>
        <w:rPr>
          <w:rFonts w:ascii="宋体" w:hAnsi="宋体"/>
          <w:snapToGrid w:val="0"/>
          <w:sz w:val="21"/>
          <w:szCs w:val="21"/>
        </w:rPr>
        <w:t>(2</w:t>
      </w:r>
      <w:r>
        <w:rPr>
          <w:rFonts w:hint="eastAsia" w:ascii="宋体" w:hAnsi="宋体"/>
          <w:snapToGrid w:val="0"/>
          <w:sz w:val="21"/>
          <w:szCs w:val="21"/>
        </w:rPr>
        <w:t>) 竞包人</w:t>
      </w:r>
      <w:r>
        <w:rPr>
          <w:rFonts w:ascii="宋体" w:hAnsi="宋体"/>
          <w:snapToGrid w:val="0"/>
          <w:sz w:val="21"/>
          <w:szCs w:val="21"/>
        </w:rPr>
        <w:t>须知；</w:t>
      </w:r>
    </w:p>
    <w:p>
      <w:pPr>
        <w:snapToGrid w:val="0"/>
        <w:spacing w:line="374" w:lineRule="exact"/>
        <w:ind w:firstLine="420" w:firstLineChars="200"/>
        <w:rPr>
          <w:rFonts w:ascii="宋体" w:hAnsi="宋体"/>
          <w:snapToGrid w:val="0"/>
          <w:sz w:val="21"/>
          <w:szCs w:val="21"/>
        </w:rPr>
      </w:pPr>
      <w:r>
        <w:rPr>
          <w:rFonts w:ascii="宋体" w:hAnsi="宋体"/>
          <w:snapToGrid w:val="0"/>
          <w:sz w:val="21"/>
          <w:szCs w:val="21"/>
        </w:rPr>
        <w:t>(3</w:t>
      </w:r>
      <w:r>
        <w:rPr>
          <w:rFonts w:hint="eastAsia" w:ascii="宋体" w:hAnsi="宋体"/>
          <w:snapToGrid w:val="0"/>
          <w:sz w:val="21"/>
          <w:szCs w:val="21"/>
        </w:rPr>
        <w:t>) 评审</w:t>
      </w:r>
      <w:r>
        <w:rPr>
          <w:rFonts w:ascii="宋体" w:hAnsi="宋体"/>
          <w:snapToGrid w:val="0"/>
          <w:sz w:val="21"/>
          <w:szCs w:val="21"/>
        </w:rPr>
        <w:t>办法；</w:t>
      </w:r>
    </w:p>
    <w:p>
      <w:pPr>
        <w:snapToGrid w:val="0"/>
        <w:spacing w:line="374" w:lineRule="exact"/>
        <w:ind w:firstLine="420" w:firstLineChars="200"/>
        <w:rPr>
          <w:rFonts w:ascii="宋体" w:hAnsi="宋体"/>
          <w:snapToGrid w:val="0"/>
          <w:sz w:val="21"/>
          <w:szCs w:val="21"/>
        </w:rPr>
      </w:pPr>
      <w:r>
        <w:rPr>
          <w:rFonts w:ascii="宋体" w:hAnsi="宋体"/>
          <w:snapToGrid w:val="0"/>
          <w:sz w:val="21"/>
          <w:szCs w:val="21"/>
        </w:rPr>
        <w:t>(4</w:t>
      </w:r>
      <w:r>
        <w:rPr>
          <w:rFonts w:hint="eastAsia" w:ascii="宋体" w:hAnsi="宋体"/>
          <w:snapToGrid w:val="0"/>
          <w:sz w:val="21"/>
          <w:szCs w:val="21"/>
        </w:rPr>
        <w:t xml:space="preserve">) </w:t>
      </w:r>
      <w:r>
        <w:rPr>
          <w:rFonts w:ascii="宋体" w:hAnsi="宋体"/>
          <w:snapToGrid w:val="0"/>
          <w:sz w:val="21"/>
          <w:szCs w:val="21"/>
        </w:rPr>
        <w:t>合同条款及格式；</w:t>
      </w:r>
    </w:p>
    <w:p>
      <w:pPr>
        <w:snapToGrid w:val="0"/>
        <w:spacing w:line="374" w:lineRule="exact"/>
        <w:ind w:firstLine="420" w:firstLineChars="200"/>
        <w:rPr>
          <w:rFonts w:ascii="宋体" w:hAnsi="宋体"/>
          <w:snapToGrid w:val="0"/>
          <w:sz w:val="21"/>
          <w:szCs w:val="21"/>
        </w:rPr>
      </w:pPr>
      <w:r>
        <w:rPr>
          <w:rFonts w:ascii="宋体" w:hAnsi="宋体"/>
          <w:snapToGrid w:val="0"/>
          <w:sz w:val="21"/>
          <w:szCs w:val="21"/>
        </w:rPr>
        <w:t>(5</w:t>
      </w:r>
      <w:r>
        <w:rPr>
          <w:rFonts w:hint="eastAsia" w:ascii="宋体" w:hAnsi="宋体"/>
          <w:snapToGrid w:val="0"/>
          <w:sz w:val="21"/>
          <w:szCs w:val="21"/>
        </w:rPr>
        <w:t xml:space="preserve">) </w:t>
      </w:r>
      <w:r>
        <w:rPr>
          <w:rFonts w:ascii="宋体" w:hAnsi="宋体"/>
          <w:snapToGrid w:val="0"/>
          <w:sz w:val="21"/>
          <w:szCs w:val="21"/>
        </w:rPr>
        <w:t>工程量清单；</w:t>
      </w:r>
    </w:p>
    <w:p>
      <w:pPr>
        <w:snapToGrid w:val="0"/>
        <w:spacing w:line="374" w:lineRule="exact"/>
        <w:ind w:firstLine="420" w:firstLineChars="200"/>
        <w:rPr>
          <w:rFonts w:ascii="宋体" w:hAnsi="宋体"/>
          <w:snapToGrid w:val="0"/>
          <w:sz w:val="21"/>
          <w:szCs w:val="21"/>
        </w:rPr>
      </w:pPr>
      <w:r>
        <w:rPr>
          <w:rFonts w:ascii="宋体" w:hAnsi="宋体"/>
          <w:snapToGrid w:val="0"/>
          <w:sz w:val="21"/>
          <w:szCs w:val="21"/>
        </w:rPr>
        <w:t>(6</w:t>
      </w:r>
      <w:r>
        <w:rPr>
          <w:rFonts w:hint="eastAsia" w:ascii="宋体" w:hAnsi="宋体"/>
          <w:snapToGrid w:val="0"/>
          <w:sz w:val="21"/>
          <w:szCs w:val="21"/>
        </w:rPr>
        <w:t xml:space="preserve">) </w:t>
      </w:r>
      <w:r>
        <w:rPr>
          <w:rFonts w:ascii="宋体" w:hAnsi="宋体"/>
          <w:snapToGrid w:val="0"/>
          <w:sz w:val="21"/>
          <w:szCs w:val="21"/>
        </w:rPr>
        <w:t>图纸；</w:t>
      </w:r>
    </w:p>
    <w:p>
      <w:pPr>
        <w:snapToGrid w:val="0"/>
        <w:spacing w:line="374" w:lineRule="exact"/>
        <w:ind w:firstLine="420" w:firstLineChars="200"/>
        <w:rPr>
          <w:rFonts w:ascii="宋体" w:hAnsi="宋体"/>
          <w:snapToGrid w:val="0"/>
          <w:sz w:val="21"/>
          <w:szCs w:val="21"/>
        </w:rPr>
      </w:pPr>
      <w:r>
        <w:rPr>
          <w:rFonts w:ascii="宋体" w:hAnsi="宋体"/>
          <w:snapToGrid w:val="0"/>
          <w:sz w:val="21"/>
          <w:szCs w:val="21"/>
        </w:rPr>
        <w:t>(7</w:t>
      </w:r>
      <w:r>
        <w:rPr>
          <w:rFonts w:hint="eastAsia" w:ascii="宋体" w:hAnsi="宋体"/>
          <w:snapToGrid w:val="0"/>
          <w:sz w:val="21"/>
          <w:szCs w:val="21"/>
        </w:rPr>
        <w:t>) 技术标</w:t>
      </w:r>
      <w:r>
        <w:rPr>
          <w:rFonts w:ascii="宋体" w:hAnsi="宋体"/>
          <w:snapToGrid w:val="0"/>
          <w:sz w:val="21"/>
          <w:szCs w:val="21"/>
        </w:rPr>
        <w:t>准和要求；</w:t>
      </w:r>
    </w:p>
    <w:p>
      <w:pPr>
        <w:snapToGrid w:val="0"/>
        <w:spacing w:line="374" w:lineRule="exact"/>
        <w:ind w:firstLine="420" w:firstLineChars="200"/>
        <w:rPr>
          <w:rFonts w:ascii="宋体" w:hAnsi="宋体"/>
          <w:snapToGrid w:val="0"/>
          <w:sz w:val="21"/>
          <w:szCs w:val="21"/>
        </w:rPr>
      </w:pPr>
      <w:r>
        <w:rPr>
          <w:rFonts w:ascii="宋体" w:hAnsi="宋体"/>
          <w:snapToGrid w:val="0"/>
          <w:sz w:val="21"/>
          <w:szCs w:val="21"/>
        </w:rPr>
        <w:t>(8</w:t>
      </w:r>
      <w:r>
        <w:rPr>
          <w:rFonts w:hint="eastAsia" w:ascii="宋体" w:hAnsi="宋体"/>
          <w:snapToGrid w:val="0"/>
          <w:sz w:val="21"/>
          <w:szCs w:val="21"/>
        </w:rPr>
        <w:t>) 竞包文件</w:t>
      </w:r>
      <w:r>
        <w:rPr>
          <w:rFonts w:ascii="宋体" w:hAnsi="宋体"/>
          <w:snapToGrid w:val="0"/>
          <w:sz w:val="21"/>
          <w:szCs w:val="21"/>
        </w:rPr>
        <w:t>格式；</w:t>
      </w:r>
    </w:p>
    <w:p>
      <w:pPr>
        <w:snapToGrid w:val="0"/>
        <w:spacing w:line="374" w:lineRule="exact"/>
        <w:ind w:firstLine="420" w:firstLineChars="200"/>
        <w:rPr>
          <w:rFonts w:ascii="宋体" w:hAnsi="宋体"/>
          <w:snapToGrid w:val="0"/>
          <w:sz w:val="21"/>
          <w:szCs w:val="21"/>
        </w:rPr>
      </w:pPr>
      <w:r>
        <w:rPr>
          <w:rFonts w:ascii="宋体" w:hAnsi="宋体"/>
          <w:snapToGrid w:val="0"/>
          <w:sz w:val="21"/>
          <w:szCs w:val="21"/>
        </w:rPr>
        <w:t>(9</w:t>
      </w:r>
      <w:r>
        <w:rPr>
          <w:rFonts w:hint="eastAsia" w:ascii="宋体" w:hAnsi="宋体"/>
          <w:snapToGrid w:val="0"/>
          <w:sz w:val="21"/>
          <w:szCs w:val="21"/>
        </w:rPr>
        <w:t>) 竞包人</w:t>
      </w:r>
      <w:r>
        <w:rPr>
          <w:rFonts w:ascii="宋体" w:hAnsi="宋体"/>
          <w:snapToGrid w:val="0"/>
          <w:sz w:val="21"/>
          <w:szCs w:val="21"/>
        </w:rPr>
        <w:t>须知前附表规定的其他材料。</w:t>
      </w:r>
    </w:p>
    <w:p>
      <w:pPr>
        <w:snapToGrid w:val="0"/>
        <w:spacing w:line="374" w:lineRule="exact"/>
        <w:ind w:firstLine="404" w:firstLineChars="200"/>
        <w:rPr>
          <w:rFonts w:ascii="宋体" w:hAnsi="宋体"/>
          <w:snapToGrid w:val="0"/>
          <w:spacing w:val="-4"/>
          <w:sz w:val="21"/>
          <w:szCs w:val="21"/>
        </w:rPr>
      </w:pPr>
      <w:r>
        <w:rPr>
          <w:rFonts w:ascii="宋体" w:hAnsi="宋体"/>
          <w:snapToGrid w:val="0"/>
          <w:spacing w:val="-4"/>
          <w:sz w:val="21"/>
          <w:szCs w:val="21"/>
        </w:rPr>
        <w:t>根据本章第1.10款、第2.2款和第2.3款对</w:t>
      </w:r>
      <w:r>
        <w:rPr>
          <w:rFonts w:hint="eastAsia" w:ascii="宋体" w:hAnsi="宋体"/>
          <w:snapToGrid w:val="0"/>
          <w:spacing w:val="-4"/>
          <w:sz w:val="21"/>
          <w:szCs w:val="21"/>
        </w:rPr>
        <w:t>发包文件</w:t>
      </w:r>
      <w:r>
        <w:rPr>
          <w:rFonts w:ascii="宋体" w:hAnsi="宋体"/>
          <w:snapToGrid w:val="0"/>
          <w:spacing w:val="-4"/>
          <w:sz w:val="21"/>
          <w:szCs w:val="21"/>
        </w:rPr>
        <w:t>所作的澄清、修改，构成</w:t>
      </w:r>
      <w:r>
        <w:rPr>
          <w:rFonts w:hint="eastAsia" w:ascii="宋体" w:hAnsi="宋体"/>
          <w:snapToGrid w:val="0"/>
          <w:spacing w:val="-4"/>
          <w:sz w:val="21"/>
          <w:szCs w:val="21"/>
        </w:rPr>
        <w:t>发包文件</w:t>
      </w:r>
      <w:r>
        <w:rPr>
          <w:rFonts w:ascii="宋体" w:hAnsi="宋体"/>
          <w:snapToGrid w:val="0"/>
          <w:spacing w:val="-4"/>
          <w:sz w:val="21"/>
          <w:szCs w:val="21"/>
        </w:rPr>
        <w:t>的组成部分。</w:t>
      </w:r>
    </w:p>
    <w:p>
      <w:pPr>
        <w:snapToGrid w:val="0"/>
        <w:spacing w:line="374" w:lineRule="exact"/>
        <w:rPr>
          <w:rFonts w:ascii="宋体" w:hAnsi="宋体" w:eastAsia="仿宋"/>
          <w:b/>
          <w:sz w:val="21"/>
          <w:szCs w:val="21"/>
        </w:rPr>
      </w:pPr>
      <w:r>
        <w:rPr>
          <w:rFonts w:ascii="宋体" w:hAnsi="宋体"/>
          <w:b/>
          <w:sz w:val="21"/>
          <w:szCs w:val="21"/>
        </w:rPr>
        <w:t xml:space="preserve">2.2 </w:t>
      </w:r>
      <w:r>
        <w:rPr>
          <w:rFonts w:hint="eastAsia" w:ascii="宋体" w:hAnsi="宋体"/>
          <w:b/>
          <w:sz w:val="21"/>
          <w:szCs w:val="21"/>
        </w:rPr>
        <w:t>发包文件</w:t>
      </w:r>
      <w:r>
        <w:rPr>
          <w:rFonts w:ascii="宋体" w:hAnsi="宋体"/>
          <w:b/>
          <w:sz w:val="21"/>
          <w:szCs w:val="21"/>
        </w:rPr>
        <w:t>的</w:t>
      </w:r>
      <w:r>
        <w:rPr>
          <w:rFonts w:hint="eastAsia" w:ascii="宋体" w:hAnsi="宋体"/>
          <w:b/>
          <w:sz w:val="21"/>
          <w:szCs w:val="21"/>
        </w:rPr>
        <w:t>提疑、答疑澄清方式</w:t>
      </w:r>
    </w:p>
    <w:p>
      <w:pPr>
        <w:snapToGrid w:val="0"/>
        <w:spacing w:line="374" w:lineRule="exact"/>
        <w:ind w:firstLine="420" w:firstLineChars="200"/>
        <w:rPr>
          <w:rFonts w:ascii="宋体" w:hAnsi="宋体"/>
          <w:snapToGrid w:val="0"/>
          <w:sz w:val="21"/>
          <w:szCs w:val="21"/>
        </w:rPr>
      </w:pPr>
      <w:r>
        <w:rPr>
          <w:rFonts w:ascii="宋体" w:hAnsi="宋体"/>
          <w:snapToGrid w:val="0"/>
          <w:sz w:val="21"/>
          <w:szCs w:val="21"/>
        </w:rPr>
        <w:t>2.2.1</w:t>
      </w:r>
      <w:r>
        <w:rPr>
          <w:rFonts w:hint="eastAsia" w:ascii="宋体" w:hAnsi="宋体"/>
          <w:snapToGrid w:val="0"/>
          <w:sz w:val="21"/>
          <w:szCs w:val="21"/>
        </w:rPr>
        <w:t>提疑：竞包人对发包文件、项目清单、施工图纸等有任何疑问，应于规定的提疑截止时间前通过登陆湖州市公共资源交易信息网—湖州市限额发包平台—交易主体登录—电子招投标交易平台—网上提问，进行提疑；或于规定的提疑截止时间前在湖州市公共资源交易信息网—湖州市限额发包平台—“水利栏-发包公告”中相应工程的公告中的“提问”区进行提疑；</w:t>
      </w:r>
    </w:p>
    <w:p>
      <w:pPr>
        <w:snapToGrid w:val="0"/>
        <w:spacing w:line="374" w:lineRule="exact"/>
        <w:ind w:firstLine="420" w:firstLineChars="200"/>
        <w:rPr>
          <w:rFonts w:ascii="宋体" w:hAnsi="宋体"/>
          <w:snapToGrid w:val="0"/>
          <w:sz w:val="21"/>
          <w:szCs w:val="21"/>
        </w:rPr>
      </w:pPr>
      <w:r>
        <w:rPr>
          <w:rFonts w:hint="eastAsia" w:ascii="宋体" w:hAnsi="宋体"/>
          <w:snapToGrid w:val="0"/>
          <w:sz w:val="21"/>
          <w:szCs w:val="21"/>
        </w:rPr>
        <w:t>2.2.2答疑澄清：无论是发包人根据需要主动对发包文件进行必要的澄清，或是根据竞包人的对发包文件提交的疑问，发包人都将于规定的修改发包文件截止时间前通过湖州市公共资源交易系统进行发布。</w:t>
      </w:r>
    </w:p>
    <w:p>
      <w:pPr>
        <w:snapToGrid w:val="0"/>
        <w:spacing w:line="374" w:lineRule="exact"/>
        <w:ind w:firstLine="420" w:firstLineChars="200"/>
        <w:rPr>
          <w:rFonts w:ascii="宋体" w:hAnsi="宋体"/>
          <w:snapToGrid w:val="0"/>
          <w:sz w:val="21"/>
          <w:szCs w:val="21"/>
        </w:rPr>
      </w:pPr>
      <w:r>
        <w:rPr>
          <w:rFonts w:hint="eastAsia" w:ascii="宋体" w:hAnsi="宋体"/>
          <w:snapToGrid w:val="0"/>
          <w:sz w:val="21"/>
          <w:szCs w:val="21"/>
        </w:rPr>
        <w:t>2.2.3查看答疑：竞包人应在截标时间前登录湖州市公共资源交易信息网—湖州市限额发包平台—交易主体-相应工程或在湖州市公共资源交易信息网湖州市限额发包平台—“水利栏-发包公告”相应工程公告中的“答疑信息”区随时查看系统中有关该工程的答疑澄清等内容。否则，由此引起的竞包损失自负。</w:t>
      </w:r>
    </w:p>
    <w:p>
      <w:pPr>
        <w:snapToGrid w:val="0"/>
        <w:spacing w:line="374" w:lineRule="exact"/>
        <w:ind w:firstLine="315" w:firstLineChars="150"/>
        <w:rPr>
          <w:rFonts w:ascii="宋体" w:hAnsi="宋体"/>
          <w:snapToGrid w:val="0"/>
          <w:sz w:val="21"/>
          <w:szCs w:val="21"/>
        </w:rPr>
      </w:pPr>
      <w:r>
        <w:rPr>
          <w:rFonts w:ascii="宋体" w:hAnsi="宋体"/>
          <w:snapToGrid w:val="0"/>
          <w:sz w:val="21"/>
          <w:szCs w:val="21"/>
        </w:rPr>
        <w:t>2.2.</w:t>
      </w:r>
      <w:r>
        <w:rPr>
          <w:rFonts w:hint="eastAsia" w:ascii="宋体" w:hAnsi="宋体"/>
          <w:snapToGrid w:val="0"/>
          <w:sz w:val="21"/>
          <w:szCs w:val="21"/>
          <w:lang w:val="en-US" w:eastAsia="zh-CN"/>
        </w:rPr>
        <w:t>4</w:t>
      </w:r>
      <w:r>
        <w:rPr>
          <w:rFonts w:ascii="宋体" w:hAnsi="宋体"/>
          <w:snapToGrid w:val="0"/>
          <w:sz w:val="21"/>
          <w:szCs w:val="21"/>
        </w:rPr>
        <w:t xml:space="preserve"> </w:t>
      </w:r>
      <w:r>
        <w:rPr>
          <w:rFonts w:hint="eastAsia" w:ascii="宋体" w:hAnsi="宋体"/>
          <w:snapToGrid w:val="0"/>
          <w:sz w:val="21"/>
          <w:szCs w:val="21"/>
        </w:rPr>
        <w:t>发包文件的澄清将在发包公告规定的时间前在湖州市公共资源中心交易网站上发布补充文件。</w:t>
      </w:r>
      <w:r>
        <w:rPr>
          <w:rFonts w:ascii="宋体" w:hAnsi="宋体"/>
          <w:snapToGrid w:val="0"/>
          <w:sz w:val="21"/>
          <w:szCs w:val="21"/>
        </w:rPr>
        <w:t>澄清的内容可能影响</w:t>
      </w:r>
      <w:r>
        <w:rPr>
          <w:rFonts w:hint="eastAsia" w:ascii="宋体" w:hAnsi="宋体"/>
          <w:snapToGrid w:val="0"/>
          <w:sz w:val="21"/>
          <w:szCs w:val="21"/>
        </w:rPr>
        <w:t>竞包文件</w:t>
      </w:r>
      <w:r>
        <w:rPr>
          <w:rFonts w:ascii="宋体" w:hAnsi="宋体"/>
          <w:snapToGrid w:val="0"/>
          <w:sz w:val="21"/>
          <w:szCs w:val="21"/>
        </w:rPr>
        <w:t>编制的，</w:t>
      </w:r>
      <w:r>
        <w:rPr>
          <w:rFonts w:hint="eastAsia" w:ascii="宋体" w:hAnsi="宋体"/>
          <w:snapToGrid w:val="0"/>
          <w:sz w:val="21"/>
          <w:szCs w:val="21"/>
        </w:rPr>
        <w:t>发包人</w:t>
      </w:r>
      <w:r>
        <w:rPr>
          <w:rFonts w:ascii="宋体" w:hAnsi="宋体"/>
          <w:snapToGrid w:val="0"/>
          <w:sz w:val="21"/>
          <w:szCs w:val="21"/>
        </w:rPr>
        <w:t>应当在</w:t>
      </w:r>
      <w:r>
        <w:rPr>
          <w:rFonts w:hint="eastAsia" w:ascii="宋体" w:hAnsi="宋体"/>
          <w:snapToGrid w:val="0"/>
          <w:sz w:val="21"/>
          <w:szCs w:val="21"/>
        </w:rPr>
        <w:t>竞包</w:t>
      </w:r>
      <w:r>
        <w:rPr>
          <w:rFonts w:ascii="宋体" w:hAnsi="宋体"/>
          <w:snapToGrid w:val="0"/>
          <w:sz w:val="21"/>
          <w:szCs w:val="21"/>
        </w:rPr>
        <w:t>截止时间至少</w:t>
      </w:r>
      <w:r>
        <w:rPr>
          <w:rFonts w:hint="eastAsia" w:ascii="宋体" w:hAnsi="宋体"/>
          <w:snapToGrid w:val="0"/>
          <w:sz w:val="21"/>
          <w:szCs w:val="21"/>
        </w:rPr>
        <w:t>5</w:t>
      </w:r>
      <w:r>
        <w:rPr>
          <w:rFonts w:ascii="宋体" w:hAnsi="宋体"/>
          <w:snapToGrid w:val="0"/>
          <w:sz w:val="21"/>
          <w:szCs w:val="21"/>
        </w:rPr>
        <w:t>日前，以书面形式通知所有获取</w:t>
      </w:r>
      <w:r>
        <w:rPr>
          <w:rFonts w:hint="eastAsia" w:ascii="宋体" w:hAnsi="宋体"/>
          <w:snapToGrid w:val="0"/>
          <w:sz w:val="21"/>
          <w:szCs w:val="21"/>
        </w:rPr>
        <w:t>发包文件</w:t>
      </w:r>
      <w:r>
        <w:rPr>
          <w:rFonts w:ascii="宋体" w:hAnsi="宋体"/>
          <w:snapToGrid w:val="0"/>
          <w:sz w:val="21"/>
          <w:szCs w:val="21"/>
        </w:rPr>
        <w:t>的潜在</w:t>
      </w:r>
      <w:r>
        <w:rPr>
          <w:rFonts w:hint="eastAsia" w:ascii="宋体" w:hAnsi="宋体"/>
          <w:snapToGrid w:val="0"/>
          <w:sz w:val="21"/>
          <w:szCs w:val="21"/>
        </w:rPr>
        <w:t>竞包人</w:t>
      </w:r>
      <w:r>
        <w:rPr>
          <w:rFonts w:ascii="宋体" w:hAnsi="宋体"/>
          <w:snapToGrid w:val="0"/>
          <w:sz w:val="21"/>
          <w:szCs w:val="21"/>
        </w:rPr>
        <w:t>，不足</w:t>
      </w:r>
      <w:r>
        <w:rPr>
          <w:rFonts w:hint="eastAsia" w:ascii="宋体" w:hAnsi="宋体"/>
          <w:snapToGrid w:val="0"/>
          <w:sz w:val="21"/>
          <w:szCs w:val="21"/>
        </w:rPr>
        <w:t>5</w:t>
      </w:r>
      <w:r>
        <w:rPr>
          <w:rFonts w:ascii="宋体" w:hAnsi="宋体"/>
          <w:snapToGrid w:val="0"/>
          <w:sz w:val="21"/>
          <w:szCs w:val="21"/>
        </w:rPr>
        <w:t>日的，</w:t>
      </w:r>
      <w:r>
        <w:rPr>
          <w:rFonts w:hint="eastAsia" w:ascii="宋体" w:hAnsi="宋体"/>
          <w:snapToGrid w:val="0"/>
          <w:sz w:val="21"/>
          <w:szCs w:val="21"/>
        </w:rPr>
        <w:t>发包人</w:t>
      </w:r>
      <w:r>
        <w:rPr>
          <w:rFonts w:ascii="宋体" w:hAnsi="宋体"/>
          <w:snapToGrid w:val="0"/>
          <w:sz w:val="21"/>
          <w:szCs w:val="21"/>
        </w:rPr>
        <w:t>应当顺延提交</w:t>
      </w:r>
      <w:r>
        <w:rPr>
          <w:rFonts w:hint="eastAsia" w:ascii="宋体" w:hAnsi="宋体"/>
          <w:snapToGrid w:val="0"/>
          <w:sz w:val="21"/>
          <w:szCs w:val="21"/>
        </w:rPr>
        <w:t>竞包文件</w:t>
      </w:r>
      <w:r>
        <w:rPr>
          <w:rFonts w:ascii="宋体" w:hAnsi="宋体"/>
          <w:snapToGrid w:val="0"/>
          <w:sz w:val="21"/>
          <w:szCs w:val="21"/>
        </w:rPr>
        <w:t>的截止时间</w:t>
      </w:r>
      <w:r>
        <w:rPr>
          <w:rFonts w:hint="eastAsia" w:ascii="宋体" w:hAnsi="宋体"/>
          <w:snapToGrid w:val="0"/>
          <w:sz w:val="21"/>
          <w:szCs w:val="21"/>
        </w:rPr>
        <w:t>；</w:t>
      </w:r>
    </w:p>
    <w:p>
      <w:pPr>
        <w:snapToGrid w:val="0"/>
        <w:spacing w:line="374" w:lineRule="exact"/>
        <w:ind w:firstLine="315" w:firstLineChars="150"/>
        <w:rPr>
          <w:rFonts w:ascii="宋体" w:hAnsi="宋体"/>
          <w:snapToGrid w:val="0"/>
          <w:sz w:val="21"/>
          <w:szCs w:val="21"/>
        </w:rPr>
      </w:pPr>
      <w:r>
        <w:rPr>
          <w:rFonts w:ascii="宋体" w:hAnsi="宋体"/>
          <w:snapToGrid w:val="0"/>
          <w:sz w:val="21"/>
          <w:szCs w:val="21"/>
        </w:rPr>
        <w:t>2.2.</w:t>
      </w:r>
      <w:r>
        <w:rPr>
          <w:rFonts w:hint="eastAsia" w:ascii="宋体" w:hAnsi="宋体"/>
          <w:snapToGrid w:val="0"/>
          <w:sz w:val="21"/>
          <w:szCs w:val="21"/>
          <w:lang w:val="en-US" w:eastAsia="zh-CN"/>
        </w:rPr>
        <w:t>5</w:t>
      </w:r>
      <w:r>
        <w:rPr>
          <w:rFonts w:hint="eastAsia" w:ascii="宋体" w:hAnsi="宋体"/>
          <w:snapToGrid w:val="0"/>
          <w:sz w:val="21"/>
          <w:szCs w:val="21"/>
        </w:rPr>
        <w:t>竞包人应自行关注网站公告，发包人不再一一通知。</w:t>
      </w:r>
    </w:p>
    <w:p>
      <w:pPr>
        <w:snapToGrid w:val="0"/>
        <w:spacing w:line="374" w:lineRule="exact"/>
        <w:ind w:firstLine="315" w:firstLineChars="150"/>
        <w:rPr>
          <w:rFonts w:ascii="宋体" w:hAnsi="宋体"/>
          <w:snapToGrid w:val="0"/>
          <w:sz w:val="21"/>
          <w:szCs w:val="21"/>
        </w:rPr>
      </w:pPr>
      <w:r>
        <w:rPr>
          <w:rFonts w:hint="eastAsia" w:ascii="宋体" w:hAnsi="宋体"/>
          <w:snapToGrid w:val="0"/>
          <w:sz w:val="21"/>
          <w:szCs w:val="21"/>
        </w:rPr>
        <w:t>2.2.</w:t>
      </w:r>
      <w:r>
        <w:rPr>
          <w:rFonts w:hint="eastAsia" w:ascii="宋体" w:hAnsi="宋体"/>
          <w:snapToGrid w:val="0"/>
          <w:sz w:val="21"/>
          <w:szCs w:val="21"/>
          <w:lang w:val="en-US" w:eastAsia="zh-CN"/>
        </w:rPr>
        <w:t>6</w:t>
      </w:r>
      <w:r>
        <w:rPr>
          <w:rFonts w:hint="eastAsia" w:ascii="宋体" w:hAnsi="宋体"/>
          <w:snapToGrid w:val="0"/>
          <w:sz w:val="21"/>
          <w:szCs w:val="21"/>
        </w:rPr>
        <w:t>本项目（仅指电子竞包）若发布了澄清文件（指发包文件补疑内容或工程量清单），竞包人必须选择澄清文件进行竞包文件制作，否则其竞包文件将无法上传。</w:t>
      </w:r>
    </w:p>
    <w:p>
      <w:pPr>
        <w:snapToGrid w:val="0"/>
        <w:spacing w:line="374" w:lineRule="exact"/>
        <w:rPr>
          <w:rFonts w:ascii="宋体" w:hAnsi="宋体"/>
          <w:b/>
          <w:sz w:val="21"/>
          <w:szCs w:val="21"/>
        </w:rPr>
      </w:pPr>
      <w:r>
        <w:rPr>
          <w:rFonts w:ascii="宋体" w:hAnsi="宋体"/>
          <w:b/>
          <w:sz w:val="21"/>
          <w:szCs w:val="21"/>
        </w:rPr>
        <w:t xml:space="preserve">2.3 </w:t>
      </w:r>
      <w:r>
        <w:rPr>
          <w:rFonts w:hint="eastAsia" w:ascii="宋体" w:hAnsi="宋体"/>
          <w:b/>
          <w:sz w:val="21"/>
          <w:szCs w:val="21"/>
        </w:rPr>
        <w:t>发包文件</w:t>
      </w:r>
      <w:r>
        <w:rPr>
          <w:rFonts w:ascii="宋体" w:hAnsi="宋体"/>
          <w:b/>
          <w:sz w:val="21"/>
          <w:szCs w:val="21"/>
        </w:rPr>
        <w:t>的修改</w:t>
      </w:r>
    </w:p>
    <w:p>
      <w:pPr>
        <w:snapToGrid w:val="0"/>
        <w:spacing w:line="374" w:lineRule="exact"/>
        <w:ind w:firstLine="315" w:firstLineChars="150"/>
        <w:rPr>
          <w:rFonts w:ascii="宋体" w:hAnsi="宋体"/>
          <w:snapToGrid w:val="0"/>
          <w:color w:val="auto"/>
          <w:sz w:val="21"/>
          <w:szCs w:val="21"/>
        </w:rPr>
      </w:pPr>
      <w:bookmarkStart w:id="39" w:name="_Toc271200545"/>
      <w:bookmarkStart w:id="40" w:name="_Toc259802192"/>
      <w:bookmarkStart w:id="41" w:name="_Toc251597985"/>
      <w:bookmarkStart w:id="42" w:name="_Toc251245630"/>
      <w:bookmarkStart w:id="43" w:name="_Toc271220711"/>
      <w:bookmarkStart w:id="44" w:name="_Toc261333113"/>
      <w:r>
        <w:rPr>
          <w:rFonts w:ascii="宋体" w:hAnsi="宋体"/>
          <w:snapToGrid w:val="0"/>
          <w:sz w:val="21"/>
          <w:szCs w:val="21"/>
        </w:rPr>
        <w:t xml:space="preserve">2.3.1 </w:t>
      </w:r>
      <w:r>
        <w:rPr>
          <w:rFonts w:hint="eastAsia" w:ascii="宋体" w:hAnsi="宋体"/>
          <w:snapToGrid w:val="0"/>
          <w:sz w:val="21"/>
          <w:szCs w:val="21"/>
        </w:rPr>
        <w:t>发包人可以对已发出的发包文件进行必要的修改。修改的内容可能影响竞包文件编制的，发包人应当在竞包截止时间至少5日前，发包人可以在湖州市公共资源中心交易网站上发布修改发包文件的通知。不足5日的，发包人应当顺延提交竞包文件的截止</w:t>
      </w:r>
      <w:r>
        <w:rPr>
          <w:rFonts w:hint="eastAsia" w:ascii="宋体" w:hAnsi="宋体"/>
          <w:snapToGrid w:val="0"/>
          <w:color w:val="auto"/>
          <w:sz w:val="21"/>
          <w:szCs w:val="21"/>
        </w:rPr>
        <w:t>时间。当发包文件、发包文件的澄清、修改、补充等在同一内容的表述上不一致时，以最后发出的文件为准。竞包人应行关注网站公告，发包人不再一一通知；</w:t>
      </w:r>
    </w:p>
    <w:p>
      <w:pPr>
        <w:snapToGrid w:val="0"/>
        <w:spacing w:line="374" w:lineRule="exact"/>
        <w:ind w:firstLine="315" w:firstLineChars="150"/>
        <w:rPr>
          <w:rFonts w:ascii="宋体" w:hAnsi="宋体"/>
          <w:snapToGrid w:val="0"/>
          <w:sz w:val="21"/>
          <w:szCs w:val="21"/>
        </w:rPr>
      </w:pPr>
      <w:r>
        <w:rPr>
          <w:rFonts w:hint="eastAsia" w:ascii="宋体" w:hAnsi="宋体"/>
          <w:snapToGrid w:val="0"/>
          <w:color w:val="auto"/>
          <w:sz w:val="21"/>
          <w:szCs w:val="21"/>
        </w:rPr>
        <w:t>2.3.2潜在竞包人或者其他利害关系人对发包文件有异议的，应当在竞包截止时间</w:t>
      </w:r>
      <w:r>
        <w:rPr>
          <w:rFonts w:hint="eastAsia" w:ascii="宋体" w:hAnsi="宋体"/>
          <w:snapToGrid w:val="0"/>
          <w:sz w:val="21"/>
          <w:szCs w:val="21"/>
          <w:lang w:val="en-US" w:eastAsia="zh-CN"/>
        </w:rPr>
        <w:t>3</w:t>
      </w:r>
      <w:r>
        <w:rPr>
          <w:rFonts w:hint="eastAsia" w:ascii="宋体" w:hAnsi="宋体"/>
          <w:snapToGrid w:val="0"/>
          <w:sz w:val="21"/>
          <w:szCs w:val="21"/>
        </w:rPr>
        <w:t>天前提出。发包人应当自收到异议之日起2天内做出答复；做出答复前，应当暂停发包竞包行为。</w:t>
      </w:r>
    </w:p>
    <w:p>
      <w:pPr>
        <w:pStyle w:val="6"/>
        <w:snapToGrid w:val="0"/>
        <w:spacing w:line="374" w:lineRule="exact"/>
        <w:jc w:val="both"/>
        <w:rPr>
          <w:rFonts w:ascii="宋体" w:hAnsi="宋体" w:eastAsia="宋体"/>
          <w:snapToGrid w:val="0"/>
          <w:sz w:val="21"/>
          <w:szCs w:val="21"/>
        </w:rPr>
      </w:pPr>
      <w:bookmarkStart w:id="45" w:name="_Toc31666"/>
      <w:r>
        <w:rPr>
          <w:rFonts w:ascii="宋体" w:hAnsi="宋体" w:eastAsia="宋体"/>
          <w:snapToGrid w:val="0"/>
          <w:sz w:val="21"/>
          <w:szCs w:val="21"/>
        </w:rPr>
        <w:t>3</w:t>
      </w:r>
      <w:bookmarkEnd w:id="39"/>
      <w:bookmarkEnd w:id="40"/>
      <w:bookmarkEnd w:id="41"/>
      <w:bookmarkEnd w:id="42"/>
      <w:bookmarkEnd w:id="43"/>
      <w:bookmarkEnd w:id="44"/>
      <w:bookmarkEnd w:id="45"/>
      <w:r>
        <w:rPr>
          <w:rFonts w:hint="eastAsia" w:ascii="宋体" w:hAnsi="宋体" w:eastAsia="宋体"/>
          <w:snapToGrid w:val="0"/>
          <w:sz w:val="21"/>
          <w:szCs w:val="21"/>
        </w:rPr>
        <w:t>竞包文件</w:t>
      </w:r>
    </w:p>
    <w:p>
      <w:pPr>
        <w:snapToGrid w:val="0"/>
        <w:spacing w:line="374" w:lineRule="exact"/>
        <w:rPr>
          <w:rFonts w:ascii="宋体" w:hAnsi="宋体"/>
          <w:b/>
          <w:sz w:val="21"/>
          <w:szCs w:val="21"/>
        </w:rPr>
      </w:pPr>
      <w:r>
        <w:rPr>
          <w:rFonts w:ascii="宋体" w:hAnsi="宋体"/>
          <w:b/>
          <w:sz w:val="21"/>
          <w:szCs w:val="21"/>
        </w:rPr>
        <w:t xml:space="preserve">3.1 </w:t>
      </w:r>
      <w:r>
        <w:rPr>
          <w:rFonts w:hint="eastAsia" w:ascii="宋体" w:hAnsi="宋体"/>
          <w:b/>
          <w:sz w:val="21"/>
          <w:szCs w:val="21"/>
        </w:rPr>
        <w:t>竞包文件</w:t>
      </w:r>
      <w:r>
        <w:rPr>
          <w:rFonts w:ascii="宋体" w:hAnsi="宋体"/>
          <w:b/>
          <w:sz w:val="21"/>
          <w:szCs w:val="21"/>
        </w:rPr>
        <w:t>的组成</w:t>
      </w:r>
    </w:p>
    <w:p>
      <w:pPr>
        <w:ind w:firstLine="400" w:firstLineChars="200"/>
        <w:rPr>
          <w:snapToGrid w:val="0"/>
          <w:sz w:val="20"/>
          <w:szCs w:val="20"/>
        </w:rPr>
      </w:pPr>
      <w:r>
        <w:rPr>
          <w:bCs/>
          <w:snapToGrid w:val="0"/>
          <w:sz w:val="20"/>
          <w:szCs w:val="20"/>
        </w:rPr>
        <w:t>3.1.1</w:t>
      </w:r>
      <w:r>
        <w:rPr>
          <w:rFonts w:hint="eastAsia" w:ascii="宋体" w:hAnsi="宋体"/>
          <w:snapToGrid w:val="0"/>
          <w:sz w:val="20"/>
          <w:szCs w:val="20"/>
        </w:rPr>
        <w:t>竞包文件应包括下列内容，竞包文件的成册要求见竞包人须知前附表。</w:t>
      </w:r>
    </w:p>
    <w:p>
      <w:pPr>
        <w:snapToGrid w:val="0"/>
        <w:spacing w:line="374" w:lineRule="exact"/>
        <w:ind w:firstLine="400" w:firstLineChars="200"/>
        <w:rPr>
          <w:rFonts w:ascii="宋体" w:hAnsi="宋体"/>
          <w:snapToGrid w:val="0"/>
          <w:sz w:val="20"/>
          <w:szCs w:val="20"/>
        </w:rPr>
      </w:pPr>
      <w:r>
        <w:rPr>
          <w:rFonts w:hint="eastAsia" w:ascii="宋体" w:hAnsi="宋体"/>
          <w:snapToGrid w:val="0"/>
          <w:sz w:val="20"/>
          <w:szCs w:val="20"/>
        </w:rPr>
        <w:t>商务文件包括：</w:t>
      </w:r>
    </w:p>
    <w:p>
      <w:pPr>
        <w:snapToGrid w:val="0"/>
        <w:spacing w:line="374" w:lineRule="exact"/>
        <w:ind w:firstLine="400" w:firstLineChars="200"/>
        <w:rPr>
          <w:rFonts w:ascii="宋体" w:hAnsi="宋体"/>
          <w:snapToGrid w:val="0"/>
          <w:sz w:val="20"/>
          <w:szCs w:val="20"/>
        </w:rPr>
      </w:pPr>
      <w:r>
        <w:rPr>
          <w:rFonts w:hint="eastAsia" w:ascii="宋体" w:hAnsi="宋体"/>
          <w:snapToGrid w:val="0"/>
          <w:sz w:val="20"/>
          <w:szCs w:val="20"/>
        </w:rPr>
        <w:t>⑴ 竞包函及竞包函附录；</w:t>
      </w:r>
    </w:p>
    <w:p>
      <w:pPr>
        <w:snapToGrid w:val="0"/>
        <w:spacing w:line="374" w:lineRule="exact"/>
        <w:ind w:firstLine="400" w:firstLineChars="200"/>
        <w:rPr>
          <w:rFonts w:ascii="宋体" w:hAnsi="宋体"/>
          <w:snapToGrid w:val="0"/>
          <w:sz w:val="20"/>
          <w:szCs w:val="20"/>
        </w:rPr>
      </w:pPr>
      <w:r>
        <w:rPr>
          <w:rFonts w:hint="eastAsia" w:ascii="宋体" w:hAnsi="宋体"/>
          <w:snapToGrid w:val="0"/>
          <w:sz w:val="20"/>
          <w:szCs w:val="20"/>
        </w:rPr>
        <w:t>⑵ 已标价工程量清单；</w:t>
      </w:r>
    </w:p>
    <w:p>
      <w:pPr>
        <w:snapToGrid w:val="0"/>
        <w:spacing w:line="374" w:lineRule="exact"/>
        <w:ind w:firstLine="400" w:firstLineChars="200"/>
        <w:rPr>
          <w:rFonts w:ascii="宋体" w:hAnsi="宋体"/>
          <w:snapToGrid w:val="0"/>
          <w:sz w:val="20"/>
          <w:szCs w:val="20"/>
        </w:rPr>
      </w:pPr>
      <w:r>
        <w:rPr>
          <w:rFonts w:hint="eastAsia" w:ascii="宋体" w:hAnsi="宋体"/>
          <w:snapToGrid w:val="0"/>
          <w:sz w:val="20"/>
          <w:szCs w:val="20"/>
        </w:rPr>
        <w:t>⑶ 其他材料。</w:t>
      </w:r>
    </w:p>
    <w:p>
      <w:pPr>
        <w:snapToGrid w:val="0"/>
        <w:spacing w:line="374" w:lineRule="exact"/>
        <w:ind w:firstLine="400" w:firstLineChars="200"/>
        <w:rPr>
          <w:rFonts w:ascii="宋体" w:hAnsi="宋体"/>
          <w:snapToGrid w:val="0"/>
          <w:sz w:val="20"/>
          <w:szCs w:val="20"/>
        </w:rPr>
      </w:pPr>
      <w:r>
        <w:rPr>
          <w:rFonts w:hint="eastAsia" w:ascii="宋体" w:hAnsi="宋体"/>
          <w:snapToGrid w:val="0"/>
          <w:sz w:val="20"/>
          <w:szCs w:val="20"/>
        </w:rPr>
        <w:t>技术文件包括：</w:t>
      </w:r>
    </w:p>
    <w:p>
      <w:pPr>
        <w:snapToGrid w:val="0"/>
        <w:spacing w:line="374" w:lineRule="exact"/>
        <w:ind w:firstLine="400" w:firstLineChars="200"/>
        <w:rPr>
          <w:rFonts w:hint="eastAsia" w:ascii="宋体" w:hAnsi="宋体"/>
          <w:snapToGrid w:val="0"/>
          <w:sz w:val="20"/>
          <w:szCs w:val="20"/>
        </w:rPr>
      </w:pPr>
      <w:r>
        <w:rPr>
          <w:rFonts w:hint="eastAsia" w:ascii="宋体" w:hAnsi="宋体"/>
          <w:snapToGrid w:val="0"/>
          <w:sz w:val="20"/>
          <w:szCs w:val="20"/>
        </w:rPr>
        <w:t>(1)技术文件特征值表；</w:t>
      </w:r>
    </w:p>
    <w:p>
      <w:pPr>
        <w:snapToGrid w:val="0"/>
        <w:spacing w:line="374" w:lineRule="exact"/>
        <w:ind w:firstLine="400" w:firstLineChars="200"/>
        <w:rPr>
          <w:rFonts w:ascii="宋体" w:hAnsi="宋体"/>
          <w:snapToGrid w:val="0"/>
          <w:sz w:val="20"/>
          <w:szCs w:val="20"/>
        </w:rPr>
      </w:pPr>
      <w:r>
        <w:rPr>
          <w:rFonts w:hint="eastAsia" w:ascii="宋体" w:hAnsi="宋体"/>
          <w:snapToGrid w:val="0"/>
          <w:sz w:val="20"/>
          <w:szCs w:val="20"/>
        </w:rPr>
        <w:t>(2)法定代表人身份证明或附有法定代表人身份证明的授权委托书；</w:t>
      </w:r>
    </w:p>
    <w:p>
      <w:pPr>
        <w:snapToGrid w:val="0"/>
        <w:spacing w:line="374" w:lineRule="exact"/>
        <w:ind w:firstLine="400" w:firstLineChars="200"/>
        <w:rPr>
          <w:rFonts w:ascii="宋体" w:hAnsi="宋体"/>
          <w:snapToGrid w:val="0"/>
          <w:sz w:val="20"/>
          <w:szCs w:val="20"/>
        </w:rPr>
      </w:pPr>
      <w:r>
        <w:rPr>
          <w:rFonts w:hint="eastAsia" w:ascii="宋体" w:hAnsi="宋体"/>
          <w:snapToGrid w:val="0"/>
          <w:sz w:val="20"/>
          <w:szCs w:val="20"/>
        </w:rPr>
        <w:t>(3)竞包保证金；</w:t>
      </w:r>
    </w:p>
    <w:p>
      <w:pPr>
        <w:snapToGrid w:val="0"/>
        <w:spacing w:line="374" w:lineRule="exact"/>
        <w:ind w:firstLine="300" w:firstLineChars="150"/>
        <w:rPr>
          <w:rFonts w:ascii="宋体" w:hAnsi="宋体"/>
          <w:snapToGrid w:val="0"/>
          <w:sz w:val="20"/>
          <w:szCs w:val="20"/>
        </w:rPr>
      </w:pPr>
      <w:r>
        <w:rPr>
          <w:rFonts w:hint="eastAsia" w:ascii="宋体" w:hAnsi="宋体"/>
          <w:snapToGrid w:val="0"/>
          <w:sz w:val="20"/>
          <w:szCs w:val="20"/>
        </w:rPr>
        <w:t xml:space="preserve"> (4)施工组织设计；</w:t>
      </w:r>
    </w:p>
    <w:p>
      <w:pPr>
        <w:snapToGrid w:val="0"/>
        <w:spacing w:line="374" w:lineRule="exact"/>
        <w:ind w:firstLine="400" w:firstLineChars="200"/>
        <w:rPr>
          <w:rFonts w:ascii="宋体" w:hAnsi="宋体"/>
          <w:snapToGrid w:val="0"/>
          <w:color w:val="auto"/>
          <w:sz w:val="20"/>
          <w:szCs w:val="20"/>
        </w:rPr>
      </w:pPr>
      <w:r>
        <w:rPr>
          <w:rFonts w:hint="eastAsia" w:ascii="宋体" w:hAnsi="宋体"/>
          <w:snapToGrid w:val="0"/>
          <w:color w:val="auto"/>
          <w:sz w:val="20"/>
          <w:szCs w:val="20"/>
        </w:rPr>
        <w:t>(5)项目管理机构；</w:t>
      </w:r>
    </w:p>
    <w:p>
      <w:pPr>
        <w:snapToGrid w:val="0"/>
        <w:spacing w:line="374" w:lineRule="exact"/>
        <w:ind w:firstLine="400" w:firstLineChars="200"/>
        <w:rPr>
          <w:rFonts w:ascii="宋体" w:hAnsi="宋体"/>
          <w:snapToGrid w:val="0"/>
          <w:color w:val="auto"/>
          <w:sz w:val="20"/>
          <w:szCs w:val="20"/>
        </w:rPr>
      </w:pPr>
      <w:r>
        <w:rPr>
          <w:rFonts w:hint="eastAsia" w:ascii="宋体" w:hAnsi="宋体"/>
          <w:snapToGrid w:val="0"/>
          <w:color w:val="auto"/>
          <w:sz w:val="20"/>
          <w:szCs w:val="20"/>
        </w:rPr>
        <w:t>(6)资格审查资料；</w:t>
      </w:r>
    </w:p>
    <w:p>
      <w:pPr>
        <w:snapToGrid w:val="0"/>
        <w:spacing w:line="374" w:lineRule="exact"/>
        <w:ind w:firstLine="400" w:firstLineChars="200"/>
        <w:rPr>
          <w:rFonts w:ascii="宋体" w:hAnsi="宋体"/>
          <w:snapToGrid w:val="0"/>
          <w:color w:val="auto"/>
          <w:sz w:val="20"/>
          <w:szCs w:val="20"/>
        </w:rPr>
      </w:pPr>
      <w:r>
        <w:rPr>
          <w:rFonts w:hint="eastAsia" w:ascii="宋体" w:hAnsi="宋体"/>
          <w:snapToGrid w:val="0"/>
          <w:color w:val="auto"/>
          <w:sz w:val="20"/>
          <w:szCs w:val="20"/>
        </w:rPr>
        <w:t>(7)原件的扫描件或电子件；</w:t>
      </w:r>
    </w:p>
    <w:p>
      <w:pPr>
        <w:snapToGrid w:val="0"/>
        <w:spacing w:line="374" w:lineRule="exact"/>
        <w:ind w:firstLine="400" w:firstLineChars="200"/>
        <w:rPr>
          <w:rFonts w:ascii="宋体" w:hAnsi="宋体"/>
          <w:snapToGrid w:val="0"/>
          <w:color w:val="auto"/>
          <w:sz w:val="20"/>
          <w:szCs w:val="20"/>
        </w:rPr>
      </w:pPr>
      <w:r>
        <w:rPr>
          <w:rFonts w:hint="eastAsia" w:ascii="宋体" w:hAnsi="宋体"/>
          <w:snapToGrid w:val="0"/>
          <w:color w:val="auto"/>
          <w:sz w:val="20"/>
          <w:szCs w:val="20"/>
        </w:rPr>
        <w:t>(8)其他材料。</w:t>
      </w:r>
    </w:p>
    <w:p>
      <w:pPr>
        <w:spacing w:line="500" w:lineRule="exact"/>
        <w:ind w:firstLine="440" w:firstLineChars="200"/>
        <w:rPr>
          <w:rFonts w:ascii="宋体" w:hAnsi="宋体"/>
          <w:snapToGrid w:val="0"/>
          <w:color w:val="auto"/>
          <w:sz w:val="21"/>
          <w:szCs w:val="21"/>
        </w:rPr>
      </w:pPr>
      <w:r>
        <w:rPr>
          <w:rFonts w:hint="eastAsia" w:ascii="微软雅黑" w:hAnsi="微软雅黑" w:eastAsia="微软雅黑" w:cs="仿宋"/>
          <w:b/>
          <w:bCs/>
          <w:color w:val="auto"/>
          <w:sz w:val="22"/>
        </w:rPr>
        <w:t>注：以上资料由竞包人以扫描件形式上传至系统设置的模块中，竞包人必须确保提供的扫描件清晰，届时若无法辨认的，由此造成的后果由竞包人自行承担。</w:t>
      </w:r>
    </w:p>
    <w:p>
      <w:pPr>
        <w:snapToGrid w:val="0"/>
        <w:spacing w:line="374" w:lineRule="exact"/>
        <w:rPr>
          <w:rFonts w:ascii="宋体" w:hAnsi="宋体"/>
          <w:b/>
          <w:sz w:val="21"/>
          <w:szCs w:val="21"/>
        </w:rPr>
      </w:pPr>
      <w:r>
        <w:rPr>
          <w:rFonts w:ascii="宋体" w:hAnsi="宋体"/>
          <w:b/>
          <w:sz w:val="21"/>
          <w:szCs w:val="21"/>
        </w:rPr>
        <w:t xml:space="preserve">3.2 </w:t>
      </w:r>
      <w:r>
        <w:rPr>
          <w:rFonts w:hint="eastAsia" w:ascii="宋体" w:hAnsi="宋体"/>
          <w:b/>
          <w:sz w:val="21"/>
          <w:szCs w:val="21"/>
        </w:rPr>
        <w:t>竞包</w:t>
      </w:r>
      <w:r>
        <w:rPr>
          <w:rFonts w:ascii="宋体" w:hAnsi="宋体"/>
          <w:b/>
          <w:sz w:val="21"/>
          <w:szCs w:val="21"/>
        </w:rPr>
        <w:t>报价</w:t>
      </w:r>
    </w:p>
    <w:p>
      <w:pPr>
        <w:snapToGrid w:val="0"/>
        <w:spacing w:line="374" w:lineRule="exact"/>
        <w:ind w:firstLine="420" w:firstLineChars="200"/>
        <w:rPr>
          <w:rFonts w:ascii="宋体" w:hAnsi="宋体"/>
          <w:snapToGrid w:val="0"/>
          <w:sz w:val="21"/>
          <w:szCs w:val="21"/>
        </w:rPr>
      </w:pPr>
      <w:r>
        <w:rPr>
          <w:rFonts w:ascii="宋体" w:hAnsi="宋体"/>
          <w:snapToGrid w:val="0"/>
          <w:sz w:val="21"/>
          <w:szCs w:val="21"/>
        </w:rPr>
        <w:t>3.2.1</w:t>
      </w:r>
      <w:r>
        <w:rPr>
          <w:rFonts w:hint="eastAsia" w:ascii="宋体" w:hAnsi="宋体"/>
          <w:snapToGrid w:val="0"/>
          <w:sz w:val="21"/>
          <w:szCs w:val="21"/>
          <w:u w:val="wave" w:color="70AD47" w:themeColor="accent6"/>
        </w:rPr>
        <w:t>竞包人</w:t>
      </w:r>
      <w:r>
        <w:rPr>
          <w:rFonts w:ascii="宋体" w:hAnsi="宋体"/>
          <w:snapToGrid w:val="0"/>
          <w:sz w:val="21"/>
          <w:szCs w:val="21"/>
        </w:rPr>
        <w:t>应按第</w:t>
      </w:r>
      <w:r>
        <w:rPr>
          <w:rFonts w:hint="eastAsia" w:ascii="宋体" w:hAnsi="宋体"/>
          <w:snapToGrid w:val="0"/>
          <w:sz w:val="21"/>
          <w:szCs w:val="21"/>
        </w:rPr>
        <w:t>5</w:t>
      </w:r>
      <w:r>
        <w:rPr>
          <w:rFonts w:ascii="宋体" w:hAnsi="宋体"/>
          <w:snapToGrid w:val="0"/>
          <w:sz w:val="21"/>
          <w:szCs w:val="21"/>
        </w:rPr>
        <w:t>章</w:t>
      </w:r>
      <w:r>
        <w:rPr>
          <w:rFonts w:hint="eastAsia" w:ascii="宋体" w:hAnsi="宋体"/>
          <w:snapToGrid w:val="0"/>
          <w:sz w:val="21"/>
          <w:szCs w:val="21"/>
        </w:rPr>
        <w:t>“</w:t>
      </w:r>
      <w:r>
        <w:rPr>
          <w:rFonts w:ascii="宋体" w:hAnsi="宋体"/>
          <w:snapToGrid w:val="0"/>
          <w:sz w:val="21"/>
          <w:szCs w:val="21"/>
        </w:rPr>
        <w:t>工程量清单</w:t>
      </w:r>
      <w:r>
        <w:rPr>
          <w:rFonts w:hint="eastAsia" w:ascii="宋体" w:hAnsi="宋体"/>
          <w:snapToGrid w:val="0"/>
          <w:sz w:val="21"/>
          <w:szCs w:val="21"/>
        </w:rPr>
        <w:t>”</w:t>
      </w:r>
      <w:r>
        <w:rPr>
          <w:rFonts w:ascii="宋体" w:hAnsi="宋体"/>
          <w:snapToGrid w:val="0"/>
          <w:sz w:val="21"/>
          <w:szCs w:val="21"/>
        </w:rPr>
        <w:t>的要求填写相应表格</w:t>
      </w:r>
      <w:r>
        <w:rPr>
          <w:rFonts w:hint="eastAsia" w:ascii="宋体" w:hAnsi="宋体"/>
          <w:snapToGrid w:val="0"/>
          <w:sz w:val="21"/>
          <w:szCs w:val="21"/>
        </w:rPr>
        <w:t>；</w:t>
      </w:r>
    </w:p>
    <w:p>
      <w:pPr>
        <w:snapToGrid w:val="0"/>
        <w:spacing w:line="374" w:lineRule="exact"/>
        <w:ind w:firstLine="420" w:firstLineChars="200"/>
        <w:rPr>
          <w:rFonts w:ascii="宋体" w:hAnsi="宋体"/>
          <w:snapToGrid w:val="0"/>
          <w:sz w:val="21"/>
          <w:szCs w:val="21"/>
        </w:rPr>
      </w:pPr>
      <w:r>
        <w:rPr>
          <w:rFonts w:ascii="宋体" w:hAnsi="宋体"/>
          <w:snapToGrid w:val="0"/>
          <w:sz w:val="21"/>
          <w:szCs w:val="21"/>
        </w:rPr>
        <w:t>3.2.2</w:t>
      </w:r>
      <w:r>
        <w:rPr>
          <w:rFonts w:hint="eastAsia" w:ascii="宋体" w:hAnsi="宋体"/>
          <w:snapToGrid w:val="0"/>
          <w:sz w:val="21"/>
          <w:szCs w:val="21"/>
          <w:u w:val="wave" w:color="70AD47" w:themeColor="accent6"/>
        </w:rPr>
        <w:t>竞包人</w:t>
      </w:r>
      <w:r>
        <w:rPr>
          <w:rFonts w:ascii="宋体" w:hAnsi="宋体"/>
          <w:snapToGrid w:val="0"/>
          <w:sz w:val="21"/>
          <w:szCs w:val="21"/>
          <w:u w:val="wave" w:color="70AD47" w:themeColor="accent6"/>
        </w:rPr>
        <w:t>在</w:t>
      </w:r>
      <w:r>
        <w:rPr>
          <w:rFonts w:hint="eastAsia" w:ascii="宋体" w:hAnsi="宋体"/>
          <w:snapToGrid w:val="0"/>
          <w:sz w:val="21"/>
          <w:szCs w:val="21"/>
          <w:u w:val="wave" w:color="70AD47" w:themeColor="accent6"/>
        </w:rPr>
        <w:t>竞包</w:t>
      </w:r>
      <w:r>
        <w:rPr>
          <w:rFonts w:ascii="宋体" w:hAnsi="宋体"/>
          <w:snapToGrid w:val="0"/>
          <w:sz w:val="21"/>
          <w:szCs w:val="21"/>
          <w:u w:val="wave" w:color="70AD47" w:themeColor="accent6"/>
        </w:rPr>
        <w:t>截止</w:t>
      </w:r>
      <w:r>
        <w:rPr>
          <w:rFonts w:ascii="宋体" w:hAnsi="宋体"/>
          <w:snapToGrid w:val="0"/>
          <w:sz w:val="21"/>
          <w:szCs w:val="21"/>
        </w:rPr>
        <w:t>时间前修改</w:t>
      </w:r>
      <w:r>
        <w:rPr>
          <w:rFonts w:hint="eastAsia" w:ascii="宋体" w:hAnsi="宋体"/>
          <w:snapToGrid w:val="0"/>
          <w:sz w:val="21"/>
          <w:szCs w:val="21"/>
        </w:rPr>
        <w:t>竞包</w:t>
      </w:r>
      <w:r>
        <w:rPr>
          <w:rFonts w:ascii="宋体" w:hAnsi="宋体"/>
          <w:snapToGrid w:val="0"/>
          <w:sz w:val="21"/>
          <w:szCs w:val="21"/>
        </w:rPr>
        <w:t>函中的</w:t>
      </w:r>
      <w:r>
        <w:rPr>
          <w:rFonts w:hint="eastAsia" w:ascii="宋体" w:hAnsi="宋体"/>
          <w:snapToGrid w:val="0"/>
          <w:sz w:val="21"/>
          <w:szCs w:val="21"/>
        </w:rPr>
        <w:t>竞包</w:t>
      </w:r>
      <w:r>
        <w:rPr>
          <w:rFonts w:ascii="宋体" w:hAnsi="宋体"/>
          <w:snapToGrid w:val="0"/>
          <w:sz w:val="21"/>
          <w:szCs w:val="21"/>
        </w:rPr>
        <w:t>总报价，应同时修改第</w:t>
      </w:r>
      <w:r>
        <w:rPr>
          <w:rFonts w:hint="eastAsia" w:ascii="宋体" w:hAnsi="宋体"/>
          <w:snapToGrid w:val="0"/>
          <w:sz w:val="21"/>
          <w:szCs w:val="21"/>
        </w:rPr>
        <w:t>5</w:t>
      </w:r>
      <w:r>
        <w:rPr>
          <w:rFonts w:ascii="宋体" w:hAnsi="宋体"/>
          <w:snapToGrid w:val="0"/>
          <w:sz w:val="21"/>
          <w:szCs w:val="21"/>
        </w:rPr>
        <w:t>章</w:t>
      </w:r>
      <w:r>
        <w:rPr>
          <w:rFonts w:hint="eastAsia" w:ascii="宋体" w:hAnsi="宋体"/>
          <w:snapToGrid w:val="0"/>
          <w:sz w:val="21"/>
          <w:szCs w:val="21"/>
        </w:rPr>
        <w:t>“</w:t>
      </w:r>
      <w:r>
        <w:rPr>
          <w:rFonts w:ascii="宋体" w:hAnsi="宋体"/>
          <w:snapToGrid w:val="0"/>
          <w:sz w:val="21"/>
          <w:szCs w:val="21"/>
        </w:rPr>
        <w:t>工程量清单</w:t>
      </w:r>
      <w:r>
        <w:rPr>
          <w:rFonts w:hint="eastAsia" w:ascii="宋体" w:hAnsi="宋体"/>
          <w:snapToGrid w:val="0"/>
          <w:sz w:val="21"/>
          <w:szCs w:val="21"/>
        </w:rPr>
        <w:t>”</w:t>
      </w:r>
      <w:r>
        <w:rPr>
          <w:rFonts w:ascii="宋体" w:hAnsi="宋体"/>
          <w:snapToGrid w:val="0"/>
          <w:sz w:val="21"/>
          <w:szCs w:val="21"/>
        </w:rPr>
        <w:t>中的相应报价。此修改须符合本章第4.3款的有关要求。</w:t>
      </w:r>
    </w:p>
    <w:p>
      <w:pPr>
        <w:snapToGrid w:val="0"/>
        <w:spacing w:line="374" w:lineRule="exact"/>
        <w:rPr>
          <w:rFonts w:ascii="宋体" w:hAnsi="宋体"/>
          <w:b/>
          <w:sz w:val="21"/>
          <w:szCs w:val="21"/>
        </w:rPr>
      </w:pPr>
      <w:r>
        <w:rPr>
          <w:rFonts w:ascii="宋体" w:hAnsi="宋体"/>
          <w:b/>
          <w:sz w:val="21"/>
          <w:szCs w:val="21"/>
        </w:rPr>
        <w:t xml:space="preserve">3.3 </w:t>
      </w:r>
      <w:r>
        <w:rPr>
          <w:rFonts w:hint="eastAsia" w:ascii="宋体" w:hAnsi="宋体"/>
          <w:b/>
          <w:sz w:val="21"/>
          <w:szCs w:val="21"/>
        </w:rPr>
        <w:t>竞包</w:t>
      </w:r>
      <w:r>
        <w:rPr>
          <w:rFonts w:ascii="宋体" w:hAnsi="宋体"/>
          <w:b/>
          <w:sz w:val="21"/>
          <w:szCs w:val="21"/>
        </w:rPr>
        <w:t>有效期</w:t>
      </w:r>
    </w:p>
    <w:p>
      <w:pPr>
        <w:snapToGrid w:val="0"/>
        <w:spacing w:line="374" w:lineRule="exact"/>
        <w:ind w:firstLine="420" w:firstLineChars="200"/>
        <w:rPr>
          <w:rFonts w:ascii="宋体" w:hAnsi="宋体"/>
          <w:snapToGrid w:val="0"/>
          <w:sz w:val="21"/>
          <w:szCs w:val="21"/>
        </w:rPr>
      </w:pPr>
      <w:r>
        <w:rPr>
          <w:rFonts w:ascii="宋体" w:hAnsi="宋体"/>
          <w:snapToGrid w:val="0"/>
          <w:sz w:val="21"/>
          <w:szCs w:val="21"/>
        </w:rPr>
        <w:t>3.3.1 在</w:t>
      </w:r>
      <w:r>
        <w:rPr>
          <w:rFonts w:hint="eastAsia" w:ascii="宋体" w:hAnsi="宋体"/>
          <w:snapToGrid w:val="0"/>
          <w:sz w:val="21"/>
          <w:szCs w:val="21"/>
        </w:rPr>
        <w:t>竞包人</w:t>
      </w:r>
      <w:r>
        <w:rPr>
          <w:rFonts w:ascii="宋体" w:hAnsi="宋体"/>
          <w:snapToGrid w:val="0"/>
          <w:sz w:val="21"/>
          <w:szCs w:val="21"/>
        </w:rPr>
        <w:t>须知前附表规定的</w:t>
      </w:r>
      <w:r>
        <w:rPr>
          <w:rFonts w:hint="eastAsia" w:ascii="宋体" w:hAnsi="宋体"/>
          <w:snapToGrid w:val="0"/>
          <w:sz w:val="21"/>
          <w:szCs w:val="21"/>
        </w:rPr>
        <w:t>竞包</w:t>
      </w:r>
      <w:r>
        <w:rPr>
          <w:rFonts w:ascii="宋体" w:hAnsi="宋体"/>
          <w:snapToGrid w:val="0"/>
          <w:sz w:val="21"/>
          <w:szCs w:val="21"/>
        </w:rPr>
        <w:t>有效期内，</w:t>
      </w:r>
      <w:r>
        <w:rPr>
          <w:rFonts w:hint="eastAsia" w:ascii="宋体" w:hAnsi="宋体"/>
          <w:snapToGrid w:val="0"/>
          <w:sz w:val="21"/>
          <w:szCs w:val="21"/>
        </w:rPr>
        <w:t>竞包人</w:t>
      </w:r>
      <w:r>
        <w:rPr>
          <w:rFonts w:ascii="宋体" w:hAnsi="宋体"/>
          <w:snapToGrid w:val="0"/>
          <w:sz w:val="21"/>
          <w:szCs w:val="21"/>
        </w:rPr>
        <w:t>不得要求撤销或修改其</w:t>
      </w:r>
      <w:r>
        <w:rPr>
          <w:rFonts w:hint="eastAsia" w:ascii="宋体" w:hAnsi="宋体"/>
          <w:snapToGrid w:val="0"/>
          <w:sz w:val="21"/>
          <w:szCs w:val="21"/>
        </w:rPr>
        <w:t>竞包文件；</w:t>
      </w:r>
    </w:p>
    <w:p>
      <w:pPr>
        <w:snapToGrid w:val="0"/>
        <w:spacing w:line="374" w:lineRule="exact"/>
        <w:ind w:firstLine="420" w:firstLineChars="200"/>
        <w:rPr>
          <w:rFonts w:ascii="宋体" w:hAnsi="宋体"/>
          <w:snapToGrid w:val="0"/>
          <w:sz w:val="21"/>
          <w:szCs w:val="21"/>
        </w:rPr>
      </w:pPr>
      <w:r>
        <w:rPr>
          <w:rFonts w:ascii="宋体" w:hAnsi="宋体"/>
          <w:snapToGrid w:val="0"/>
          <w:sz w:val="21"/>
          <w:szCs w:val="21"/>
        </w:rPr>
        <w:t>3.3.2 出现特殊情况需要延长</w:t>
      </w:r>
      <w:r>
        <w:rPr>
          <w:rFonts w:hint="eastAsia" w:ascii="宋体" w:hAnsi="宋体"/>
          <w:snapToGrid w:val="0"/>
          <w:sz w:val="21"/>
          <w:szCs w:val="21"/>
        </w:rPr>
        <w:t>竞包</w:t>
      </w:r>
      <w:r>
        <w:rPr>
          <w:rFonts w:ascii="宋体" w:hAnsi="宋体"/>
          <w:snapToGrid w:val="0"/>
          <w:sz w:val="21"/>
          <w:szCs w:val="21"/>
        </w:rPr>
        <w:t>有效期的，</w:t>
      </w:r>
      <w:r>
        <w:rPr>
          <w:rFonts w:hint="eastAsia" w:ascii="宋体" w:hAnsi="宋体"/>
          <w:snapToGrid w:val="0"/>
          <w:sz w:val="21"/>
          <w:szCs w:val="21"/>
        </w:rPr>
        <w:t>发包人</w:t>
      </w:r>
      <w:r>
        <w:rPr>
          <w:rFonts w:ascii="宋体" w:hAnsi="宋体"/>
          <w:snapToGrid w:val="0"/>
          <w:sz w:val="21"/>
          <w:szCs w:val="21"/>
        </w:rPr>
        <w:t>以书面形式通知所有</w:t>
      </w:r>
      <w:r>
        <w:rPr>
          <w:rFonts w:hint="eastAsia" w:ascii="宋体" w:hAnsi="宋体"/>
          <w:snapToGrid w:val="0"/>
          <w:sz w:val="21"/>
          <w:szCs w:val="21"/>
        </w:rPr>
        <w:t>竞包人</w:t>
      </w:r>
      <w:r>
        <w:rPr>
          <w:rFonts w:ascii="宋体" w:hAnsi="宋体"/>
          <w:snapToGrid w:val="0"/>
          <w:sz w:val="21"/>
          <w:szCs w:val="21"/>
        </w:rPr>
        <w:t>延长</w:t>
      </w:r>
      <w:r>
        <w:rPr>
          <w:rFonts w:hint="eastAsia" w:ascii="宋体" w:hAnsi="宋体"/>
          <w:snapToGrid w:val="0"/>
          <w:sz w:val="21"/>
          <w:szCs w:val="21"/>
        </w:rPr>
        <w:t>竞包</w:t>
      </w:r>
      <w:r>
        <w:rPr>
          <w:rFonts w:ascii="宋体" w:hAnsi="宋体"/>
          <w:snapToGrid w:val="0"/>
          <w:sz w:val="21"/>
          <w:szCs w:val="21"/>
        </w:rPr>
        <w:t>有效期。</w:t>
      </w:r>
      <w:r>
        <w:rPr>
          <w:rFonts w:hint="eastAsia" w:ascii="宋体" w:hAnsi="宋体"/>
          <w:snapToGrid w:val="0"/>
          <w:sz w:val="21"/>
          <w:szCs w:val="21"/>
        </w:rPr>
        <w:t>竞包人</w:t>
      </w:r>
      <w:r>
        <w:rPr>
          <w:rFonts w:ascii="宋体" w:hAnsi="宋体"/>
          <w:snapToGrid w:val="0"/>
          <w:sz w:val="21"/>
          <w:szCs w:val="21"/>
        </w:rPr>
        <w:t>同意延长的，应相应延长其</w:t>
      </w:r>
      <w:r>
        <w:rPr>
          <w:rFonts w:hint="eastAsia" w:ascii="宋体" w:hAnsi="宋体"/>
          <w:snapToGrid w:val="0"/>
          <w:sz w:val="21"/>
          <w:szCs w:val="21"/>
        </w:rPr>
        <w:t>竞包</w:t>
      </w:r>
      <w:r>
        <w:rPr>
          <w:rFonts w:ascii="宋体" w:hAnsi="宋体"/>
          <w:snapToGrid w:val="0"/>
          <w:sz w:val="21"/>
          <w:szCs w:val="21"/>
        </w:rPr>
        <w:t>保证金的有效期，但不得要求或被允许修改或撤销其</w:t>
      </w:r>
      <w:r>
        <w:rPr>
          <w:rFonts w:hint="eastAsia" w:ascii="宋体" w:hAnsi="宋体"/>
          <w:snapToGrid w:val="0"/>
          <w:sz w:val="21"/>
          <w:szCs w:val="21"/>
        </w:rPr>
        <w:t>竞包文件</w:t>
      </w:r>
      <w:r>
        <w:rPr>
          <w:rFonts w:ascii="宋体" w:hAnsi="宋体"/>
          <w:snapToGrid w:val="0"/>
          <w:sz w:val="21"/>
          <w:szCs w:val="21"/>
        </w:rPr>
        <w:t>；</w:t>
      </w:r>
      <w:r>
        <w:rPr>
          <w:rFonts w:hint="eastAsia" w:ascii="宋体" w:hAnsi="宋体"/>
          <w:snapToGrid w:val="0"/>
          <w:sz w:val="21"/>
          <w:szCs w:val="21"/>
        </w:rPr>
        <w:t>竞包人</w:t>
      </w:r>
      <w:r>
        <w:rPr>
          <w:rFonts w:ascii="宋体" w:hAnsi="宋体"/>
          <w:snapToGrid w:val="0"/>
          <w:sz w:val="21"/>
          <w:szCs w:val="21"/>
        </w:rPr>
        <w:t>拒绝延长的，其</w:t>
      </w:r>
      <w:r>
        <w:rPr>
          <w:rFonts w:hint="eastAsia" w:ascii="宋体" w:hAnsi="宋体"/>
          <w:snapToGrid w:val="0"/>
          <w:sz w:val="21"/>
          <w:szCs w:val="21"/>
        </w:rPr>
        <w:t>竞包</w:t>
      </w:r>
      <w:r>
        <w:rPr>
          <w:rFonts w:ascii="宋体" w:hAnsi="宋体"/>
          <w:snapToGrid w:val="0"/>
          <w:sz w:val="21"/>
          <w:szCs w:val="21"/>
        </w:rPr>
        <w:t>失效，但</w:t>
      </w:r>
      <w:r>
        <w:rPr>
          <w:rFonts w:hint="eastAsia" w:ascii="宋体" w:hAnsi="宋体"/>
          <w:snapToGrid w:val="0"/>
          <w:sz w:val="21"/>
          <w:szCs w:val="21"/>
        </w:rPr>
        <w:t>竞包人</w:t>
      </w:r>
      <w:r>
        <w:rPr>
          <w:rFonts w:ascii="宋体" w:hAnsi="宋体"/>
          <w:snapToGrid w:val="0"/>
          <w:sz w:val="21"/>
          <w:szCs w:val="21"/>
        </w:rPr>
        <w:t>有权收回其</w:t>
      </w:r>
      <w:r>
        <w:rPr>
          <w:rFonts w:hint="eastAsia" w:ascii="宋体" w:hAnsi="宋体"/>
          <w:snapToGrid w:val="0"/>
          <w:sz w:val="21"/>
          <w:szCs w:val="21"/>
        </w:rPr>
        <w:t>竞包</w:t>
      </w:r>
      <w:r>
        <w:rPr>
          <w:rFonts w:ascii="宋体" w:hAnsi="宋体"/>
          <w:snapToGrid w:val="0"/>
          <w:sz w:val="21"/>
          <w:szCs w:val="21"/>
        </w:rPr>
        <w:t>保证金。</w:t>
      </w:r>
    </w:p>
    <w:p>
      <w:pPr>
        <w:snapToGrid w:val="0"/>
        <w:spacing w:line="374" w:lineRule="exact"/>
        <w:rPr>
          <w:rFonts w:ascii="宋体" w:hAnsi="宋体"/>
          <w:b/>
          <w:sz w:val="21"/>
          <w:szCs w:val="21"/>
        </w:rPr>
      </w:pPr>
      <w:r>
        <w:rPr>
          <w:rFonts w:ascii="宋体" w:hAnsi="宋体"/>
          <w:b/>
          <w:sz w:val="21"/>
          <w:szCs w:val="21"/>
        </w:rPr>
        <w:t xml:space="preserve">3.4 </w:t>
      </w:r>
      <w:r>
        <w:rPr>
          <w:rFonts w:hint="eastAsia" w:ascii="宋体" w:hAnsi="宋体"/>
          <w:b/>
          <w:sz w:val="21"/>
          <w:szCs w:val="21"/>
        </w:rPr>
        <w:t>竞包</w:t>
      </w:r>
      <w:r>
        <w:rPr>
          <w:rFonts w:ascii="宋体" w:hAnsi="宋体"/>
          <w:b/>
          <w:sz w:val="21"/>
          <w:szCs w:val="21"/>
        </w:rPr>
        <w:t>保证金</w:t>
      </w:r>
    </w:p>
    <w:p>
      <w:pPr>
        <w:snapToGrid w:val="0"/>
        <w:spacing w:line="374" w:lineRule="exact"/>
        <w:ind w:firstLine="420" w:firstLineChars="200"/>
        <w:rPr>
          <w:rFonts w:ascii="宋体" w:hAnsi="宋体"/>
          <w:snapToGrid w:val="0"/>
          <w:sz w:val="21"/>
          <w:szCs w:val="21"/>
        </w:rPr>
      </w:pPr>
      <w:r>
        <w:rPr>
          <w:rFonts w:hint="eastAsia" w:ascii="宋体" w:hAnsi="宋体"/>
          <w:snapToGrid w:val="0"/>
          <w:sz w:val="21"/>
          <w:szCs w:val="21"/>
        </w:rPr>
        <w:t>3.4.1竞包人应按竞包人须知前附表3.4.1规定数额交纳竞包保证金，竞包保证金必须从竞包人的银行基本帐户中转出，汇入竞包人须知前附表3.4.1规定的账户中，必须确保在竞包文件提交截止时间前到帐。</w:t>
      </w:r>
    </w:p>
    <w:p>
      <w:pPr>
        <w:snapToGrid w:val="0"/>
        <w:spacing w:line="374" w:lineRule="exact"/>
        <w:ind w:firstLine="420" w:firstLineChars="200"/>
        <w:rPr>
          <w:rFonts w:ascii="宋体" w:hAnsi="宋体"/>
          <w:snapToGrid w:val="0"/>
          <w:sz w:val="21"/>
          <w:szCs w:val="21"/>
        </w:rPr>
      </w:pPr>
      <w:r>
        <w:rPr>
          <w:rFonts w:hint="eastAsia" w:ascii="宋体" w:hAnsi="宋体"/>
          <w:snapToGrid w:val="0"/>
          <w:sz w:val="21"/>
          <w:szCs w:val="21"/>
        </w:rPr>
        <w:t>①网银或电汇形式：竞包人登录系统→“保证金查询（吴兴区），”菜单→选择打款的标段→查看此标段对应的子账号及户名→网银足额打款→到账后点击“查询”并自动关联。竞包保证金必须从竞包人的银行基本帐户中转出，汇入此标段对应的子账号中，必须确保在竞包文件提交截止时间前到帐。如实际到帐时间与关联时间不一致，以实际到帐时间为准。</w:t>
      </w:r>
    </w:p>
    <w:p>
      <w:pPr>
        <w:snapToGrid w:val="0"/>
        <w:spacing w:line="374" w:lineRule="exact"/>
        <w:ind w:firstLine="420" w:firstLineChars="200"/>
        <w:rPr>
          <w:rFonts w:hint="eastAsia" w:ascii="宋体" w:hAnsi="宋体"/>
          <w:snapToGrid w:val="0"/>
          <w:sz w:val="21"/>
          <w:szCs w:val="21"/>
        </w:rPr>
      </w:pPr>
      <w:r>
        <w:rPr>
          <w:rFonts w:hint="eastAsia" w:ascii="宋体" w:hAnsi="宋体"/>
          <w:snapToGrid w:val="0"/>
          <w:sz w:val="21"/>
          <w:szCs w:val="21"/>
        </w:rPr>
        <w:t>②电子保函：应在指定电子保单平台内申请投标保证金保险，承保金额须大于或等于本项目投标保证金金额。电子保函生成流程：投标人登录湖州市公共资源信息网→交易主体登录→“业务查询”模块点击“保单信息查看”→点击进入电子保函平台（或直接复制保单网址打开）→使用本单位CA锁登录平台→选择电子保函出具机构→点击“我要申请”并选择要投保的项目→确认收费标准并填写经办人相关信息→确认投标电子保函信息→签订协议并加盖电子公章→使用企业基本账户支付相关费用→电子保函生成并推送至交易平台（如有需要可下载PDF电子版）→电子保函信息（其中被保人须为招标人）可查看确认已发放的保单。</w:t>
      </w:r>
    </w:p>
    <w:p>
      <w:pPr>
        <w:snapToGrid w:val="0"/>
        <w:spacing w:line="374" w:lineRule="exact"/>
        <w:ind w:firstLine="420" w:firstLineChars="200"/>
        <w:rPr>
          <w:rFonts w:ascii="宋体" w:hAnsi="宋体"/>
          <w:snapToGrid w:val="0"/>
          <w:sz w:val="21"/>
          <w:szCs w:val="21"/>
        </w:rPr>
      </w:pPr>
      <w:r>
        <w:rPr>
          <w:rFonts w:hint="eastAsia" w:ascii="宋体" w:hAnsi="宋体"/>
          <w:snapToGrid w:val="0"/>
          <w:sz w:val="21"/>
          <w:szCs w:val="21"/>
        </w:rPr>
        <w:t>投标保证金除投标人须知前附表3.4.1规定外，必须与本项目进行关联，如实际到帐时间与关联时间不一致，以实际到帐时间为准。如为联合体投标的应由联合体牵头人提交投标保证金。</w:t>
      </w:r>
    </w:p>
    <w:p>
      <w:pPr>
        <w:snapToGrid w:val="0"/>
        <w:spacing w:line="374" w:lineRule="exact"/>
        <w:ind w:firstLine="420" w:firstLineChars="200"/>
        <w:rPr>
          <w:rFonts w:ascii="宋体" w:hAnsi="宋体"/>
          <w:snapToGrid w:val="0"/>
          <w:sz w:val="21"/>
          <w:szCs w:val="21"/>
        </w:rPr>
      </w:pPr>
      <w:r>
        <w:rPr>
          <w:rFonts w:hint="eastAsia" w:ascii="宋体" w:hAnsi="宋体"/>
          <w:snapToGrid w:val="0"/>
          <w:sz w:val="21"/>
          <w:szCs w:val="21"/>
        </w:rPr>
        <w:t>3.4.2竞包保证金是竞包文件的一个组成部分。竞包人不按本章第3.4.1项要求提交竞包保证金的，评审委员会将否决其竞包。</w:t>
      </w:r>
    </w:p>
    <w:p>
      <w:pPr>
        <w:snapToGrid w:val="0"/>
        <w:spacing w:line="374" w:lineRule="exact"/>
        <w:ind w:firstLine="420" w:firstLineChars="200"/>
        <w:rPr>
          <w:rFonts w:ascii="宋体" w:hAnsi="宋体"/>
          <w:snapToGrid w:val="0"/>
          <w:sz w:val="21"/>
          <w:szCs w:val="21"/>
        </w:rPr>
      </w:pPr>
      <w:r>
        <w:rPr>
          <w:rFonts w:hint="eastAsia" w:ascii="宋体" w:hAnsi="宋体"/>
          <w:snapToGrid w:val="0"/>
          <w:sz w:val="21"/>
          <w:szCs w:val="21"/>
        </w:rPr>
        <w:t>3.4.3 发包人与承包人签订合同后5日内，向未承包的竞包人和承包人退还竞包保证金及银行同期存款利息。</w:t>
      </w:r>
    </w:p>
    <w:p>
      <w:pPr>
        <w:snapToGrid w:val="0"/>
        <w:spacing w:line="374" w:lineRule="exact"/>
        <w:ind w:firstLine="420" w:firstLineChars="200"/>
        <w:rPr>
          <w:rFonts w:ascii="宋体" w:hAnsi="宋体"/>
          <w:snapToGrid w:val="0"/>
          <w:sz w:val="21"/>
          <w:szCs w:val="21"/>
        </w:rPr>
      </w:pPr>
      <w:r>
        <w:rPr>
          <w:rFonts w:ascii="宋体" w:hAnsi="宋体"/>
          <w:snapToGrid w:val="0"/>
          <w:sz w:val="21"/>
          <w:szCs w:val="21"/>
        </w:rPr>
        <w:t>3.4.4 有下列情形之一的，</w:t>
      </w:r>
      <w:r>
        <w:rPr>
          <w:rFonts w:hint="eastAsia" w:ascii="宋体" w:hAnsi="宋体"/>
          <w:snapToGrid w:val="0"/>
          <w:sz w:val="21"/>
          <w:szCs w:val="21"/>
        </w:rPr>
        <w:t>竞包</w:t>
      </w:r>
      <w:r>
        <w:rPr>
          <w:rFonts w:ascii="宋体" w:hAnsi="宋体"/>
          <w:snapToGrid w:val="0"/>
          <w:sz w:val="21"/>
          <w:szCs w:val="21"/>
        </w:rPr>
        <w:t>保证金将不予退还：</w:t>
      </w:r>
    </w:p>
    <w:p>
      <w:pPr>
        <w:snapToGrid w:val="0"/>
        <w:spacing w:line="374" w:lineRule="exact"/>
        <w:ind w:firstLine="420" w:firstLineChars="200"/>
        <w:rPr>
          <w:rFonts w:ascii="宋体" w:hAnsi="宋体"/>
          <w:snapToGrid w:val="0"/>
          <w:sz w:val="21"/>
          <w:szCs w:val="21"/>
        </w:rPr>
      </w:pPr>
      <w:r>
        <w:rPr>
          <w:rFonts w:hint="eastAsia" w:ascii="宋体" w:hAnsi="宋体"/>
          <w:snapToGrid w:val="0"/>
          <w:sz w:val="21"/>
          <w:szCs w:val="21"/>
        </w:rPr>
        <w:t>(</w:t>
      </w:r>
      <w:r>
        <w:rPr>
          <w:rFonts w:ascii="宋体" w:hAnsi="宋体"/>
          <w:snapToGrid w:val="0"/>
          <w:sz w:val="21"/>
          <w:szCs w:val="21"/>
        </w:rPr>
        <w:t>1</w:t>
      </w:r>
      <w:r>
        <w:rPr>
          <w:rFonts w:hint="eastAsia" w:ascii="宋体" w:hAnsi="宋体"/>
          <w:snapToGrid w:val="0"/>
          <w:sz w:val="21"/>
          <w:szCs w:val="21"/>
        </w:rPr>
        <w:t>) 竞包</w:t>
      </w:r>
      <w:r>
        <w:rPr>
          <w:rFonts w:ascii="宋体" w:hAnsi="宋体"/>
          <w:snapToGrid w:val="0"/>
          <w:sz w:val="21"/>
          <w:szCs w:val="21"/>
        </w:rPr>
        <w:t>人在规定的</w:t>
      </w:r>
      <w:r>
        <w:rPr>
          <w:rFonts w:hint="eastAsia" w:ascii="宋体" w:hAnsi="宋体"/>
          <w:snapToGrid w:val="0"/>
          <w:sz w:val="21"/>
          <w:szCs w:val="21"/>
        </w:rPr>
        <w:t>竞包</w:t>
      </w:r>
      <w:r>
        <w:rPr>
          <w:rFonts w:ascii="宋体" w:hAnsi="宋体"/>
          <w:snapToGrid w:val="0"/>
          <w:sz w:val="21"/>
          <w:szCs w:val="21"/>
        </w:rPr>
        <w:t>有效期内撤销或修改其</w:t>
      </w:r>
      <w:r>
        <w:rPr>
          <w:rFonts w:hint="eastAsia" w:ascii="宋体" w:hAnsi="宋体"/>
          <w:snapToGrid w:val="0"/>
          <w:sz w:val="21"/>
          <w:szCs w:val="21"/>
        </w:rPr>
        <w:t>竞包</w:t>
      </w:r>
      <w:r>
        <w:rPr>
          <w:rFonts w:ascii="宋体" w:hAnsi="宋体"/>
          <w:snapToGrid w:val="0"/>
          <w:sz w:val="21"/>
          <w:szCs w:val="21"/>
        </w:rPr>
        <w:t>文件；</w:t>
      </w:r>
    </w:p>
    <w:p>
      <w:pPr>
        <w:snapToGrid w:val="0"/>
        <w:spacing w:line="374" w:lineRule="exact"/>
        <w:ind w:firstLine="420" w:firstLineChars="200"/>
        <w:rPr>
          <w:rFonts w:ascii="宋体" w:hAnsi="宋体"/>
          <w:snapToGrid w:val="0"/>
          <w:sz w:val="21"/>
          <w:szCs w:val="21"/>
        </w:rPr>
      </w:pPr>
      <w:r>
        <w:rPr>
          <w:rFonts w:hint="eastAsia" w:ascii="宋体" w:hAnsi="宋体"/>
          <w:snapToGrid w:val="0"/>
          <w:sz w:val="21"/>
          <w:szCs w:val="21"/>
        </w:rPr>
        <w:t>(</w:t>
      </w:r>
      <w:r>
        <w:rPr>
          <w:rFonts w:ascii="宋体" w:hAnsi="宋体"/>
          <w:snapToGrid w:val="0"/>
          <w:sz w:val="21"/>
          <w:szCs w:val="21"/>
        </w:rPr>
        <w:t>2</w:t>
      </w:r>
      <w:r>
        <w:rPr>
          <w:rFonts w:hint="eastAsia" w:ascii="宋体" w:hAnsi="宋体"/>
          <w:snapToGrid w:val="0"/>
          <w:sz w:val="21"/>
          <w:szCs w:val="21"/>
        </w:rPr>
        <w:t xml:space="preserve">) </w:t>
      </w:r>
      <w:r>
        <w:rPr>
          <w:rFonts w:hint="eastAsia" w:ascii="宋体" w:hAnsi="宋体"/>
          <w:snapToGrid w:val="0"/>
          <w:spacing w:val="-4"/>
          <w:sz w:val="21"/>
          <w:szCs w:val="21"/>
        </w:rPr>
        <w:t>承包</w:t>
      </w:r>
      <w:r>
        <w:rPr>
          <w:rFonts w:ascii="宋体" w:hAnsi="宋体"/>
          <w:snapToGrid w:val="0"/>
          <w:spacing w:val="-4"/>
          <w:sz w:val="21"/>
          <w:szCs w:val="21"/>
        </w:rPr>
        <w:t>人在收到</w:t>
      </w:r>
      <w:r>
        <w:rPr>
          <w:rFonts w:hint="eastAsia" w:ascii="宋体" w:hAnsi="宋体"/>
          <w:snapToGrid w:val="0"/>
          <w:spacing w:val="-4"/>
          <w:sz w:val="21"/>
          <w:szCs w:val="21"/>
        </w:rPr>
        <w:t>成交通知书</w:t>
      </w:r>
      <w:r>
        <w:rPr>
          <w:rFonts w:ascii="宋体" w:hAnsi="宋体"/>
          <w:snapToGrid w:val="0"/>
          <w:spacing w:val="-4"/>
          <w:sz w:val="21"/>
          <w:szCs w:val="21"/>
        </w:rPr>
        <w:t>后，无正当理由拒签合同协议书或未按</w:t>
      </w:r>
      <w:r>
        <w:rPr>
          <w:rFonts w:hint="eastAsia" w:ascii="宋体" w:hAnsi="宋体"/>
          <w:snapToGrid w:val="0"/>
          <w:spacing w:val="-4"/>
          <w:sz w:val="21"/>
          <w:szCs w:val="21"/>
        </w:rPr>
        <w:t>发包</w:t>
      </w:r>
      <w:r>
        <w:rPr>
          <w:rFonts w:ascii="宋体" w:hAnsi="宋体"/>
          <w:snapToGrid w:val="0"/>
          <w:spacing w:val="-4"/>
          <w:sz w:val="21"/>
          <w:szCs w:val="21"/>
        </w:rPr>
        <w:t>文件规定提交履约担保。</w:t>
      </w:r>
    </w:p>
    <w:p>
      <w:pPr>
        <w:snapToGrid w:val="0"/>
        <w:spacing w:line="374" w:lineRule="exact"/>
        <w:rPr>
          <w:rFonts w:ascii="宋体" w:hAnsi="宋体"/>
          <w:b/>
          <w:sz w:val="21"/>
          <w:szCs w:val="21"/>
        </w:rPr>
      </w:pPr>
      <w:r>
        <w:rPr>
          <w:rFonts w:ascii="宋体" w:hAnsi="宋体"/>
          <w:b/>
          <w:sz w:val="21"/>
          <w:szCs w:val="21"/>
        </w:rPr>
        <w:t>3.5 资格审查资料</w:t>
      </w:r>
      <w:r>
        <w:rPr>
          <w:rFonts w:hint="eastAsia" w:ascii="宋体" w:hAnsi="宋体"/>
          <w:b/>
          <w:sz w:val="21"/>
          <w:szCs w:val="21"/>
        </w:rPr>
        <w:t>（适用于未进行资格预审的）</w:t>
      </w:r>
    </w:p>
    <w:p>
      <w:pPr>
        <w:snapToGrid w:val="0"/>
        <w:spacing w:line="374" w:lineRule="exact"/>
        <w:ind w:firstLine="420" w:firstLineChars="200"/>
        <w:rPr>
          <w:rFonts w:ascii="宋体" w:hAnsi="宋体"/>
          <w:snapToGrid w:val="0"/>
          <w:sz w:val="21"/>
          <w:szCs w:val="21"/>
        </w:rPr>
      </w:pPr>
      <w:r>
        <w:rPr>
          <w:rFonts w:hint="eastAsia" w:ascii="宋体" w:hAnsi="宋体"/>
          <w:snapToGrid w:val="0"/>
          <w:sz w:val="21"/>
          <w:szCs w:val="21"/>
        </w:rPr>
        <w:t>3.5.1 “竞包人基本情况表”应附竞包人营业执照副本、资质证书副本和安全生产许可证等材料的复印件；</w:t>
      </w:r>
    </w:p>
    <w:p>
      <w:pPr>
        <w:snapToGrid w:val="0"/>
        <w:spacing w:line="374" w:lineRule="exact"/>
        <w:ind w:firstLine="420" w:firstLineChars="200"/>
        <w:rPr>
          <w:rFonts w:ascii="宋体" w:hAnsi="宋体"/>
          <w:snapToGrid w:val="0"/>
          <w:sz w:val="21"/>
          <w:szCs w:val="21"/>
        </w:rPr>
      </w:pPr>
      <w:r>
        <w:rPr>
          <w:rFonts w:hint="eastAsia" w:ascii="宋体" w:hAnsi="宋体"/>
          <w:snapToGrid w:val="0"/>
          <w:sz w:val="21"/>
          <w:szCs w:val="21"/>
        </w:rPr>
        <w:t>3.5.2 “近年财务状况”应附流动资金来源证明及经会计师事务所或审计机构审计的财务会计报表，包括资产负债表、现金流量表、利润表和财务情况说明书的复印件，具体年份要求见竞包人须知前附表；</w:t>
      </w:r>
    </w:p>
    <w:p>
      <w:pPr>
        <w:snapToGrid w:val="0"/>
        <w:spacing w:line="374" w:lineRule="exact"/>
        <w:ind w:firstLine="420" w:firstLineChars="200"/>
        <w:rPr>
          <w:rFonts w:ascii="宋体" w:hAnsi="宋体"/>
          <w:snapToGrid w:val="0"/>
          <w:sz w:val="21"/>
          <w:szCs w:val="21"/>
        </w:rPr>
      </w:pPr>
      <w:r>
        <w:rPr>
          <w:rFonts w:hint="eastAsia" w:ascii="宋体" w:hAnsi="宋体"/>
          <w:snapToGrid w:val="0"/>
          <w:sz w:val="21"/>
          <w:szCs w:val="21"/>
        </w:rPr>
        <w:t xml:space="preserve">3.5.3 </w:t>
      </w:r>
      <w:r>
        <w:rPr>
          <w:rFonts w:hint="eastAsia" w:ascii="宋体" w:hAnsi="宋体" w:eastAsia="宋体" w:cs="Times New Roman"/>
          <w:snapToGrid w:val="0"/>
          <w:sz w:val="21"/>
          <w:szCs w:val="21"/>
        </w:rPr>
        <w:t>“</w:t>
      </w:r>
      <w:r>
        <w:rPr>
          <w:rFonts w:hint="eastAsia" w:ascii="Calibri" w:hAnsi="Calibri" w:eastAsia="宋体" w:cs="Times New Roman"/>
          <w:snapToGrid w:val="0"/>
          <w:sz w:val="21"/>
          <w:szCs w:val="21"/>
        </w:rPr>
        <w:t>近年完成的类似项目情况表</w:t>
      </w:r>
      <w:r>
        <w:rPr>
          <w:rFonts w:hint="eastAsia" w:ascii="宋体" w:hAnsi="宋体" w:eastAsia="宋体" w:cs="Times New Roman"/>
          <w:snapToGrid w:val="0"/>
          <w:sz w:val="21"/>
          <w:szCs w:val="21"/>
        </w:rPr>
        <w:t>”</w:t>
      </w:r>
      <w:r>
        <w:rPr>
          <w:rFonts w:hint="eastAsia" w:ascii="宋体" w:hAnsi="宋体"/>
          <w:snapToGrid w:val="0"/>
          <w:sz w:val="21"/>
          <w:szCs w:val="21"/>
        </w:rPr>
        <w:t>、“正在施工和新承接的项目情况表”（如有） 应附中标（成交）通知书和（或）合同协议书扫描件。每张表格只填写一个项目，并标明序号；</w:t>
      </w:r>
    </w:p>
    <w:p>
      <w:pPr>
        <w:snapToGrid w:val="0"/>
        <w:spacing w:line="374" w:lineRule="exact"/>
        <w:ind w:firstLine="420" w:firstLineChars="200"/>
        <w:rPr>
          <w:rFonts w:ascii="Calibri" w:hAnsi="Calibri" w:eastAsia="宋体" w:cs="Times New Roman"/>
          <w:snapToGrid w:val="0"/>
          <w:sz w:val="21"/>
          <w:szCs w:val="21"/>
        </w:rPr>
      </w:pPr>
      <w:r>
        <w:rPr>
          <w:rFonts w:hint="eastAsia" w:ascii="宋体" w:hAnsi="宋体"/>
          <w:snapToGrid w:val="0"/>
          <w:sz w:val="21"/>
          <w:szCs w:val="21"/>
        </w:rPr>
        <w:t>3.5.4 “近年发生的诉讼及仲裁情况表”（如有）应说明相关情况，并附法院或仲裁机构作出的判</w:t>
      </w:r>
      <w:r>
        <w:rPr>
          <w:rFonts w:hint="eastAsia" w:ascii="Calibri" w:hAnsi="Calibri" w:eastAsia="宋体" w:cs="Times New Roman"/>
          <w:snapToGrid w:val="0"/>
          <w:sz w:val="21"/>
          <w:szCs w:val="21"/>
        </w:rPr>
        <w:t>决、裁决等有关法律文书复印件，具体年份要求见竞包人须知前附表；</w:t>
      </w:r>
    </w:p>
    <w:p>
      <w:pPr>
        <w:snapToGrid w:val="0"/>
        <w:spacing w:line="374" w:lineRule="exact"/>
        <w:ind w:firstLine="420" w:firstLineChars="200"/>
        <w:rPr>
          <w:rFonts w:ascii="Calibri" w:hAnsi="Calibri" w:eastAsia="宋体" w:cs="Times New Roman"/>
          <w:snapToGrid w:val="0"/>
          <w:sz w:val="21"/>
          <w:szCs w:val="21"/>
        </w:rPr>
      </w:pPr>
      <w:r>
        <w:rPr>
          <w:rFonts w:hint="eastAsia" w:ascii="宋体" w:hAnsi="宋体"/>
          <w:snapToGrid w:val="0"/>
          <w:sz w:val="21"/>
          <w:szCs w:val="21"/>
        </w:rPr>
        <w:t>3.5.5</w:t>
      </w:r>
      <w:r>
        <w:rPr>
          <w:rFonts w:hint="eastAsia" w:ascii="宋体" w:hAnsi="宋体"/>
          <w:snapToGrid w:val="0"/>
          <w:sz w:val="21"/>
          <w:szCs w:val="21"/>
          <w:lang w:val="en-US" w:eastAsia="zh-CN"/>
        </w:rPr>
        <w:t xml:space="preserve"> </w:t>
      </w:r>
      <w:r>
        <w:rPr>
          <w:rFonts w:hint="eastAsia" w:ascii="Calibri" w:hAnsi="Calibri" w:eastAsia="宋体" w:cs="Times New Roman"/>
          <w:snapToGrid w:val="0"/>
          <w:sz w:val="21"/>
          <w:szCs w:val="21"/>
        </w:rPr>
        <w:t>其他资格审查资料，具体要求见竞包人须知前附表；</w:t>
      </w:r>
    </w:p>
    <w:p>
      <w:pPr>
        <w:snapToGrid w:val="0"/>
        <w:spacing w:line="374" w:lineRule="exact"/>
        <w:ind w:firstLine="420" w:firstLineChars="200"/>
        <w:rPr>
          <w:rFonts w:ascii="宋体" w:hAnsi="宋体"/>
          <w:snapToGrid w:val="0"/>
          <w:sz w:val="21"/>
          <w:szCs w:val="21"/>
        </w:rPr>
      </w:pPr>
      <w:r>
        <w:rPr>
          <w:rFonts w:hint="eastAsia" w:ascii="宋体" w:cs="宋体"/>
          <w:sz w:val="21"/>
          <w:szCs w:val="21"/>
        </w:rPr>
        <w:t>3.5.</w:t>
      </w:r>
      <w:r>
        <w:rPr>
          <w:rFonts w:hint="eastAsia" w:ascii="宋体" w:cs="宋体"/>
          <w:sz w:val="21"/>
          <w:szCs w:val="21"/>
          <w:lang w:val="en-US" w:eastAsia="zh-CN"/>
        </w:rPr>
        <w:t xml:space="preserve">6 </w:t>
      </w:r>
      <w:r>
        <w:rPr>
          <w:rFonts w:hint="eastAsia" w:ascii="宋体" w:cs="宋体"/>
          <w:sz w:val="21"/>
          <w:szCs w:val="21"/>
        </w:rPr>
        <w:t>竞包人须知前附表规定接受联合体竞包的，本章第3.5.1项～3.5.4项规定的表格。</w:t>
      </w:r>
    </w:p>
    <w:p>
      <w:pPr>
        <w:snapToGrid w:val="0"/>
        <w:spacing w:line="374" w:lineRule="exact"/>
        <w:rPr>
          <w:rFonts w:ascii="宋体" w:hAnsi="宋体"/>
          <w:b/>
          <w:sz w:val="21"/>
          <w:szCs w:val="21"/>
        </w:rPr>
      </w:pPr>
      <w:r>
        <w:rPr>
          <w:rFonts w:ascii="宋体" w:hAnsi="宋体"/>
          <w:b/>
          <w:sz w:val="21"/>
          <w:szCs w:val="21"/>
        </w:rPr>
        <w:t>3.6 备选</w:t>
      </w:r>
      <w:r>
        <w:rPr>
          <w:rFonts w:hint="eastAsia" w:ascii="宋体" w:hAnsi="宋体"/>
          <w:b/>
          <w:sz w:val="21"/>
          <w:szCs w:val="21"/>
        </w:rPr>
        <w:t>竞包</w:t>
      </w:r>
      <w:r>
        <w:rPr>
          <w:rFonts w:ascii="宋体" w:hAnsi="宋体"/>
          <w:b/>
          <w:sz w:val="21"/>
          <w:szCs w:val="21"/>
        </w:rPr>
        <w:t>方案</w:t>
      </w:r>
    </w:p>
    <w:p>
      <w:pPr>
        <w:pStyle w:val="9"/>
        <w:ind w:firstLine="420" w:firstLineChars="200"/>
      </w:pPr>
      <w:r>
        <w:rPr>
          <w:rFonts w:hint="eastAsia" w:ascii="宋体" w:hAnsi="宋体"/>
          <w:snapToGrid w:val="0"/>
          <w:sz w:val="21"/>
          <w:szCs w:val="21"/>
        </w:rPr>
        <w:t>竞包人不得递交备选竞包方案。</w:t>
      </w:r>
    </w:p>
    <w:p>
      <w:pPr>
        <w:snapToGrid w:val="0"/>
        <w:spacing w:line="374" w:lineRule="exact"/>
        <w:rPr>
          <w:rFonts w:ascii="宋体" w:hAnsi="宋体"/>
          <w:b/>
          <w:sz w:val="21"/>
          <w:szCs w:val="21"/>
        </w:rPr>
      </w:pPr>
      <w:r>
        <w:rPr>
          <w:rFonts w:ascii="宋体" w:hAnsi="宋体"/>
          <w:b/>
          <w:sz w:val="21"/>
          <w:szCs w:val="21"/>
        </w:rPr>
        <w:t xml:space="preserve">3.7 </w:t>
      </w:r>
      <w:r>
        <w:rPr>
          <w:rFonts w:hint="eastAsia" w:ascii="宋体" w:hAnsi="宋体"/>
          <w:b/>
          <w:sz w:val="21"/>
          <w:szCs w:val="21"/>
        </w:rPr>
        <w:t>竞包文件</w:t>
      </w:r>
      <w:r>
        <w:rPr>
          <w:rFonts w:ascii="宋体" w:hAnsi="宋体"/>
          <w:b/>
          <w:sz w:val="21"/>
          <w:szCs w:val="21"/>
        </w:rPr>
        <w:t>的编制</w:t>
      </w:r>
    </w:p>
    <w:p>
      <w:pPr>
        <w:snapToGrid w:val="0"/>
        <w:spacing w:line="374" w:lineRule="exact"/>
        <w:ind w:firstLine="420" w:firstLineChars="200"/>
        <w:rPr>
          <w:rFonts w:ascii="宋体" w:hAnsi="宋体"/>
          <w:snapToGrid w:val="0"/>
          <w:sz w:val="21"/>
          <w:szCs w:val="21"/>
        </w:rPr>
      </w:pPr>
      <w:r>
        <w:rPr>
          <w:rFonts w:ascii="宋体" w:hAnsi="宋体"/>
          <w:snapToGrid w:val="0"/>
          <w:sz w:val="21"/>
          <w:szCs w:val="21"/>
        </w:rPr>
        <w:t xml:space="preserve">3.7.1 </w:t>
      </w:r>
      <w:r>
        <w:rPr>
          <w:rFonts w:hint="eastAsia" w:ascii="宋体" w:hAnsi="宋体"/>
          <w:snapToGrid w:val="0"/>
          <w:sz w:val="21"/>
          <w:szCs w:val="21"/>
        </w:rPr>
        <w:t>竞包文件</w:t>
      </w:r>
      <w:r>
        <w:rPr>
          <w:rFonts w:ascii="宋体" w:hAnsi="宋体"/>
          <w:snapToGrid w:val="0"/>
          <w:sz w:val="21"/>
          <w:szCs w:val="21"/>
        </w:rPr>
        <w:t>应按第</w:t>
      </w:r>
      <w:r>
        <w:rPr>
          <w:rFonts w:hint="eastAsia" w:ascii="宋体" w:hAnsi="宋体"/>
          <w:snapToGrid w:val="0"/>
          <w:sz w:val="21"/>
          <w:szCs w:val="21"/>
        </w:rPr>
        <w:t>八</w:t>
      </w:r>
      <w:r>
        <w:rPr>
          <w:rFonts w:ascii="宋体" w:hAnsi="宋体"/>
          <w:snapToGrid w:val="0"/>
          <w:sz w:val="21"/>
          <w:szCs w:val="21"/>
        </w:rPr>
        <w:t>章“</w:t>
      </w:r>
      <w:r>
        <w:rPr>
          <w:rFonts w:hint="eastAsia" w:ascii="宋体" w:hAnsi="宋体"/>
          <w:snapToGrid w:val="0"/>
          <w:sz w:val="21"/>
          <w:szCs w:val="21"/>
        </w:rPr>
        <w:t>竞包文件</w:t>
      </w:r>
      <w:r>
        <w:rPr>
          <w:rFonts w:ascii="宋体" w:hAnsi="宋体"/>
          <w:snapToGrid w:val="0"/>
          <w:sz w:val="21"/>
          <w:szCs w:val="21"/>
        </w:rPr>
        <w:t>格式”进行编写，如有必要，可以增加附页，作为</w:t>
      </w:r>
      <w:r>
        <w:rPr>
          <w:rFonts w:hint="eastAsia" w:ascii="宋体" w:hAnsi="宋体"/>
          <w:snapToGrid w:val="0"/>
          <w:sz w:val="21"/>
          <w:szCs w:val="21"/>
        </w:rPr>
        <w:t>竞包文件</w:t>
      </w:r>
      <w:r>
        <w:rPr>
          <w:rFonts w:ascii="宋体" w:hAnsi="宋体"/>
          <w:snapToGrid w:val="0"/>
          <w:sz w:val="21"/>
          <w:szCs w:val="21"/>
        </w:rPr>
        <w:t>的组成部分。</w:t>
      </w:r>
    </w:p>
    <w:p>
      <w:pPr>
        <w:snapToGrid w:val="0"/>
        <w:spacing w:line="374" w:lineRule="exact"/>
        <w:ind w:firstLine="420" w:firstLineChars="200"/>
        <w:rPr>
          <w:rFonts w:ascii="宋体" w:hAnsi="宋体"/>
          <w:snapToGrid w:val="0"/>
          <w:sz w:val="21"/>
          <w:szCs w:val="21"/>
        </w:rPr>
      </w:pPr>
      <w:r>
        <w:rPr>
          <w:rFonts w:ascii="宋体" w:hAnsi="宋体"/>
          <w:snapToGrid w:val="0"/>
          <w:sz w:val="21"/>
          <w:szCs w:val="21"/>
        </w:rPr>
        <w:t xml:space="preserve">3.7.2 </w:t>
      </w:r>
      <w:r>
        <w:rPr>
          <w:rFonts w:hint="eastAsia" w:ascii="宋体" w:hAnsi="宋体"/>
          <w:snapToGrid w:val="0"/>
          <w:sz w:val="21"/>
          <w:szCs w:val="21"/>
          <w:lang w:val="en-US" w:eastAsia="zh-CN"/>
        </w:rPr>
        <w:t xml:space="preserve"> </w:t>
      </w:r>
      <w:r>
        <w:rPr>
          <w:rFonts w:hint="eastAsia" w:hAnsi="宋体"/>
          <w:snapToGrid w:val="0"/>
          <w:sz w:val="21"/>
          <w:szCs w:val="21"/>
        </w:rPr>
        <w:t>CA加密电子</w:t>
      </w:r>
      <w:r>
        <w:rPr>
          <w:rFonts w:hint="eastAsia" w:ascii="宋体" w:hAnsi="宋体"/>
          <w:snapToGrid w:val="0"/>
          <w:sz w:val="21"/>
          <w:szCs w:val="21"/>
        </w:rPr>
        <w:t>竞包文件</w:t>
      </w:r>
      <w:r>
        <w:rPr>
          <w:rFonts w:ascii="宋体" w:hAnsi="宋体"/>
          <w:snapToGrid w:val="0"/>
          <w:sz w:val="21"/>
          <w:szCs w:val="21"/>
        </w:rPr>
        <w:t>应当对</w:t>
      </w:r>
      <w:r>
        <w:rPr>
          <w:rFonts w:hint="eastAsia" w:ascii="宋体" w:hAnsi="宋体"/>
          <w:snapToGrid w:val="0"/>
          <w:sz w:val="21"/>
          <w:szCs w:val="21"/>
        </w:rPr>
        <w:t>发包文件</w:t>
      </w:r>
      <w:r>
        <w:rPr>
          <w:rFonts w:ascii="宋体" w:hAnsi="宋体"/>
          <w:snapToGrid w:val="0"/>
          <w:sz w:val="21"/>
          <w:szCs w:val="21"/>
        </w:rPr>
        <w:t>有关工期、</w:t>
      </w:r>
      <w:r>
        <w:rPr>
          <w:rFonts w:hint="eastAsia" w:ascii="宋体" w:hAnsi="宋体"/>
          <w:snapToGrid w:val="0"/>
          <w:sz w:val="21"/>
          <w:szCs w:val="21"/>
        </w:rPr>
        <w:t>竞包</w:t>
      </w:r>
      <w:r>
        <w:rPr>
          <w:rFonts w:ascii="宋体" w:hAnsi="宋体"/>
          <w:snapToGrid w:val="0"/>
          <w:sz w:val="21"/>
          <w:szCs w:val="21"/>
        </w:rPr>
        <w:t>有效期、质量要求、</w:t>
      </w:r>
      <w:r>
        <w:rPr>
          <w:rFonts w:hint="eastAsia" w:ascii="宋体" w:hAnsi="宋体"/>
          <w:snapToGrid w:val="0"/>
          <w:sz w:val="21"/>
          <w:szCs w:val="21"/>
        </w:rPr>
        <w:t>技术标</w:t>
      </w:r>
      <w:r>
        <w:rPr>
          <w:rFonts w:ascii="宋体" w:hAnsi="宋体"/>
          <w:snapToGrid w:val="0"/>
          <w:sz w:val="21"/>
          <w:szCs w:val="21"/>
        </w:rPr>
        <w:t>准和要求、</w:t>
      </w:r>
      <w:r>
        <w:rPr>
          <w:rFonts w:hint="eastAsia" w:ascii="宋体" w:hAnsi="宋体"/>
          <w:snapToGrid w:val="0"/>
          <w:sz w:val="21"/>
          <w:szCs w:val="21"/>
        </w:rPr>
        <w:t>发包</w:t>
      </w:r>
      <w:r>
        <w:rPr>
          <w:rFonts w:ascii="宋体" w:hAnsi="宋体"/>
          <w:snapToGrid w:val="0"/>
          <w:sz w:val="21"/>
          <w:szCs w:val="21"/>
        </w:rPr>
        <w:t>范围等实质性内容作出响应</w:t>
      </w:r>
      <w:r>
        <w:rPr>
          <w:rFonts w:hint="eastAsia" w:ascii="宋体" w:hAnsi="宋体"/>
          <w:snapToGrid w:val="0"/>
          <w:sz w:val="21"/>
          <w:szCs w:val="21"/>
        </w:rPr>
        <w:t>。</w:t>
      </w:r>
    </w:p>
    <w:p>
      <w:pPr>
        <w:pStyle w:val="56"/>
        <w:spacing w:line="520" w:lineRule="exact"/>
        <w:ind w:firstLine="425"/>
        <w:jc w:val="both"/>
        <w:rPr>
          <w:rFonts w:hAnsi="宋体" w:cstheme="minorBidi"/>
          <w:snapToGrid w:val="0"/>
          <w:color w:val="auto"/>
          <w:sz w:val="21"/>
          <w:szCs w:val="21"/>
        </w:rPr>
      </w:pPr>
      <w:r>
        <w:rPr>
          <w:rFonts w:hint="eastAsia" w:hAnsi="宋体" w:cstheme="minorBidi"/>
          <w:snapToGrid w:val="0"/>
          <w:color w:val="auto"/>
          <w:sz w:val="21"/>
          <w:szCs w:val="21"/>
        </w:rPr>
        <w:t>3.7.3 CA加密电子竞包文件应按第六章“竞包文件格式”进行编写。</w:t>
      </w:r>
    </w:p>
    <w:p>
      <w:pPr>
        <w:pStyle w:val="56"/>
        <w:spacing w:line="520" w:lineRule="exact"/>
        <w:ind w:firstLine="425"/>
        <w:jc w:val="both"/>
        <w:rPr>
          <w:rFonts w:hAnsi="宋体" w:cstheme="minorBidi"/>
          <w:snapToGrid w:val="0"/>
          <w:color w:val="auto"/>
          <w:sz w:val="21"/>
          <w:szCs w:val="21"/>
        </w:rPr>
      </w:pPr>
      <w:r>
        <w:rPr>
          <w:rFonts w:hint="eastAsia" w:hAnsi="宋体" w:cstheme="minorBidi"/>
          <w:snapToGrid w:val="0"/>
          <w:color w:val="auto"/>
          <w:sz w:val="21"/>
          <w:szCs w:val="21"/>
        </w:rPr>
        <w:t>3.7.4</w:t>
      </w:r>
      <w:r>
        <w:rPr>
          <w:rFonts w:hint="eastAsia" w:hAnsi="宋体" w:cstheme="minorBidi"/>
          <w:snapToGrid w:val="0"/>
          <w:color w:val="auto"/>
          <w:sz w:val="21"/>
          <w:szCs w:val="21"/>
          <w:lang w:val="en-US" w:eastAsia="zh-CN"/>
        </w:rPr>
        <w:t xml:space="preserve"> </w:t>
      </w:r>
      <w:r>
        <w:rPr>
          <w:rFonts w:hint="eastAsia" w:hAnsi="宋体" w:cstheme="minorBidi"/>
          <w:snapToGrid w:val="0"/>
          <w:color w:val="auto"/>
          <w:sz w:val="21"/>
          <w:szCs w:val="21"/>
        </w:rPr>
        <w:t>CA加密电子竞包文件应当对发包文件有关工期、竞包有效期、质量要求、技术标准和要求、发包范围等实质性内容作出响应。</w:t>
      </w:r>
    </w:p>
    <w:p>
      <w:pPr>
        <w:pStyle w:val="56"/>
        <w:spacing w:line="520" w:lineRule="exact"/>
        <w:ind w:firstLine="425"/>
        <w:jc w:val="both"/>
        <w:rPr>
          <w:rFonts w:hAnsi="宋体" w:cstheme="minorBidi"/>
          <w:snapToGrid w:val="0"/>
          <w:color w:val="auto"/>
          <w:sz w:val="21"/>
          <w:szCs w:val="21"/>
        </w:rPr>
      </w:pPr>
      <w:r>
        <w:rPr>
          <w:rFonts w:hint="eastAsia" w:hAnsi="宋体" w:cstheme="minorBidi"/>
          <w:snapToGrid w:val="0"/>
          <w:color w:val="auto"/>
          <w:sz w:val="21"/>
          <w:szCs w:val="21"/>
        </w:rPr>
        <w:t>3.7.5</w:t>
      </w:r>
      <w:r>
        <w:rPr>
          <w:rFonts w:hint="eastAsia" w:hAnsi="宋体" w:cstheme="minorBidi"/>
          <w:snapToGrid w:val="0"/>
          <w:color w:val="auto"/>
          <w:sz w:val="21"/>
          <w:szCs w:val="21"/>
          <w:lang w:val="en-US" w:eastAsia="zh-CN"/>
        </w:rPr>
        <w:t xml:space="preserve"> </w:t>
      </w:r>
      <w:r>
        <w:rPr>
          <w:rFonts w:hint="eastAsia" w:hAnsi="宋体" w:cstheme="minorBidi"/>
          <w:snapToGrid w:val="0"/>
          <w:color w:val="auto"/>
          <w:sz w:val="21"/>
          <w:szCs w:val="21"/>
        </w:rPr>
        <w:t>CA加密电子竞包文件应由竞包单位进行电子签章盖章确认。</w:t>
      </w:r>
    </w:p>
    <w:p>
      <w:pPr>
        <w:pStyle w:val="56"/>
        <w:spacing w:line="520" w:lineRule="exact"/>
        <w:ind w:firstLine="425"/>
        <w:jc w:val="both"/>
        <w:rPr>
          <w:rFonts w:hAnsi="宋体" w:cstheme="minorBidi"/>
          <w:snapToGrid w:val="0"/>
          <w:color w:val="auto"/>
          <w:sz w:val="21"/>
          <w:szCs w:val="21"/>
        </w:rPr>
      </w:pPr>
      <w:r>
        <w:rPr>
          <w:rFonts w:hint="eastAsia" w:hAnsi="宋体" w:cstheme="minorBidi"/>
          <w:snapToGrid w:val="0"/>
          <w:color w:val="auto"/>
          <w:sz w:val="21"/>
          <w:szCs w:val="21"/>
        </w:rPr>
        <w:t>3.7.6</w:t>
      </w:r>
      <w:r>
        <w:rPr>
          <w:rFonts w:hint="eastAsia" w:hAnsi="宋体" w:cstheme="minorBidi"/>
          <w:snapToGrid w:val="0"/>
          <w:color w:val="auto"/>
          <w:sz w:val="21"/>
          <w:szCs w:val="21"/>
          <w:lang w:val="en-US" w:eastAsia="zh-CN"/>
        </w:rPr>
        <w:t xml:space="preserve"> </w:t>
      </w:r>
      <w:r>
        <w:rPr>
          <w:rFonts w:hint="eastAsia" w:hAnsi="宋体" w:cstheme="minorBidi"/>
          <w:snapToGrid w:val="0"/>
          <w:color w:val="auto"/>
          <w:sz w:val="21"/>
          <w:szCs w:val="21"/>
        </w:rPr>
        <w:t>竞包人编制的CA加密电子竞包文件，必须是使用新点竞包文件制作软件最新版（系统自带更新系统）生成的后缀名为“.HZTF”的CA加密电子竞包文件。未按上述要求加密和数字证书认证的竞包文件，将被视为无效竞包文件。</w:t>
      </w:r>
    </w:p>
    <w:p>
      <w:pPr>
        <w:pStyle w:val="56"/>
        <w:spacing w:line="520" w:lineRule="exact"/>
        <w:ind w:firstLine="425"/>
        <w:jc w:val="both"/>
        <w:rPr>
          <w:rFonts w:hAnsi="宋体" w:cstheme="minorBidi"/>
          <w:snapToGrid w:val="0"/>
          <w:color w:val="auto"/>
          <w:sz w:val="21"/>
          <w:szCs w:val="21"/>
        </w:rPr>
      </w:pPr>
      <w:r>
        <w:rPr>
          <w:rFonts w:hint="eastAsia" w:hAnsi="宋体" w:cstheme="minorBidi"/>
          <w:snapToGrid w:val="0"/>
          <w:color w:val="auto"/>
          <w:sz w:val="21"/>
          <w:szCs w:val="21"/>
        </w:rPr>
        <w:t>3.7.7</w:t>
      </w:r>
      <w:r>
        <w:rPr>
          <w:rFonts w:hint="eastAsia" w:hAnsi="宋体" w:cstheme="minorBidi"/>
          <w:snapToGrid w:val="0"/>
          <w:color w:val="auto"/>
          <w:sz w:val="21"/>
          <w:szCs w:val="21"/>
          <w:lang w:val="en-US" w:eastAsia="zh-CN"/>
        </w:rPr>
        <w:t xml:space="preserve"> </w:t>
      </w:r>
      <w:r>
        <w:rPr>
          <w:rFonts w:hint="eastAsia" w:hAnsi="宋体" w:cstheme="minorBidi"/>
          <w:snapToGrid w:val="0"/>
          <w:color w:val="auto"/>
          <w:sz w:val="21"/>
          <w:szCs w:val="21"/>
        </w:rPr>
        <w:t>电子竞包流程如下：</w:t>
      </w:r>
    </w:p>
    <w:p>
      <w:pPr>
        <w:pStyle w:val="56"/>
        <w:spacing w:line="520" w:lineRule="exact"/>
        <w:ind w:firstLine="425"/>
        <w:jc w:val="both"/>
        <w:rPr>
          <w:rFonts w:hAnsi="宋体"/>
          <w:snapToGrid w:val="0"/>
          <w:sz w:val="21"/>
          <w:szCs w:val="21"/>
        </w:rPr>
      </w:pPr>
      <w:r>
        <w:rPr>
          <w:rFonts w:hint="eastAsia" w:hAnsi="宋体" w:eastAsiaTheme="minorEastAsia" w:cstheme="minorBidi"/>
          <w:b/>
          <w:color w:val="auto"/>
          <w:sz w:val="21"/>
          <w:szCs w:val="21"/>
        </w:rPr>
        <w:t>湖州市公共资源交易信息网→湖州市限额发包平台→交易主体登录→下载发包文件（如果有答疑澄清文件，需要下载答疑澄清文件进行制作）→使用电子竞包文件制作工具制作竞包文件→系统完善竞包信息（网上递交投标保证金并确保与本工程关联；使用“E保通”电子保单的请在“保函信息查看”中确认已发放）→上传竞包文件→点击“模拟解密”按钮→提示解密成功。</w:t>
      </w:r>
    </w:p>
    <w:p>
      <w:pPr>
        <w:pStyle w:val="6"/>
        <w:snapToGrid w:val="0"/>
        <w:spacing w:line="374" w:lineRule="exact"/>
        <w:jc w:val="both"/>
        <w:rPr>
          <w:rFonts w:ascii="宋体" w:hAnsi="宋体" w:eastAsia="宋体"/>
          <w:snapToGrid w:val="0"/>
          <w:sz w:val="21"/>
          <w:szCs w:val="21"/>
        </w:rPr>
      </w:pPr>
      <w:bookmarkStart w:id="46" w:name="_Toc271200546"/>
      <w:bookmarkStart w:id="47" w:name="_Toc251597986"/>
      <w:bookmarkStart w:id="48" w:name="_Toc6369"/>
      <w:bookmarkStart w:id="49" w:name="_Toc251245631"/>
      <w:bookmarkStart w:id="50" w:name="_Toc259802193"/>
      <w:bookmarkStart w:id="51" w:name="_Toc261333114"/>
      <w:bookmarkStart w:id="52" w:name="_Toc271220712"/>
      <w:r>
        <w:rPr>
          <w:rFonts w:ascii="宋体" w:hAnsi="宋体" w:eastAsia="宋体"/>
          <w:snapToGrid w:val="0"/>
          <w:sz w:val="21"/>
          <w:szCs w:val="21"/>
        </w:rPr>
        <w:t>4</w:t>
      </w:r>
      <w:bookmarkEnd w:id="46"/>
      <w:bookmarkEnd w:id="47"/>
      <w:bookmarkEnd w:id="48"/>
      <w:bookmarkEnd w:id="49"/>
      <w:bookmarkEnd w:id="50"/>
      <w:bookmarkEnd w:id="51"/>
      <w:bookmarkEnd w:id="52"/>
      <w:r>
        <w:rPr>
          <w:rFonts w:hint="eastAsia" w:ascii="宋体" w:hAnsi="宋体" w:eastAsia="宋体"/>
          <w:snapToGrid w:val="0"/>
          <w:sz w:val="21"/>
          <w:szCs w:val="21"/>
        </w:rPr>
        <w:t>竞包</w:t>
      </w:r>
    </w:p>
    <w:p>
      <w:pPr>
        <w:snapToGrid w:val="0"/>
        <w:spacing w:line="374" w:lineRule="exact"/>
        <w:rPr>
          <w:rFonts w:ascii="宋体" w:hAnsi="宋体"/>
          <w:b/>
          <w:sz w:val="21"/>
          <w:szCs w:val="21"/>
        </w:rPr>
      </w:pPr>
      <w:r>
        <w:rPr>
          <w:rFonts w:ascii="宋体" w:hAnsi="宋体"/>
          <w:b/>
          <w:sz w:val="21"/>
          <w:szCs w:val="21"/>
        </w:rPr>
        <w:t xml:space="preserve">4.1 </w:t>
      </w:r>
      <w:r>
        <w:rPr>
          <w:rFonts w:hint="eastAsia" w:ascii="宋体" w:hAnsi="宋体"/>
          <w:b/>
          <w:sz w:val="21"/>
          <w:szCs w:val="21"/>
        </w:rPr>
        <w:t>竞包文件</w:t>
      </w:r>
      <w:r>
        <w:rPr>
          <w:rFonts w:ascii="宋体" w:hAnsi="宋体"/>
          <w:b/>
          <w:sz w:val="21"/>
          <w:szCs w:val="21"/>
        </w:rPr>
        <w:t>的密封和标识</w:t>
      </w:r>
    </w:p>
    <w:p>
      <w:pPr>
        <w:spacing w:line="500" w:lineRule="exact"/>
        <w:ind w:firstLine="420" w:firstLineChars="200"/>
        <w:rPr>
          <w:rFonts w:ascii="宋体" w:hAnsi="宋体" w:eastAsia="宋体"/>
          <w:snapToGrid w:val="0"/>
          <w:sz w:val="21"/>
          <w:szCs w:val="21"/>
        </w:rPr>
      </w:pPr>
      <w:bookmarkStart w:id="53" w:name="第二章第411项"/>
      <w:r>
        <w:rPr>
          <w:rFonts w:hint="eastAsia" w:ascii="宋体" w:hAnsi="宋体" w:eastAsia="宋体"/>
          <w:snapToGrid w:val="0"/>
          <w:sz w:val="21"/>
          <w:szCs w:val="21"/>
        </w:rPr>
        <w:t>4.1.1</w:t>
      </w:r>
      <w:bookmarkEnd w:id="53"/>
      <w:r>
        <w:rPr>
          <w:rFonts w:hint="eastAsia" w:ascii="宋体" w:hAnsi="宋体"/>
          <w:b/>
          <w:sz w:val="21"/>
          <w:szCs w:val="21"/>
        </w:rPr>
        <w:t>竞包文件（CA加密后的电子竞包文件）</w:t>
      </w:r>
      <w:r>
        <w:rPr>
          <w:rFonts w:hint="eastAsia" w:ascii="宋体" w:hAnsi="宋体" w:eastAsia="宋体"/>
          <w:snapToGrid w:val="0"/>
          <w:sz w:val="21"/>
          <w:szCs w:val="21"/>
        </w:rPr>
        <w:t>：在投标截止时间前登陆湖州市公共资源交易系统上的竞包文件递交模块上传；</w:t>
      </w:r>
    </w:p>
    <w:p>
      <w:pPr>
        <w:spacing w:line="500" w:lineRule="exact"/>
        <w:ind w:firstLine="420" w:firstLineChars="200"/>
        <w:rPr>
          <w:rFonts w:ascii="宋体" w:hAnsi="宋体" w:eastAsia="宋体"/>
          <w:snapToGrid w:val="0"/>
          <w:sz w:val="21"/>
          <w:szCs w:val="21"/>
        </w:rPr>
      </w:pPr>
      <w:r>
        <w:rPr>
          <w:rFonts w:hint="eastAsia" w:ascii="宋体" w:hAnsi="宋体" w:eastAsia="宋体"/>
          <w:snapToGrid w:val="0"/>
          <w:sz w:val="21"/>
          <w:szCs w:val="21"/>
        </w:rPr>
        <w:t>4.1.2 未按</w:t>
      </w:r>
      <w:r>
        <w:fldChar w:fldCharType="begin"/>
      </w:r>
      <w:r>
        <w:instrText xml:space="preserve"> HYPERLINK \l "第二章第412项" </w:instrText>
      </w:r>
      <w:r>
        <w:fldChar w:fldCharType="separate"/>
      </w:r>
      <w:r>
        <w:rPr>
          <w:rStyle w:val="34"/>
          <w:rFonts w:hint="eastAsia" w:ascii="宋体" w:hAnsi="宋体" w:eastAsia="宋体"/>
          <w:snapToGrid w:val="0"/>
          <w:sz w:val="21"/>
          <w:szCs w:val="21"/>
        </w:rPr>
        <w:t>竞包人须知前附表4.1.1、4.1.2项</w:t>
      </w:r>
      <w:r>
        <w:rPr>
          <w:rStyle w:val="34"/>
          <w:rFonts w:hint="eastAsia" w:ascii="宋体" w:hAnsi="宋体" w:eastAsia="宋体"/>
          <w:snapToGrid w:val="0"/>
          <w:sz w:val="21"/>
          <w:szCs w:val="21"/>
        </w:rPr>
        <w:fldChar w:fldCharType="end"/>
      </w:r>
      <w:r>
        <w:rPr>
          <w:rFonts w:hint="eastAsia" w:ascii="宋体" w:hAnsi="宋体" w:eastAsia="宋体"/>
          <w:snapToGrid w:val="0"/>
          <w:sz w:val="21"/>
          <w:szCs w:val="21"/>
        </w:rPr>
        <w:t>要求的，发包人应予拒收。</w:t>
      </w:r>
    </w:p>
    <w:p>
      <w:pPr>
        <w:spacing w:line="500" w:lineRule="exact"/>
        <w:ind w:firstLine="420" w:firstLineChars="200"/>
        <w:rPr>
          <w:rFonts w:ascii="宋体" w:hAnsi="宋体"/>
          <w:b/>
          <w:sz w:val="21"/>
          <w:szCs w:val="21"/>
        </w:rPr>
      </w:pPr>
      <w:r>
        <w:rPr>
          <w:rFonts w:ascii="宋体" w:hAnsi="宋体"/>
          <w:b/>
          <w:sz w:val="21"/>
          <w:szCs w:val="21"/>
        </w:rPr>
        <w:t xml:space="preserve">4.2 </w:t>
      </w:r>
      <w:r>
        <w:rPr>
          <w:rFonts w:hint="eastAsia" w:ascii="宋体" w:hAnsi="宋体"/>
          <w:b/>
          <w:sz w:val="21"/>
          <w:szCs w:val="21"/>
        </w:rPr>
        <w:t>竞包文件</w:t>
      </w:r>
      <w:r>
        <w:rPr>
          <w:rFonts w:ascii="宋体" w:hAnsi="宋体"/>
          <w:b/>
          <w:sz w:val="21"/>
          <w:szCs w:val="21"/>
        </w:rPr>
        <w:t>的递交</w:t>
      </w:r>
    </w:p>
    <w:p>
      <w:pPr>
        <w:snapToGrid w:val="0"/>
        <w:spacing w:line="374" w:lineRule="exact"/>
        <w:ind w:firstLine="420" w:firstLineChars="200"/>
        <w:rPr>
          <w:rFonts w:ascii="宋体" w:hAnsi="宋体"/>
          <w:b/>
          <w:sz w:val="21"/>
          <w:szCs w:val="21"/>
        </w:rPr>
      </w:pPr>
      <w:r>
        <w:rPr>
          <w:rFonts w:hint="eastAsia" w:ascii="宋体" w:hAnsi="宋体"/>
          <w:bCs/>
          <w:sz w:val="21"/>
          <w:szCs w:val="21"/>
        </w:rPr>
        <w:t>4.2.1</w:t>
      </w:r>
      <w:r>
        <w:rPr>
          <w:rFonts w:hint="eastAsia" w:ascii="宋体" w:hAnsi="宋体"/>
          <w:b/>
          <w:sz w:val="21"/>
          <w:szCs w:val="21"/>
        </w:rPr>
        <w:t>竞包文件（CA加密后的电子竞包文件）</w:t>
      </w:r>
      <w:r>
        <w:rPr>
          <w:rFonts w:hint="eastAsia" w:ascii="宋体" w:hAnsi="宋体"/>
          <w:bCs/>
          <w:sz w:val="21"/>
          <w:szCs w:val="21"/>
        </w:rPr>
        <w:t>：竞包人应在竞包截止时间前登陆湖州市公共资源交易信息网—湖州市限额发包平台上的竞包文件递交模块上传CA加密后的电子竞包文件；</w:t>
      </w:r>
    </w:p>
    <w:p>
      <w:pPr>
        <w:snapToGrid w:val="0"/>
        <w:spacing w:line="374" w:lineRule="exact"/>
        <w:ind w:firstLine="420" w:firstLineChars="200"/>
        <w:rPr>
          <w:rFonts w:ascii="宋体" w:hAnsi="宋体"/>
          <w:bCs/>
          <w:sz w:val="21"/>
          <w:szCs w:val="21"/>
        </w:rPr>
      </w:pPr>
      <w:r>
        <w:rPr>
          <w:rFonts w:hint="eastAsia" w:ascii="宋体" w:hAnsi="宋体"/>
          <w:bCs/>
          <w:sz w:val="21"/>
          <w:szCs w:val="21"/>
        </w:rPr>
        <w:t>4.2.2到竞包截止时间止，发包人收到的竞包文件少于2个的，发包人将依法重新组织发包。</w:t>
      </w:r>
    </w:p>
    <w:p>
      <w:pPr>
        <w:snapToGrid w:val="0"/>
        <w:spacing w:line="374" w:lineRule="exact"/>
        <w:rPr>
          <w:rFonts w:ascii="宋体" w:hAnsi="宋体"/>
          <w:b/>
          <w:sz w:val="21"/>
          <w:szCs w:val="21"/>
        </w:rPr>
      </w:pPr>
      <w:r>
        <w:rPr>
          <w:rFonts w:ascii="宋体" w:hAnsi="宋体"/>
          <w:b/>
          <w:sz w:val="21"/>
          <w:szCs w:val="21"/>
        </w:rPr>
        <w:t xml:space="preserve">4.3 </w:t>
      </w:r>
      <w:r>
        <w:rPr>
          <w:rFonts w:hint="eastAsia" w:ascii="宋体" w:hAnsi="宋体"/>
          <w:b/>
          <w:sz w:val="21"/>
          <w:szCs w:val="21"/>
        </w:rPr>
        <w:t>竞包文件</w:t>
      </w:r>
      <w:r>
        <w:rPr>
          <w:rFonts w:ascii="宋体" w:hAnsi="宋体"/>
          <w:b/>
          <w:sz w:val="21"/>
          <w:szCs w:val="21"/>
        </w:rPr>
        <w:t>的修改与撤回</w:t>
      </w:r>
    </w:p>
    <w:p>
      <w:pPr>
        <w:snapToGrid w:val="0"/>
        <w:spacing w:line="374" w:lineRule="exact"/>
        <w:ind w:firstLine="420" w:firstLineChars="200"/>
        <w:rPr>
          <w:rFonts w:ascii="宋体" w:hAnsi="宋体"/>
          <w:snapToGrid w:val="0"/>
          <w:sz w:val="21"/>
          <w:szCs w:val="21"/>
        </w:rPr>
      </w:pPr>
      <w:r>
        <w:rPr>
          <w:rFonts w:ascii="宋体" w:hAnsi="宋体"/>
          <w:snapToGrid w:val="0"/>
          <w:sz w:val="21"/>
          <w:szCs w:val="21"/>
        </w:rPr>
        <w:t xml:space="preserve">4.3.1 </w:t>
      </w:r>
      <w:r>
        <w:rPr>
          <w:rFonts w:hint="eastAsia" w:ascii="宋体" w:hAnsi="宋体"/>
          <w:snapToGrid w:val="0"/>
          <w:sz w:val="21"/>
          <w:szCs w:val="21"/>
        </w:rPr>
        <w:t>在竞包人须知前附表第2.2项规定的竞包截止时间前，竞包人可以修改或撤回已递交的竞包文件，但应以书面形式通知发包人；</w:t>
      </w:r>
    </w:p>
    <w:p>
      <w:pPr>
        <w:pStyle w:val="6"/>
        <w:snapToGrid w:val="0"/>
        <w:spacing w:line="374" w:lineRule="exact"/>
        <w:jc w:val="both"/>
        <w:rPr>
          <w:rFonts w:ascii="宋体" w:hAnsi="宋体" w:eastAsia="宋体"/>
          <w:snapToGrid w:val="0"/>
          <w:sz w:val="21"/>
          <w:szCs w:val="21"/>
        </w:rPr>
      </w:pPr>
      <w:bookmarkStart w:id="54" w:name="_Toc271220713"/>
      <w:bookmarkStart w:id="55" w:name="_Toc251245632"/>
      <w:bookmarkStart w:id="56" w:name="_Toc7441"/>
      <w:bookmarkStart w:id="57" w:name="_Toc261333115"/>
      <w:bookmarkStart w:id="58" w:name="_Toc271200547"/>
      <w:bookmarkStart w:id="59" w:name="_Toc251597987"/>
      <w:bookmarkStart w:id="60" w:name="_Toc259802194"/>
      <w:r>
        <w:rPr>
          <w:rFonts w:ascii="宋体" w:hAnsi="宋体" w:eastAsia="宋体"/>
          <w:snapToGrid w:val="0"/>
          <w:sz w:val="21"/>
          <w:szCs w:val="21"/>
        </w:rPr>
        <w:t>5开标</w:t>
      </w:r>
      <w:bookmarkEnd w:id="54"/>
      <w:bookmarkEnd w:id="55"/>
      <w:bookmarkEnd w:id="56"/>
      <w:bookmarkEnd w:id="57"/>
      <w:bookmarkEnd w:id="58"/>
      <w:bookmarkEnd w:id="59"/>
      <w:bookmarkEnd w:id="60"/>
    </w:p>
    <w:p>
      <w:pPr>
        <w:snapToGrid w:val="0"/>
        <w:spacing w:line="374" w:lineRule="exact"/>
        <w:rPr>
          <w:rFonts w:ascii="宋体" w:hAnsi="宋体"/>
          <w:b/>
          <w:sz w:val="21"/>
          <w:szCs w:val="21"/>
        </w:rPr>
      </w:pPr>
      <w:r>
        <w:rPr>
          <w:rFonts w:ascii="宋体" w:hAnsi="宋体"/>
          <w:b/>
          <w:sz w:val="21"/>
          <w:szCs w:val="21"/>
        </w:rPr>
        <w:t>5.1 开标时间和地点</w:t>
      </w:r>
    </w:p>
    <w:p>
      <w:pPr>
        <w:snapToGrid w:val="0"/>
        <w:spacing w:line="374" w:lineRule="exact"/>
        <w:rPr>
          <w:rFonts w:ascii="宋体" w:hAnsi="宋体"/>
          <w:bCs/>
          <w:snapToGrid w:val="0"/>
          <w:sz w:val="21"/>
          <w:szCs w:val="21"/>
        </w:rPr>
      </w:pPr>
      <w:r>
        <w:rPr>
          <w:rFonts w:hint="eastAsia" w:ascii="宋体" w:hAnsi="宋体"/>
          <w:bCs/>
          <w:snapToGrid w:val="0"/>
          <w:sz w:val="21"/>
          <w:szCs w:val="21"/>
        </w:rPr>
        <w:t>5.1.1发包人在规定的竞包截止时间和规定的地点公开开标，所有竞包人应在竞包截止时间前登陆网上开标大厅参加开标，具体要求见竞包人须知前附表第5.2项规定；</w:t>
      </w:r>
    </w:p>
    <w:p>
      <w:pPr>
        <w:snapToGrid w:val="0"/>
        <w:spacing w:line="374" w:lineRule="exact"/>
        <w:rPr>
          <w:rFonts w:ascii="宋体" w:hAnsi="宋体"/>
          <w:bCs/>
          <w:snapToGrid w:val="0"/>
          <w:sz w:val="21"/>
          <w:szCs w:val="21"/>
        </w:rPr>
      </w:pPr>
      <w:r>
        <w:rPr>
          <w:rFonts w:hint="eastAsia" w:ascii="宋体" w:hAnsi="宋体"/>
          <w:bCs/>
          <w:snapToGrid w:val="0"/>
          <w:sz w:val="21"/>
          <w:szCs w:val="21"/>
        </w:rPr>
        <w:t>5.1.2竞包人应在竞包截止时间之前，登陆湖州市公共资源交易信息网—交易主体登录—电子招投标交易平台—上传竞包文件模块，上传“CA加密后的电子竞包文件”。</w:t>
      </w:r>
    </w:p>
    <w:p>
      <w:pPr>
        <w:snapToGrid w:val="0"/>
        <w:spacing w:line="374" w:lineRule="exact"/>
        <w:rPr>
          <w:rFonts w:ascii="宋体" w:hAnsi="宋体"/>
          <w:b/>
          <w:sz w:val="21"/>
          <w:szCs w:val="21"/>
        </w:rPr>
      </w:pPr>
      <w:r>
        <w:rPr>
          <w:rFonts w:ascii="宋体" w:hAnsi="宋体"/>
          <w:b/>
          <w:sz w:val="21"/>
          <w:szCs w:val="21"/>
        </w:rPr>
        <w:t>5.2 开标程序</w:t>
      </w:r>
    </w:p>
    <w:p>
      <w:pPr>
        <w:snapToGrid w:val="0"/>
        <w:spacing w:line="374" w:lineRule="exact"/>
        <w:ind w:firstLine="420" w:firstLineChars="200"/>
        <w:rPr>
          <w:rFonts w:ascii="宋体" w:hAnsi="宋体"/>
          <w:snapToGrid w:val="0"/>
          <w:sz w:val="21"/>
          <w:szCs w:val="21"/>
        </w:rPr>
      </w:pPr>
      <w:bookmarkStart w:id="61" w:name="_Toc296602450"/>
      <w:bookmarkStart w:id="62" w:name="_Toc271200548"/>
      <w:bookmarkStart w:id="63" w:name="_Toc251597988"/>
      <w:bookmarkStart w:id="64" w:name="_Toc261333116"/>
      <w:bookmarkStart w:id="65" w:name="_Toc259802195"/>
      <w:bookmarkStart w:id="66" w:name="_Toc271220714"/>
      <w:bookmarkStart w:id="67" w:name="_Toc251245633"/>
      <w:r>
        <w:rPr>
          <w:rFonts w:hint="eastAsia" w:ascii="宋体" w:hAnsi="宋体"/>
          <w:snapToGrid w:val="0"/>
          <w:sz w:val="21"/>
          <w:szCs w:val="21"/>
        </w:rPr>
        <w:t>1、竞包截止前30分钟，由招标代理机构登录网上不见面开标大厅系统，做好网上不见面开标准备；</w:t>
      </w:r>
    </w:p>
    <w:p>
      <w:pPr>
        <w:snapToGrid w:val="0"/>
        <w:spacing w:line="374" w:lineRule="exact"/>
        <w:ind w:firstLine="420" w:firstLineChars="200"/>
        <w:rPr>
          <w:rFonts w:ascii="宋体" w:hAnsi="宋体"/>
          <w:snapToGrid w:val="0"/>
          <w:sz w:val="21"/>
          <w:szCs w:val="21"/>
        </w:rPr>
      </w:pPr>
      <w:r>
        <w:rPr>
          <w:rFonts w:hint="eastAsia" w:ascii="宋体" w:hAnsi="宋体"/>
          <w:snapToGrid w:val="0"/>
          <w:sz w:val="21"/>
          <w:szCs w:val="21"/>
        </w:rPr>
        <w:t>2、各竞包人应于竞包截止时间前使用加密锁自行登陆不见面开标大厅并完成在线签到，否则视为在线不到场，竞包文件开启解密时将被拒绝解密；竞包人的在线签到人员必须是竞包人的法定代表人或</w:t>
      </w:r>
      <w:r>
        <w:rPr>
          <w:rFonts w:hint="eastAsia" w:ascii="宋体" w:hAnsi="宋体"/>
          <w:snapToGrid w:val="0"/>
          <w:sz w:val="21"/>
          <w:szCs w:val="21"/>
          <w:lang w:eastAsia="zh-CN"/>
        </w:rPr>
        <w:t>其授权委托的代理人</w:t>
      </w:r>
      <w:r>
        <w:rPr>
          <w:rFonts w:hint="eastAsia" w:ascii="宋体" w:hAnsi="宋体"/>
          <w:snapToGrid w:val="0"/>
          <w:sz w:val="21"/>
          <w:szCs w:val="21"/>
        </w:rPr>
        <w:t>，如签到人员与竞包人的法定代表人或</w:t>
      </w:r>
      <w:r>
        <w:rPr>
          <w:rFonts w:hint="eastAsia" w:ascii="宋体" w:hAnsi="宋体"/>
          <w:snapToGrid w:val="0"/>
          <w:sz w:val="21"/>
          <w:szCs w:val="21"/>
          <w:lang w:eastAsia="zh-CN"/>
        </w:rPr>
        <w:t>其授权委托的代理人</w:t>
      </w:r>
      <w:r>
        <w:rPr>
          <w:rFonts w:hint="eastAsia" w:ascii="宋体" w:hAnsi="宋体"/>
          <w:snapToGrid w:val="0"/>
          <w:sz w:val="21"/>
          <w:szCs w:val="21"/>
        </w:rPr>
        <w:t>不一致的，其投标将按无效标处理。</w:t>
      </w:r>
    </w:p>
    <w:p>
      <w:pPr>
        <w:snapToGrid w:val="0"/>
        <w:spacing w:line="374" w:lineRule="exact"/>
        <w:ind w:firstLine="420" w:firstLineChars="200"/>
        <w:rPr>
          <w:rFonts w:ascii="宋体" w:hAnsi="宋体"/>
          <w:snapToGrid w:val="0"/>
          <w:sz w:val="21"/>
          <w:szCs w:val="21"/>
        </w:rPr>
      </w:pPr>
      <w:r>
        <w:rPr>
          <w:rFonts w:hint="eastAsia" w:ascii="宋体" w:hAnsi="宋体"/>
          <w:snapToGrid w:val="0"/>
          <w:sz w:val="21"/>
          <w:szCs w:val="21"/>
        </w:rPr>
        <w:t>3、竞包截止时间，由招标代理机构公布竞包人情况、解密要求、在线公布现场监督、见证人员；</w:t>
      </w:r>
    </w:p>
    <w:p>
      <w:pPr>
        <w:snapToGrid w:val="0"/>
        <w:spacing w:line="374" w:lineRule="exact"/>
        <w:ind w:firstLine="420" w:firstLineChars="200"/>
        <w:rPr>
          <w:rFonts w:ascii="宋体" w:hAnsi="宋体"/>
          <w:snapToGrid w:val="0"/>
          <w:sz w:val="21"/>
          <w:szCs w:val="21"/>
        </w:rPr>
      </w:pPr>
      <w:r>
        <w:rPr>
          <w:rFonts w:hint="eastAsia" w:ascii="宋体" w:hAnsi="宋体"/>
          <w:snapToGrid w:val="0"/>
          <w:sz w:val="21"/>
          <w:szCs w:val="21"/>
        </w:rPr>
        <w:t>4、竞包人需在系统开启竞包文件解密时间后30分钟内对竞包文件进行网上在线解密，未在规定时间内完成的，其竞包将被拒绝；</w:t>
      </w:r>
    </w:p>
    <w:p>
      <w:pPr>
        <w:snapToGrid w:val="0"/>
        <w:spacing w:line="374" w:lineRule="exact"/>
        <w:ind w:firstLine="420" w:firstLineChars="200"/>
        <w:rPr>
          <w:rFonts w:ascii="宋体" w:hAnsi="宋体"/>
          <w:snapToGrid w:val="0"/>
          <w:sz w:val="21"/>
          <w:szCs w:val="21"/>
        </w:rPr>
      </w:pPr>
      <w:r>
        <w:rPr>
          <w:rFonts w:hint="eastAsia" w:ascii="宋体" w:hAnsi="宋体"/>
          <w:snapToGrid w:val="0"/>
          <w:sz w:val="21"/>
          <w:szCs w:val="21"/>
        </w:rPr>
        <w:t>5、发包人在开标现场抽取发包文件中规定的系数；</w:t>
      </w:r>
    </w:p>
    <w:p>
      <w:pPr>
        <w:snapToGrid w:val="0"/>
        <w:spacing w:line="374" w:lineRule="exact"/>
        <w:ind w:firstLine="420" w:firstLineChars="200"/>
        <w:rPr>
          <w:rFonts w:ascii="宋体" w:hAnsi="宋体"/>
          <w:snapToGrid w:val="0"/>
          <w:sz w:val="21"/>
          <w:szCs w:val="21"/>
        </w:rPr>
      </w:pPr>
      <w:r>
        <w:rPr>
          <w:rFonts w:hint="eastAsia" w:ascii="宋体" w:hAnsi="宋体"/>
          <w:snapToGrid w:val="0"/>
          <w:sz w:val="21"/>
          <w:szCs w:val="21"/>
        </w:rPr>
        <w:t>6、发包人现场解密、竞包文件导入等全程操作；</w:t>
      </w:r>
    </w:p>
    <w:p>
      <w:pPr>
        <w:snapToGrid w:val="0"/>
        <w:spacing w:line="374" w:lineRule="exact"/>
        <w:ind w:firstLine="420" w:firstLineChars="200"/>
        <w:rPr>
          <w:rFonts w:ascii="宋体" w:hAnsi="宋体"/>
          <w:snapToGrid w:val="0"/>
          <w:sz w:val="21"/>
          <w:szCs w:val="21"/>
        </w:rPr>
      </w:pPr>
      <w:r>
        <w:rPr>
          <w:rFonts w:hint="eastAsia" w:ascii="宋体" w:hAnsi="宋体"/>
          <w:snapToGrid w:val="0"/>
          <w:sz w:val="21"/>
          <w:szCs w:val="21"/>
        </w:rPr>
        <w:t>7、对网上开标过程有异议的，竞包人应当直接在线提疑，同时由发包人在线进行回复；</w:t>
      </w:r>
    </w:p>
    <w:p>
      <w:pPr>
        <w:snapToGrid w:val="0"/>
        <w:spacing w:line="374" w:lineRule="exact"/>
        <w:ind w:firstLine="420" w:firstLineChars="200"/>
        <w:rPr>
          <w:rFonts w:ascii="宋体" w:hAnsi="宋体"/>
          <w:snapToGrid w:val="0"/>
          <w:sz w:val="21"/>
          <w:szCs w:val="21"/>
        </w:rPr>
      </w:pPr>
      <w:r>
        <w:rPr>
          <w:rFonts w:hint="eastAsia" w:ascii="宋体" w:hAnsi="宋体"/>
          <w:snapToGrid w:val="0"/>
          <w:sz w:val="21"/>
          <w:szCs w:val="21"/>
        </w:rPr>
        <w:t>8、宣布开标结束。</w:t>
      </w:r>
    </w:p>
    <w:p>
      <w:pPr>
        <w:snapToGrid w:val="0"/>
        <w:spacing w:line="374" w:lineRule="exact"/>
        <w:ind w:firstLine="420" w:firstLineChars="200"/>
        <w:rPr>
          <w:rFonts w:ascii="宋体" w:hAnsi="宋体"/>
          <w:snapToGrid w:val="0"/>
          <w:sz w:val="21"/>
          <w:szCs w:val="21"/>
        </w:rPr>
      </w:pPr>
      <w:r>
        <w:rPr>
          <w:rFonts w:hint="eastAsia" w:ascii="宋体" w:hAnsi="宋体"/>
          <w:snapToGrid w:val="0"/>
          <w:sz w:val="21"/>
          <w:szCs w:val="21"/>
        </w:rPr>
        <w:t>注：在开标过程中发包人及招标代理机构全程操作必须在直播视频中完成，不得随意离开。交易中心见证人员、现场监督人员做好相关工作并签字</w:t>
      </w:r>
      <w:bookmarkEnd w:id="61"/>
    </w:p>
    <w:p>
      <w:pPr>
        <w:snapToGrid w:val="0"/>
        <w:spacing w:line="374" w:lineRule="exact"/>
        <w:rPr>
          <w:rFonts w:ascii="宋体" w:hAnsi="宋体"/>
          <w:b/>
          <w:snapToGrid w:val="0"/>
          <w:spacing w:val="-2"/>
          <w:sz w:val="21"/>
          <w:szCs w:val="21"/>
        </w:rPr>
      </w:pPr>
      <w:r>
        <w:rPr>
          <w:rFonts w:ascii="宋体" w:hAnsi="宋体"/>
          <w:b/>
          <w:snapToGrid w:val="0"/>
          <w:spacing w:val="-2"/>
          <w:sz w:val="21"/>
          <w:szCs w:val="21"/>
        </w:rPr>
        <w:t>6</w:t>
      </w:r>
      <w:bookmarkEnd w:id="62"/>
      <w:bookmarkEnd w:id="63"/>
      <w:bookmarkEnd w:id="64"/>
      <w:bookmarkEnd w:id="65"/>
      <w:bookmarkEnd w:id="66"/>
      <w:bookmarkEnd w:id="67"/>
      <w:r>
        <w:rPr>
          <w:rFonts w:hint="eastAsia" w:ascii="宋体" w:hAnsi="宋体"/>
          <w:b/>
          <w:snapToGrid w:val="0"/>
          <w:spacing w:val="-2"/>
          <w:sz w:val="21"/>
          <w:szCs w:val="21"/>
        </w:rPr>
        <w:t>评审</w:t>
      </w:r>
    </w:p>
    <w:p>
      <w:pPr>
        <w:snapToGrid w:val="0"/>
        <w:spacing w:line="374" w:lineRule="exact"/>
        <w:rPr>
          <w:rFonts w:ascii="宋体" w:hAnsi="宋体"/>
          <w:b/>
          <w:sz w:val="21"/>
          <w:szCs w:val="21"/>
        </w:rPr>
      </w:pPr>
      <w:r>
        <w:rPr>
          <w:rFonts w:ascii="宋体" w:hAnsi="宋体"/>
          <w:b/>
          <w:sz w:val="21"/>
          <w:szCs w:val="21"/>
        </w:rPr>
        <w:t xml:space="preserve">6.1 </w:t>
      </w:r>
      <w:r>
        <w:rPr>
          <w:rFonts w:hint="eastAsia" w:ascii="宋体" w:hAnsi="宋体"/>
          <w:b/>
          <w:sz w:val="21"/>
          <w:szCs w:val="21"/>
        </w:rPr>
        <w:t>评审委员会</w:t>
      </w:r>
    </w:p>
    <w:p>
      <w:pPr>
        <w:snapToGrid w:val="0"/>
        <w:spacing w:line="374" w:lineRule="exact"/>
        <w:ind w:firstLine="420" w:firstLineChars="200"/>
        <w:rPr>
          <w:rFonts w:ascii="宋体" w:hAnsi="宋体"/>
          <w:snapToGrid w:val="0"/>
          <w:sz w:val="21"/>
          <w:szCs w:val="21"/>
        </w:rPr>
      </w:pPr>
      <w:r>
        <w:rPr>
          <w:rFonts w:ascii="宋体" w:hAnsi="宋体"/>
          <w:snapToGrid w:val="0"/>
          <w:sz w:val="21"/>
          <w:szCs w:val="21"/>
        </w:rPr>
        <w:t xml:space="preserve">6.1.1 </w:t>
      </w:r>
      <w:r>
        <w:rPr>
          <w:rFonts w:hint="eastAsia" w:ascii="宋体" w:hAnsi="宋体"/>
          <w:snapToGrid w:val="0"/>
          <w:sz w:val="21"/>
          <w:szCs w:val="21"/>
        </w:rPr>
        <w:t>评审</w:t>
      </w:r>
      <w:r>
        <w:rPr>
          <w:rFonts w:ascii="宋体" w:hAnsi="宋体"/>
          <w:snapToGrid w:val="0"/>
          <w:sz w:val="21"/>
          <w:szCs w:val="21"/>
        </w:rPr>
        <w:t>由</w:t>
      </w:r>
      <w:r>
        <w:rPr>
          <w:rFonts w:hint="eastAsia" w:ascii="宋体" w:hAnsi="宋体"/>
          <w:snapToGrid w:val="0"/>
          <w:sz w:val="21"/>
          <w:szCs w:val="21"/>
        </w:rPr>
        <w:t>发包人</w:t>
      </w:r>
      <w:r>
        <w:rPr>
          <w:rFonts w:ascii="宋体" w:hAnsi="宋体"/>
          <w:snapToGrid w:val="0"/>
          <w:sz w:val="21"/>
          <w:szCs w:val="21"/>
        </w:rPr>
        <w:t>依法组建的</w:t>
      </w:r>
      <w:r>
        <w:rPr>
          <w:rFonts w:hint="eastAsia" w:ascii="宋体" w:hAnsi="宋体"/>
          <w:snapToGrid w:val="0"/>
          <w:sz w:val="21"/>
          <w:szCs w:val="21"/>
        </w:rPr>
        <w:t>评审委员会</w:t>
      </w:r>
      <w:r>
        <w:rPr>
          <w:rFonts w:ascii="宋体" w:hAnsi="宋体"/>
          <w:snapToGrid w:val="0"/>
          <w:sz w:val="21"/>
          <w:szCs w:val="21"/>
        </w:rPr>
        <w:t>负责。</w:t>
      </w:r>
      <w:r>
        <w:rPr>
          <w:rFonts w:hint="eastAsia" w:ascii="宋体" w:hAnsi="宋体"/>
          <w:snapToGrid w:val="0"/>
          <w:sz w:val="21"/>
          <w:szCs w:val="21"/>
        </w:rPr>
        <w:t>评审委员会</w:t>
      </w:r>
      <w:r>
        <w:rPr>
          <w:rFonts w:ascii="宋体" w:hAnsi="宋体"/>
          <w:snapToGrid w:val="0"/>
          <w:sz w:val="21"/>
          <w:szCs w:val="21"/>
        </w:rPr>
        <w:t>由有关技术、经济等方面的专家组成。</w:t>
      </w:r>
      <w:r>
        <w:rPr>
          <w:rFonts w:hint="eastAsia" w:ascii="宋体" w:hAnsi="宋体"/>
          <w:snapToGrid w:val="0"/>
          <w:sz w:val="21"/>
          <w:szCs w:val="21"/>
        </w:rPr>
        <w:t>评审委员会</w:t>
      </w:r>
      <w:r>
        <w:rPr>
          <w:rFonts w:ascii="宋体" w:hAnsi="宋体"/>
          <w:snapToGrid w:val="0"/>
          <w:sz w:val="21"/>
          <w:szCs w:val="21"/>
        </w:rPr>
        <w:t>成员人数以及专家的确定方式见</w:t>
      </w:r>
      <w:r>
        <w:rPr>
          <w:rFonts w:hint="eastAsia" w:ascii="宋体" w:hAnsi="宋体"/>
          <w:snapToGrid w:val="0"/>
          <w:sz w:val="21"/>
          <w:szCs w:val="21"/>
        </w:rPr>
        <w:t>竞包人</w:t>
      </w:r>
      <w:r>
        <w:rPr>
          <w:rFonts w:ascii="宋体" w:hAnsi="宋体"/>
          <w:snapToGrid w:val="0"/>
          <w:sz w:val="21"/>
          <w:szCs w:val="21"/>
        </w:rPr>
        <w:t>须知前附表</w:t>
      </w:r>
      <w:r>
        <w:rPr>
          <w:rFonts w:hint="eastAsia" w:ascii="宋体" w:hAnsi="宋体"/>
          <w:snapToGrid w:val="0"/>
          <w:sz w:val="21"/>
          <w:szCs w:val="21"/>
        </w:rPr>
        <w:t>；</w:t>
      </w:r>
    </w:p>
    <w:p>
      <w:pPr>
        <w:snapToGrid w:val="0"/>
        <w:spacing w:line="374" w:lineRule="exact"/>
        <w:ind w:firstLine="420" w:firstLineChars="200"/>
        <w:rPr>
          <w:rFonts w:ascii="宋体" w:hAnsi="宋体"/>
          <w:snapToGrid w:val="0"/>
          <w:sz w:val="21"/>
          <w:szCs w:val="21"/>
        </w:rPr>
      </w:pPr>
      <w:r>
        <w:rPr>
          <w:rFonts w:ascii="宋体" w:hAnsi="宋体"/>
          <w:snapToGrid w:val="0"/>
          <w:sz w:val="21"/>
          <w:szCs w:val="21"/>
        </w:rPr>
        <w:t xml:space="preserve">6.1.2 </w:t>
      </w:r>
      <w:r>
        <w:rPr>
          <w:rFonts w:hint="eastAsia" w:ascii="宋体" w:hAnsi="宋体"/>
          <w:snapToGrid w:val="0"/>
          <w:sz w:val="21"/>
          <w:szCs w:val="21"/>
        </w:rPr>
        <w:t>评审委员会</w:t>
      </w:r>
      <w:r>
        <w:rPr>
          <w:rFonts w:ascii="宋体" w:hAnsi="宋体"/>
          <w:snapToGrid w:val="0"/>
          <w:sz w:val="21"/>
          <w:szCs w:val="21"/>
        </w:rPr>
        <w:t>成员有下列情形之一的，应当回避：</w:t>
      </w:r>
    </w:p>
    <w:p>
      <w:pPr>
        <w:snapToGrid w:val="0"/>
        <w:spacing w:line="374" w:lineRule="exact"/>
        <w:ind w:firstLine="420" w:firstLineChars="200"/>
        <w:rPr>
          <w:rFonts w:ascii="宋体" w:hAnsi="宋体"/>
          <w:snapToGrid w:val="0"/>
          <w:sz w:val="21"/>
          <w:szCs w:val="21"/>
        </w:rPr>
      </w:pPr>
      <w:r>
        <w:rPr>
          <w:rFonts w:hint="eastAsia" w:ascii="宋体" w:hAnsi="宋体"/>
          <w:snapToGrid w:val="0"/>
          <w:sz w:val="21"/>
          <w:szCs w:val="21"/>
        </w:rPr>
        <w:t>(</w:t>
      </w:r>
      <w:r>
        <w:rPr>
          <w:rFonts w:ascii="宋体" w:hAnsi="宋体"/>
          <w:snapToGrid w:val="0"/>
          <w:sz w:val="21"/>
          <w:szCs w:val="21"/>
        </w:rPr>
        <w:t>1</w:t>
      </w:r>
      <w:r>
        <w:rPr>
          <w:rFonts w:hint="eastAsia" w:ascii="宋体" w:hAnsi="宋体"/>
          <w:snapToGrid w:val="0"/>
          <w:sz w:val="21"/>
          <w:szCs w:val="21"/>
        </w:rPr>
        <w:t>) 发包人</w:t>
      </w:r>
      <w:r>
        <w:rPr>
          <w:rFonts w:ascii="宋体" w:hAnsi="宋体"/>
          <w:snapToGrid w:val="0"/>
          <w:sz w:val="21"/>
          <w:szCs w:val="21"/>
        </w:rPr>
        <w:t>或</w:t>
      </w:r>
      <w:r>
        <w:rPr>
          <w:rFonts w:hint="eastAsia" w:ascii="宋体" w:hAnsi="宋体"/>
          <w:snapToGrid w:val="0"/>
          <w:sz w:val="21"/>
          <w:szCs w:val="21"/>
        </w:rPr>
        <w:t>竞包人</w:t>
      </w:r>
      <w:r>
        <w:rPr>
          <w:rFonts w:ascii="宋体" w:hAnsi="宋体"/>
          <w:snapToGrid w:val="0"/>
          <w:sz w:val="21"/>
          <w:szCs w:val="21"/>
        </w:rPr>
        <w:t>的主要负责人的近亲属；</w:t>
      </w:r>
    </w:p>
    <w:p>
      <w:pPr>
        <w:snapToGrid w:val="0"/>
        <w:spacing w:line="374" w:lineRule="exact"/>
        <w:ind w:firstLine="420" w:firstLineChars="200"/>
        <w:rPr>
          <w:rFonts w:ascii="宋体" w:hAnsi="宋体"/>
          <w:snapToGrid w:val="0"/>
          <w:sz w:val="21"/>
          <w:szCs w:val="21"/>
        </w:rPr>
      </w:pPr>
      <w:r>
        <w:rPr>
          <w:rFonts w:hint="eastAsia" w:ascii="宋体" w:hAnsi="宋体"/>
          <w:snapToGrid w:val="0"/>
          <w:sz w:val="21"/>
          <w:szCs w:val="21"/>
        </w:rPr>
        <w:t>(</w:t>
      </w:r>
      <w:r>
        <w:rPr>
          <w:rFonts w:ascii="宋体" w:hAnsi="宋体"/>
          <w:snapToGrid w:val="0"/>
          <w:sz w:val="21"/>
          <w:szCs w:val="21"/>
        </w:rPr>
        <w:t>2</w:t>
      </w:r>
      <w:r>
        <w:rPr>
          <w:rFonts w:hint="eastAsia" w:ascii="宋体" w:hAnsi="宋体"/>
          <w:snapToGrid w:val="0"/>
          <w:sz w:val="21"/>
          <w:szCs w:val="21"/>
        </w:rPr>
        <w:t xml:space="preserve">) </w:t>
      </w:r>
      <w:r>
        <w:rPr>
          <w:rFonts w:ascii="宋体" w:hAnsi="宋体"/>
          <w:snapToGrid w:val="0"/>
          <w:sz w:val="21"/>
          <w:szCs w:val="21"/>
        </w:rPr>
        <w:t>项目主管部门或者行政监督部门的人员；</w:t>
      </w:r>
    </w:p>
    <w:p>
      <w:pPr>
        <w:snapToGrid w:val="0"/>
        <w:spacing w:line="374" w:lineRule="exact"/>
        <w:ind w:firstLine="420" w:firstLineChars="200"/>
        <w:rPr>
          <w:rFonts w:ascii="宋体" w:hAnsi="宋体"/>
          <w:snapToGrid w:val="0"/>
          <w:sz w:val="21"/>
          <w:szCs w:val="21"/>
        </w:rPr>
      </w:pPr>
      <w:r>
        <w:rPr>
          <w:rFonts w:hint="eastAsia" w:ascii="宋体" w:hAnsi="宋体"/>
          <w:snapToGrid w:val="0"/>
          <w:sz w:val="21"/>
          <w:szCs w:val="21"/>
        </w:rPr>
        <w:t>(</w:t>
      </w:r>
      <w:r>
        <w:rPr>
          <w:rFonts w:ascii="宋体" w:hAnsi="宋体"/>
          <w:snapToGrid w:val="0"/>
          <w:sz w:val="21"/>
          <w:szCs w:val="21"/>
        </w:rPr>
        <w:t>3</w:t>
      </w:r>
      <w:r>
        <w:rPr>
          <w:rFonts w:hint="eastAsia" w:ascii="宋体" w:hAnsi="宋体"/>
          <w:snapToGrid w:val="0"/>
          <w:sz w:val="21"/>
          <w:szCs w:val="21"/>
        </w:rPr>
        <w:t xml:space="preserve">) </w:t>
      </w:r>
      <w:r>
        <w:rPr>
          <w:rFonts w:ascii="宋体" w:hAnsi="宋体"/>
          <w:snapToGrid w:val="0"/>
          <w:sz w:val="21"/>
          <w:szCs w:val="21"/>
        </w:rPr>
        <w:t>与</w:t>
      </w:r>
      <w:r>
        <w:rPr>
          <w:rFonts w:hint="eastAsia" w:ascii="宋体" w:hAnsi="宋体"/>
          <w:snapToGrid w:val="0"/>
          <w:sz w:val="21"/>
          <w:szCs w:val="21"/>
        </w:rPr>
        <w:t>竞包人</w:t>
      </w:r>
      <w:r>
        <w:rPr>
          <w:rFonts w:ascii="宋体" w:hAnsi="宋体"/>
          <w:snapToGrid w:val="0"/>
          <w:sz w:val="21"/>
          <w:szCs w:val="21"/>
        </w:rPr>
        <w:t>有经济利益关系，可能影响对</w:t>
      </w:r>
      <w:r>
        <w:rPr>
          <w:rFonts w:hint="eastAsia" w:ascii="宋体" w:hAnsi="宋体"/>
          <w:snapToGrid w:val="0"/>
          <w:sz w:val="21"/>
          <w:szCs w:val="21"/>
        </w:rPr>
        <w:t>竞包</w:t>
      </w:r>
      <w:r>
        <w:rPr>
          <w:rFonts w:ascii="宋体" w:hAnsi="宋体"/>
          <w:snapToGrid w:val="0"/>
          <w:sz w:val="21"/>
          <w:szCs w:val="21"/>
        </w:rPr>
        <w:t>公正评审的；</w:t>
      </w:r>
    </w:p>
    <w:p>
      <w:pPr>
        <w:snapToGrid w:val="0"/>
        <w:spacing w:line="374" w:lineRule="exact"/>
        <w:ind w:firstLine="412" w:firstLineChars="200"/>
        <w:rPr>
          <w:rFonts w:ascii="宋体" w:hAnsi="宋体"/>
          <w:snapToGrid w:val="0"/>
          <w:spacing w:val="-6"/>
          <w:sz w:val="21"/>
          <w:szCs w:val="21"/>
        </w:rPr>
      </w:pPr>
      <w:r>
        <w:rPr>
          <w:rFonts w:hint="eastAsia" w:ascii="宋体" w:hAnsi="宋体"/>
          <w:snapToGrid w:val="0"/>
          <w:spacing w:val="-2"/>
          <w:sz w:val="21"/>
          <w:szCs w:val="21"/>
        </w:rPr>
        <w:t>(</w:t>
      </w:r>
      <w:r>
        <w:rPr>
          <w:rFonts w:ascii="宋体" w:hAnsi="宋体"/>
          <w:snapToGrid w:val="0"/>
          <w:spacing w:val="-2"/>
          <w:sz w:val="21"/>
          <w:szCs w:val="21"/>
        </w:rPr>
        <w:t>4</w:t>
      </w:r>
      <w:r>
        <w:rPr>
          <w:rFonts w:hint="eastAsia" w:ascii="宋体" w:hAnsi="宋体"/>
          <w:snapToGrid w:val="0"/>
          <w:spacing w:val="-2"/>
          <w:sz w:val="21"/>
          <w:szCs w:val="21"/>
        </w:rPr>
        <w:t xml:space="preserve">) </w:t>
      </w:r>
      <w:r>
        <w:rPr>
          <w:rFonts w:ascii="宋体" w:hAnsi="宋体"/>
          <w:snapToGrid w:val="0"/>
          <w:spacing w:val="-6"/>
          <w:sz w:val="21"/>
          <w:szCs w:val="21"/>
        </w:rPr>
        <w:t>曾因在</w:t>
      </w:r>
      <w:r>
        <w:rPr>
          <w:rFonts w:hint="eastAsia" w:ascii="宋体" w:hAnsi="宋体"/>
          <w:snapToGrid w:val="0"/>
          <w:spacing w:val="-6"/>
          <w:sz w:val="21"/>
          <w:szCs w:val="21"/>
        </w:rPr>
        <w:t>发包</w:t>
      </w:r>
      <w:r>
        <w:rPr>
          <w:rFonts w:ascii="宋体" w:hAnsi="宋体"/>
          <w:snapToGrid w:val="0"/>
          <w:spacing w:val="-6"/>
          <w:sz w:val="21"/>
          <w:szCs w:val="21"/>
        </w:rPr>
        <w:t>、</w:t>
      </w:r>
      <w:r>
        <w:rPr>
          <w:rFonts w:hint="eastAsia" w:ascii="宋体" w:hAnsi="宋体"/>
          <w:snapToGrid w:val="0"/>
          <w:spacing w:val="-6"/>
          <w:sz w:val="21"/>
          <w:szCs w:val="21"/>
        </w:rPr>
        <w:t>评审</w:t>
      </w:r>
      <w:r>
        <w:rPr>
          <w:rFonts w:ascii="宋体" w:hAnsi="宋体"/>
          <w:snapToGrid w:val="0"/>
          <w:spacing w:val="-6"/>
          <w:sz w:val="21"/>
          <w:szCs w:val="21"/>
        </w:rPr>
        <w:t>以及其他与</w:t>
      </w:r>
      <w:r>
        <w:rPr>
          <w:rFonts w:hint="eastAsia" w:ascii="宋体" w:hAnsi="宋体"/>
          <w:snapToGrid w:val="0"/>
          <w:spacing w:val="-6"/>
          <w:sz w:val="21"/>
          <w:szCs w:val="21"/>
        </w:rPr>
        <w:t>发包竞包</w:t>
      </w:r>
      <w:r>
        <w:rPr>
          <w:rFonts w:ascii="宋体" w:hAnsi="宋体"/>
          <w:snapToGrid w:val="0"/>
          <w:spacing w:val="-6"/>
          <w:sz w:val="21"/>
          <w:szCs w:val="21"/>
        </w:rPr>
        <w:t>有关活动中从事违法行为而受过行政处罚或刑事处罚的</w:t>
      </w:r>
      <w:r>
        <w:rPr>
          <w:rFonts w:hint="eastAsia" w:ascii="宋体" w:hAnsi="宋体"/>
          <w:snapToGrid w:val="0"/>
          <w:spacing w:val="-6"/>
          <w:sz w:val="21"/>
          <w:szCs w:val="21"/>
        </w:rPr>
        <w:t>；</w:t>
      </w:r>
    </w:p>
    <w:p>
      <w:pPr>
        <w:snapToGrid w:val="0"/>
        <w:spacing w:line="374" w:lineRule="exact"/>
        <w:ind w:firstLine="412" w:firstLineChars="200"/>
        <w:rPr>
          <w:rFonts w:ascii="宋体" w:hAnsi="宋体"/>
          <w:snapToGrid w:val="0"/>
          <w:spacing w:val="-6"/>
          <w:sz w:val="21"/>
          <w:szCs w:val="21"/>
        </w:rPr>
      </w:pPr>
      <w:r>
        <w:rPr>
          <w:rFonts w:hint="eastAsia" w:ascii="宋体" w:hAnsi="宋体"/>
          <w:snapToGrid w:val="0"/>
          <w:spacing w:val="-2"/>
          <w:sz w:val="21"/>
          <w:szCs w:val="21"/>
        </w:rPr>
        <w:t xml:space="preserve">(5) </w:t>
      </w:r>
      <w:r>
        <w:rPr>
          <w:rFonts w:ascii="宋体" w:hAnsi="宋体"/>
          <w:snapToGrid w:val="0"/>
          <w:spacing w:val="-6"/>
          <w:sz w:val="21"/>
          <w:szCs w:val="21"/>
        </w:rPr>
        <w:t>法律、法规、规章规定应当回避的其他情形。</w:t>
      </w:r>
    </w:p>
    <w:p>
      <w:pPr>
        <w:snapToGrid w:val="0"/>
        <w:spacing w:line="374" w:lineRule="exact"/>
        <w:rPr>
          <w:rFonts w:ascii="宋体" w:hAnsi="宋体"/>
          <w:b/>
          <w:sz w:val="21"/>
          <w:szCs w:val="21"/>
        </w:rPr>
      </w:pPr>
      <w:r>
        <w:rPr>
          <w:rFonts w:ascii="宋体" w:hAnsi="宋体"/>
          <w:b/>
          <w:sz w:val="21"/>
          <w:szCs w:val="21"/>
        </w:rPr>
        <w:t xml:space="preserve">6.2 </w:t>
      </w:r>
      <w:r>
        <w:rPr>
          <w:rFonts w:hint="eastAsia" w:ascii="宋体" w:hAnsi="宋体"/>
          <w:b/>
          <w:sz w:val="21"/>
          <w:szCs w:val="21"/>
        </w:rPr>
        <w:t>评审</w:t>
      </w:r>
      <w:r>
        <w:rPr>
          <w:rFonts w:ascii="宋体" w:hAnsi="宋体"/>
          <w:b/>
          <w:sz w:val="21"/>
          <w:szCs w:val="21"/>
        </w:rPr>
        <w:t>原则</w:t>
      </w:r>
    </w:p>
    <w:p>
      <w:pPr>
        <w:snapToGrid w:val="0"/>
        <w:spacing w:line="374" w:lineRule="exact"/>
        <w:ind w:firstLine="420" w:firstLineChars="200"/>
        <w:rPr>
          <w:rFonts w:ascii="宋体" w:hAnsi="宋体"/>
          <w:snapToGrid w:val="0"/>
          <w:sz w:val="21"/>
          <w:szCs w:val="21"/>
        </w:rPr>
      </w:pPr>
      <w:r>
        <w:rPr>
          <w:rFonts w:hint="eastAsia" w:ascii="宋体" w:hAnsi="宋体"/>
          <w:snapToGrid w:val="0"/>
          <w:sz w:val="21"/>
          <w:szCs w:val="21"/>
        </w:rPr>
        <w:t>评审</w:t>
      </w:r>
      <w:r>
        <w:rPr>
          <w:rFonts w:ascii="宋体" w:hAnsi="宋体"/>
          <w:snapToGrid w:val="0"/>
          <w:sz w:val="21"/>
          <w:szCs w:val="21"/>
        </w:rPr>
        <w:t>活动遵循公平、公正、科学和择优的原则</w:t>
      </w:r>
      <w:r>
        <w:rPr>
          <w:rFonts w:hint="eastAsia" w:ascii="宋体" w:hAnsi="宋体"/>
          <w:snapToGrid w:val="0"/>
          <w:sz w:val="21"/>
          <w:szCs w:val="21"/>
        </w:rPr>
        <w:t>；</w:t>
      </w:r>
    </w:p>
    <w:p>
      <w:pPr>
        <w:snapToGrid w:val="0"/>
        <w:spacing w:line="374" w:lineRule="exact"/>
        <w:rPr>
          <w:rFonts w:ascii="宋体" w:hAnsi="宋体"/>
          <w:b/>
          <w:sz w:val="21"/>
          <w:szCs w:val="21"/>
        </w:rPr>
      </w:pPr>
      <w:r>
        <w:rPr>
          <w:rFonts w:ascii="宋体" w:hAnsi="宋体"/>
          <w:b/>
          <w:sz w:val="21"/>
          <w:szCs w:val="21"/>
        </w:rPr>
        <w:t xml:space="preserve">6.3 </w:t>
      </w:r>
      <w:r>
        <w:rPr>
          <w:rFonts w:hint="eastAsia" w:ascii="宋体" w:hAnsi="宋体"/>
          <w:b/>
          <w:sz w:val="21"/>
          <w:szCs w:val="21"/>
        </w:rPr>
        <w:t>评审</w:t>
      </w:r>
    </w:p>
    <w:p>
      <w:pPr>
        <w:snapToGrid w:val="0"/>
        <w:spacing w:line="374" w:lineRule="exact"/>
        <w:ind w:firstLine="420" w:firstLineChars="200"/>
        <w:rPr>
          <w:rFonts w:ascii="宋体" w:hAnsi="宋体"/>
          <w:snapToGrid w:val="0"/>
          <w:sz w:val="21"/>
          <w:szCs w:val="21"/>
        </w:rPr>
      </w:pPr>
      <w:r>
        <w:rPr>
          <w:rFonts w:hint="eastAsia" w:ascii="宋体" w:hAnsi="宋体"/>
          <w:snapToGrid w:val="0"/>
          <w:sz w:val="21"/>
          <w:szCs w:val="21"/>
        </w:rPr>
        <w:t>评审委员会</w:t>
      </w:r>
      <w:r>
        <w:rPr>
          <w:rFonts w:ascii="宋体" w:hAnsi="宋体"/>
          <w:snapToGrid w:val="0"/>
          <w:sz w:val="21"/>
          <w:szCs w:val="21"/>
        </w:rPr>
        <w:t>按照第</w:t>
      </w:r>
      <w:r>
        <w:rPr>
          <w:rFonts w:hint="eastAsia" w:ascii="宋体" w:hAnsi="宋体"/>
          <w:snapToGrid w:val="0"/>
          <w:sz w:val="21"/>
          <w:szCs w:val="21"/>
        </w:rPr>
        <w:t>三</w:t>
      </w:r>
      <w:r>
        <w:rPr>
          <w:rFonts w:ascii="宋体" w:hAnsi="宋体"/>
          <w:snapToGrid w:val="0"/>
          <w:sz w:val="21"/>
          <w:szCs w:val="21"/>
        </w:rPr>
        <w:t>章</w:t>
      </w:r>
      <w:r>
        <w:rPr>
          <w:rFonts w:hint="eastAsia" w:ascii="宋体" w:hAnsi="宋体"/>
          <w:snapToGrid w:val="0"/>
          <w:sz w:val="21"/>
          <w:szCs w:val="21"/>
        </w:rPr>
        <w:t>“评审</w:t>
      </w:r>
      <w:r>
        <w:rPr>
          <w:rFonts w:ascii="宋体" w:hAnsi="宋体"/>
          <w:snapToGrid w:val="0"/>
          <w:sz w:val="21"/>
          <w:szCs w:val="21"/>
        </w:rPr>
        <w:t>办法</w:t>
      </w:r>
      <w:r>
        <w:rPr>
          <w:rFonts w:hint="eastAsia" w:ascii="宋体" w:hAnsi="宋体"/>
          <w:snapToGrid w:val="0"/>
          <w:sz w:val="21"/>
          <w:szCs w:val="21"/>
        </w:rPr>
        <w:t>”</w:t>
      </w:r>
      <w:r>
        <w:rPr>
          <w:rFonts w:ascii="宋体" w:hAnsi="宋体"/>
          <w:snapToGrid w:val="0"/>
          <w:sz w:val="21"/>
          <w:szCs w:val="21"/>
        </w:rPr>
        <w:t>规定的方法、评审因素、标准和程序对</w:t>
      </w:r>
      <w:r>
        <w:rPr>
          <w:rFonts w:hint="eastAsia" w:ascii="宋体" w:hAnsi="宋体"/>
          <w:snapToGrid w:val="0"/>
          <w:sz w:val="21"/>
          <w:szCs w:val="21"/>
        </w:rPr>
        <w:t>竞包文件</w:t>
      </w:r>
      <w:r>
        <w:rPr>
          <w:rFonts w:ascii="宋体" w:hAnsi="宋体"/>
          <w:snapToGrid w:val="0"/>
          <w:sz w:val="21"/>
          <w:szCs w:val="21"/>
        </w:rPr>
        <w:t>进行评审。第</w:t>
      </w:r>
      <w:r>
        <w:rPr>
          <w:rFonts w:hint="eastAsia" w:ascii="宋体" w:hAnsi="宋体"/>
          <w:snapToGrid w:val="0"/>
          <w:sz w:val="21"/>
          <w:szCs w:val="21"/>
        </w:rPr>
        <w:t>三</w:t>
      </w:r>
      <w:r>
        <w:rPr>
          <w:rFonts w:ascii="宋体" w:hAnsi="宋体"/>
          <w:snapToGrid w:val="0"/>
          <w:sz w:val="21"/>
          <w:szCs w:val="21"/>
        </w:rPr>
        <w:t>章</w:t>
      </w:r>
      <w:r>
        <w:rPr>
          <w:rFonts w:hint="eastAsia" w:ascii="宋体" w:hAnsi="宋体"/>
          <w:snapToGrid w:val="0"/>
          <w:sz w:val="21"/>
          <w:szCs w:val="21"/>
        </w:rPr>
        <w:t>“评审</w:t>
      </w:r>
      <w:r>
        <w:rPr>
          <w:rFonts w:ascii="宋体" w:hAnsi="宋体"/>
          <w:snapToGrid w:val="0"/>
          <w:sz w:val="21"/>
          <w:szCs w:val="21"/>
        </w:rPr>
        <w:t>办法</w:t>
      </w:r>
      <w:r>
        <w:rPr>
          <w:rFonts w:hint="eastAsia" w:ascii="宋体" w:hAnsi="宋体"/>
          <w:snapToGrid w:val="0"/>
          <w:sz w:val="21"/>
          <w:szCs w:val="21"/>
        </w:rPr>
        <w:t>”</w:t>
      </w:r>
      <w:r>
        <w:rPr>
          <w:rFonts w:ascii="宋体" w:hAnsi="宋体"/>
          <w:snapToGrid w:val="0"/>
          <w:sz w:val="21"/>
          <w:szCs w:val="21"/>
        </w:rPr>
        <w:t>没有规定的方法、评审因素和标准，不作为</w:t>
      </w:r>
      <w:r>
        <w:rPr>
          <w:rFonts w:hint="eastAsia" w:ascii="宋体" w:hAnsi="宋体"/>
          <w:snapToGrid w:val="0"/>
          <w:sz w:val="21"/>
          <w:szCs w:val="21"/>
        </w:rPr>
        <w:t>评审</w:t>
      </w:r>
      <w:r>
        <w:rPr>
          <w:rFonts w:ascii="宋体" w:hAnsi="宋体"/>
          <w:snapToGrid w:val="0"/>
          <w:sz w:val="21"/>
          <w:szCs w:val="21"/>
        </w:rPr>
        <w:t>依据。</w:t>
      </w:r>
    </w:p>
    <w:p>
      <w:pPr>
        <w:pStyle w:val="6"/>
        <w:snapToGrid w:val="0"/>
        <w:spacing w:line="374" w:lineRule="exact"/>
        <w:jc w:val="both"/>
        <w:rPr>
          <w:rFonts w:ascii="宋体" w:hAnsi="宋体" w:eastAsia="宋体"/>
          <w:snapToGrid w:val="0"/>
          <w:sz w:val="21"/>
          <w:szCs w:val="21"/>
        </w:rPr>
      </w:pPr>
      <w:bookmarkStart w:id="68" w:name="_Toc30008"/>
      <w:bookmarkStart w:id="69" w:name="_Toc259802196"/>
      <w:bookmarkStart w:id="70" w:name="_Toc251245634"/>
      <w:bookmarkStart w:id="71" w:name="_Toc251597989"/>
      <w:bookmarkStart w:id="72" w:name="_Toc271220715"/>
      <w:bookmarkStart w:id="73" w:name="_Toc271200549"/>
      <w:bookmarkStart w:id="74" w:name="_Toc261333117"/>
      <w:r>
        <w:rPr>
          <w:rFonts w:ascii="宋体" w:hAnsi="宋体" w:eastAsia="宋体"/>
          <w:snapToGrid w:val="0"/>
          <w:sz w:val="21"/>
          <w:szCs w:val="21"/>
        </w:rPr>
        <w:t>7合同授予</w:t>
      </w:r>
      <w:bookmarkEnd w:id="68"/>
      <w:bookmarkEnd w:id="69"/>
      <w:bookmarkEnd w:id="70"/>
      <w:bookmarkEnd w:id="71"/>
      <w:bookmarkEnd w:id="72"/>
      <w:bookmarkEnd w:id="73"/>
      <w:bookmarkEnd w:id="74"/>
    </w:p>
    <w:p>
      <w:pPr>
        <w:snapToGrid w:val="0"/>
        <w:spacing w:line="374" w:lineRule="exact"/>
        <w:rPr>
          <w:rFonts w:ascii="宋体" w:hAnsi="宋体"/>
          <w:b/>
          <w:sz w:val="21"/>
          <w:szCs w:val="21"/>
        </w:rPr>
      </w:pPr>
      <w:r>
        <w:rPr>
          <w:rFonts w:ascii="宋体" w:hAnsi="宋体"/>
          <w:b/>
          <w:sz w:val="21"/>
          <w:szCs w:val="21"/>
        </w:rPr>
        <w:t>7.1定标方式</w:t>
      </w:r>
    </w:p>
    <w:p>
      <w:pPr>
        <w:snapToGrid w:val="0"/>
        <w:spacing w:line="374" w:lineRule="exact"/>
        <w:ind w:firstLine="420"/>
        <w:rPr>
          <w:rFonts w:ascii="宋体" w:hAnsi="宋体"/>
          <w:snapToGrid w:val="0"/>
          <w:sz w:val="21"/>
          <w:szCs w:val="21"/>
        </w:rPr>
      </w:pPr>
      <w:r>
        <w:rPr>
          <w:rFonts w:hint="eastAsia" w:ascii="宋体" w:hAnsi="宋体"/>
          <w:snapToGrid w:val="0"/>
          <w:sz w:val="21"/>
          <w:szCs w:val="21"/>
        </w:rPr>
        <w:t>7.1.1发包人依据评审委员会推荐的承包候选人确定承包人；</w:t>
      </w:r>
    </w:p>
    <w:p>
      <w:pPr>
        <w:snapToGrid w:val="0"/>
        <w:spacing w:line="374" w:lineRule="exact"/>
        <w:ind w:firstLine="420"/>
        <w:rPr>
          <w:rFonts w:ascii="宋体" w:hAnsi="宋体"/>
          <w:snapToGrid w:val="0"/>
          <w:sz w:val="21"/>
          <w:szCs w:val="21"/>
        </w:rPr>
      </w:pPr>
      <w:r>
        <w:rPr>
          <w:rFonts w:hint="eastAsia" w:ascii="宋体" w:hAnsi="宋体"/>
          <w:snapToGrid w:val="0"/>
          <w:sz w:val="21"/>
          <w:szCs w:val="21"/>
        </w:rPr>
        <w:t>7.1.2依法必须发包的项目，承包候选人放弃承包、因不可抗力提出不能履行合同，或者发包文件规定应当提交履约保证金而在规定的期限内未能提交</w:t>
      </w:r>
      <w:r>
        <w:rPr>
          <w:rFonts w:hint="eastAsia" w:ascii="宋体" w:hAnsi="宋体"/>
          <w:i/>
          <w:iCs/>
          <w:snapToGrid w:val="0"/>
          <w:sz w:val="21"/>
          <w:szCs w:val="21"/>
        </w:rPr>
        <w:t>，</w:t>
      </w:r>
      <w:r>
        <w:rPr>
          <w:rFonts w:hint="eastAsia" w:ascii="宋体" w:hAnsi="宋体"/>
          <w:snapToGrid w:val="0"/>
          <w:sz w:val="21"/>
          <w:szCs w:val="21"/>
        </w:rPr>
        <w:t>或者被查实存在影响承包结果的违法行为等情形，不符合承包条件的，取消其承包资格；</w:t>
      </w:r>
    </w:p>
    <w:p>
      <w:pPr>
        <w:snapToGrid w:val="0"/>
        <w:spacing w:line="374" w:lineRule="exact"/>
        <w:ind w:firstLine="420"/>
        <w:rPr>
          <w:rFonts w:ascii="宋体" w:hAnsi="宋体"/>
          <w:snapToGrid w:val="0"/>
          <w:sz w:val="21"/>
          <w:szCs w:val="21"/>
        </w:rPr>
      </w:pPr>
      <w:r>
        <w:rPr>
          <w:rFonts w:hint="eastAsia" w:ascii="宋体" w:hAnsi="宋体"/>
          <w:snapToGrid w:val="0"/>
          <w:sz w:val="21"/>
          <w:szCs w:val="21"/>
        </w:rPr>
        <w:t>7.1.3发包人在确定承包候选人（定标）前，应在中国裁判文书网（http://wenshu.court.cov.cn）查询承包候选人及拟派项目负责人的行贿犯罪档案，若发现有未如实填报或隐瞒不报情况的，一律取消其承包资格并上报行政主管部门，由行政主管部门列为不良行为记录；</w:t>
      </w:r>
    </w:p>
    <w:p>
      <w:pPr>
        <w:snapToGrid w:val="0"/>
        <w:spacing w:line="374" w:lineRule="exact"/>
        <w:ind w:firstLine="420"/>
        <w:rPr>
          <w:rFonts w:ascii="宋体" w:hAnsi="宋体"/>
          <w:snapToGrid w:val="0"/>
          <w:sz w:val="21"/>
          <w:szCs w:val="21"/>
        </w:rPr>
      </w:pPr>
      <w:r>
        <w:rPr>
          <w:rFonts w:hint="eastAsia" w:ascii="宋体" w:hAnsi="宋体"/>
          <w:snapToGrid w:val="0"/>
          <w:sz w:val="21"/>
          <w:szCs w:val="21"/>
        </w:rPr>
        <w:t>7.1.4 发包人在确定承包候选人前，应查询承包候选人及拟派项目负责人的水利建设市场主体限制竞包记录，若发现有未如实填报或隐瞒不报情况的，一律取消其承包资格并上报行政主管部门，由行政主</w:t>
      </w:r>
    </w:p>
    <w:p>
      <w:pPr>
        <w:snapToGrid w:val="0"/>
        <w:spacing w:line="374" w:lineRule="exact"/>
        <w:rPr>
          <w:rFonts w:ascii="宋体" w:hAnsi="宋体"/>
          <w:snapToGrid w:val="0"/>
          <w:sz w:val="21"/>
          <w:szCs w:val="21"/>
        </w:rPr>
      </w:pPr>
      <w:r>
        <w:rPr>
          <w:rFonts w:hint="eastAsia" w:ascii="宋体" w:hAnsi="宋体"/>
          <w:snapToGrid w:val="0"/>
          <w:sz w:val="21"/>
          <w:szCs w:val="21"/>
        </w:rPr>
        <w:t>管部门列为不良行为记录；</w:t>
      </w:r>
    </w:p>
    <w:p>
      <w:pPr>
        <w:snapToGrid w:val="0"/>
        <w:spacing w:line="374" w:lineRule="exact"/>
        <w:ind w:firstLine="420"/>
        <w:rPr>
          <w:rFonts w:ascii="宋体" w:hAnsi="宋体"/>
          <w:snapToGrid w:val="0"/>
          <w:sz w:val="21"/>
          <w:szCs w:val="21"/>
        </w:rPr>
      </w:pPr>
      <w:r>
        <w:rPr>
          <w:rFonts w:hint="eastAsia" w:ascii="宋体" w:hAnsi="宋体"/>
          <w:snapToGrid w:val="0"/>
          <w:sz w:val="21"/>
          <w:szCs w:val="21"/>
        </w:rPr>
        <w:t>7.1.5 在办理工程施工发包的确定承包人备案手续前， 发包人将对拟承包人的以下证书原件进行核验：</w:t>
      </w:r>
    </w:p>
    <w:p>
      <w:pPr>
        <w:snapToGrid w:val="0"/>
        <w:spacing w:line="374" w:lineRule="exact"/>
        <w:ind w:firstLine="420"/>
        <w:rPr>
          <w:rFonts w:ascii="宋体" w:hAnsi="宋体"/>
          <w:snapToGrid w:val="0"/>
          <w:sz w:val="21"/>
          <w:szCs w:val="21"/>
        </w:rPr>
      </w:pPr>
      <w:r>
        <w:rPr>
          <w:rFonts w:hint="eastAsia" w:ascii="宋体" w:hAnsi="宋体"/>
          <w:snapToGrid w:val="0"/>
          <w:sz w:val="21"/>
          <w:szCs w:val="21"/>
        </w:rPr>
        <w:t>⑴ 企业《安全生产许可证》；</w:t>
      </w:r>
    </w:p>
    <w:p>
      <w:pPr>
        <w:snapToGrid w:val="0"/>
        <w:spacing w:line="374" w:lineRule="exact"/>
        <w:ind w:firstLine="420"/>
        <w:rPr>
          <w:rFonts w:asciiTheme="minorEastAsia" w:hAnsiTheme="minorEastAsia" w:cstheme="minorEastAsia"/>
          <w:snapToGrid w:val="0"/>
          <w:sz w:val="21"/>
          <w:szCs w:val="21"/>
        </w:rPr>
      </w:pPr>
      <w:r>
        <w:rPr>
          <w:rFonts w:hint="eastAsia" w:ascii="宋体" w:hAnsi="宋体"/>
          <w:snapToGrid w:val="0"/>
          <w:sz w:val="21"/>
          <w:szCs w:val="21"/>
        </w:rPr>
        <w:t>⑵ 企业“三类人员”证书。</w:t>
      </w:r>
      <w:r>
        <w:rPr>
          <w:rFonts w:hint="eastAsia" w:asciiTheme="minorEastAsia" w:hAnsiTheme="minorEastAsia" w:cstheme="minorEastAsia"/>
          <w:snapToGrid w:val="0"/>
          <w:sz w:val="21"/>
          <w:szCs w:val="21"/>
        </w:rPr>
        <w:t>A类证书包括：企业法定代表人、企业经理、企业技术负责人及企业分管安全生产的副经理；B类证书包括：项目负责人；C类证书包括：专职安全生产管理人员。</w:t>
      </w:r>
    </w:p>
    <w:p>
      <w:pPr>
        <w:snapToGrid w:val="0"/>
        <w:spacing w:line="374" w:lineRule="exact"/>
        <w:rPr>
          <w:rFonts w:asciiTheme="minorEastAsia" w:hAnsiTheme="minorEastAsia" w:cstheme="minorEastAsia"/>
          <w:snapToGrid w:val="0"/>
          <w:sz w:val="21"/>
          <w:szCs w:val="21"/>
        </w:rPr>
      </w:pPr>
      <w:r>
        <w:rPr>
          <w:rFonts w:hint="eastAsia" w:asciiTheme="minorEastAsia" w:hAnsiTheme="minorEastAsia" w:cstheme="minorEastAsia"/>
          <w:snapToGrid w:val="0"/>
          <w:sz w:val="21"/>
          <w:szCs w:val="21"/>
        </w:rPr>
        <w:t>Ａ类人员中企业分管安全生产的副经理，须提供任职文件。</w:t>
      </w:r>
    </w:p>
    <w:p>
      <w:pPr>
        <w:snapToGrid w:val="0"/>
        <w:spacing w:line="374" w:lineRule="exact"/>
        <w:ind w:firstLine="420"/>
        <w:rPr>
          <w:rFonts w:ascii="宋体" w:hAnsi="宋体"/>
          <w:snapToGrid w:val="0"/>
          <w:sz w:val="21"/>
          <w:szCs w:val="21"/>
        </w:rPr>
      </w:pPr>
      <w:r>
        <w:rPr>
          <w:rFonts w:hint="eastAsia" w:ascii="宋体" w:hAnsi="宋体"/>
          <w:snapToGrid w:val="0"/>
          <w:sz w:val="21"/>
          <w:szCs w:val="21"/>
        </w:rPr>
        <w:t>上述七证凡一项核验不合格的，取消承包候选人资格。</w:t>
      </w:r>
    </w:p>
    <w:p>
      <w:pPr>
        <w:snapToGrid w:val="0"/>
        <w:spacing w:line="374" w:lineRule="exact"/>
        <w:ind w:firstLine="420" w:firstLineChars="200"/>
        <w:rPr>
          <w:rFonts w:ascii="宋体" w:hAnsi="宋体"/>
          <w:snapToGrid w:val="0"/>
          <w:sz w:val="21"/>
          <w:szCs w:val="21"/>
        </w:rPr>
      </w:pPr>
      <w:r>
        <w:rPr>
          <w:rFonts w:hint="eastAsia" w:ascii="宋体" w:hAnsi="宋体"/>
          <w:snapToGrid w:val="0"/>
          <w:sz w:val="21"/>
          <w:szCs w:val="21"/>
        </w:rPr>
        <w:t>7.1.6 出现本章7.1.2款～7.1.5款情形被取消承包资格的，发包人应根据7.2.1款实行。</w:t>
      </w:r>
    </w:p>
    <w:p>
      <w:pPr>
        <w:snapToGrid w:val="0"/>
        <w:spacing w:line="374" w:lineRule="exact"/>
        <w:rPr>
          <w:rFonts w:ascii="宋体" w:hAnsi="宋体"/>
          <w:b/>
          <w:sz w:val="21"/>
          <w:szCs w:val="21"/>
        </w:rPr>
      </w:pPr>
      <w:r>
        <w:rPr>
          <w:rFonts w:ascii="宋体" w:hAnsi="宋体"/>
          <w:b/>
          <w:sz w:val="21"/>
          <w:szCs w:val="21"/>
        </w:rPr>
        <w:t xml:space="preserve">7.2 </w:t>
      </w:r>
      <w:r>
        <w:rPr>
          <w:rFonts w:hint="eastAsia" w:ascii="宋体" w:hAnsi="宋体"/>
          <w:b/>
          <w:sz w:val="21"/>
          <w:szCs w:val="21"/>
        </w:rPr>
        <w:t>承包</w:t>
      </w:r>
      <w:r>
        <w:rPr>
          <w:rFonts w:ascii="宋体" w:hAnsi="宋体"/>
          <w:b/>
          <w:sz w:val="21"/>
          <w:szCs w:val="21"/>
        </w:rPr>
        <w:t>通知</w:t>
      </w:r>
    </w:p>
    <w:p>
      <w:pPr>
        <w:snapToGrid w:val="0"/>
        <w:spacing w:line="374" w:lineRule="exact"/>
        <w:ind w:firstLine="315" w:firstLineChars="150"/>
        <w:rPr>
          <w:rFonts w:ascii="宋体" w:hAnsi="宋体"/>
          <w:snapToGrid w:val="0"/>
          <w:color w:val="auto"/>
          <w:sz w:val="21"/>
          <w:szCs w:val="21"/>
        </w:rPr>
      </w:pPr>
      <w:r>
        <w:rPr>
          <w:rFonts w:hint="eastAsia" w:ascii="宋体" w:hAnsi="宋体"/>
          <w:snapToGrid w:val="0"/>
          <w:color w:val="auto"/>
          <w:sz w:val="21"/>
          <w:szCs w:val="21"/>
        </w:rPr>
        <w:t>7.2.1评审结果公示结束后，发包人应当确定排名第一的承包候选人为承包人。排名第一的承包候选人放弃承包、因不可抗力不能履行合同、不按照发包文件要求提交履约保证金，或者被查实存在影响承包结果的违法行为等情形，不符合承包条件的，发包人可以按照评审委员会提出的排名第二的承包候选人为承包人，排名第二的承包候选人因同样原因的，可以确定排名第三的承包候选人为承包人，发包人也可以重新发包。</w:t>
      </w:r>
    </w:p>
    <w:p>
      <w:pPr>
        <w:snapToGrid w:val="0"/>
        <w:spacing w:line="374" w:lineRule="exact"/>
        <w:ind w:firstLine="315" w:firstLineChars="150"/>
        <w:rPr>
          <w:rFonts w:ascii="宋体" w:hAnsi="宋体"/>
          <w:snapToGrid w:val="0"/>
          <w:sz w:val="21"/>
          <w:szCs w:val="21"/>
        </w:rPr>
      </w:pPr>
      <w:r>
        <w:rPr>
          <w:rFonts w:hint="eastAsia" w:ascii="宋体" w:hAnsi="宋体"/>
          <w:snapToGrid w:val="0"/>
          <w:sz w:val="21"/>
          <w:szCs w:val="21"/>
        </w:rPr>
        <w:t>7.2.2在本章第3.3条规定的竞包有效期内，发包人将发包竞包情况和决标结果</w:t>
      </w:r>
      <w:r>
        <w:rPr>
          <w:rFonts w:hint="eastAsia" w:ascii="宋体" w:hAnsi="宋体"/>
          <w:snapToGrid w:val="0"/>
          <w:sz w:val="21"/>
          <w:szCs w:val="21"/>
          <w:lang w:eastAsia="zh-CN"/>
        </w:rPr>
        <w:t>在湖州市公共资源交易中心电子交易平台</w:t>
      </w:r>
      <w:r>
        <w:rPr>
          <w:rFonts w:hint="eastAsia" w:ascii="宋体" w:hAnsi="宋体"/>
          <w:snapToGrid w:val="0"/>
          <w:sz w:val="21"/>
          <w:szCs w:val="21"/>
        </w:rPr>
        <w:t>备案后，以书面形式向承包人发出成交通知书，同时将承包结果通知未承包的竞包人。</w:t>
      </w:r>
    </w:p>
    <w:p>
      <w:pPr>
        <w:snapToGrid w:val="0"/>
        <w:spacing w:line="374" w:lineRule="exact"/>
        <w:rPr>
          <w:rFonts w:ascii="宋体" w:hAnsi="宋体"/>
          <w:b/>
          <w:sz w:val="21"/>
          <w:szCs w:val="21"/>
        </w:rPr>
      </w:pPr>
      <w:r>
        <w:rPr>
          <w:rFonts w:ascii="宋体" w:hAnsi="宋体"/>
          <w:b/>
          <w:sz w:val="21"/>
          <w:szCs w:val="21"/>
        </w:rPr>
        <w:t>7.3 履约担保</w:t>
      </w:r>
    </w:p>
    <w:p>
      <w:pPr>
        <w:snapToGrid w:val="0"/>
        <w:spacing w:line="374" w:lineRule="exact"/>
        <w:ind w:firstLine="420" w:firstLineChars="200"/>
        <w:rPr>
          <w:rFonts w:ascii="宋体" w:hAnsi="宋体"/>
          <w:snapToGrid w:val="0"/>
          <w:sz w:val="21"/>
          <w:szCs w:val="21"/>
        </w:rPr>
      </w:pPr>
      <w:r>
        <w:rPr>
          <w:rFonts w:ascii="宋体" w:hAnsi="宋体"/>
          <w:snapToGrid w:val="0"/>
          <w:sz w:val="21"/>
          <w:szCs w:val="21"/>
        </w:rPr>
        <w:t xml:space="preserve">7.3.1 </w:t>
      </w:r>
      <w:r>
        <w:rPr>
          <w:rFonts w:hint="eastAsia" w:ascii="宋体" w:hAnsi="宋体"/>
          <w:snapToGrid w:val="0"/>
          <w:sz w:val="21"/>
          <w:szCs w:val="21"/>
        </w:rPr>
        <w:t>在签订合同前，承包人应按竞包人须知前附表规定的金额、担保形式和发包文件第</w:t>
      </w:r>
      <w:r>
        <w:rPr>
          <w:rFonts w:ascii="宋体" w:hAnsi="宋体"/>
          <w:snapToGrid w:val="0"/>
          <w:sz w:val="21"/>
          <w:szCs w:val="21"/>
        </w:rPr>
        <w:t>4</w:t>
      </w:r>
      <w:r>
        <w:rPr>
          <w:rFonts w:hint="eastAsia" w:ascii="宋体" w:hAnsi="宋体"/>
          <w:snapToGrid w:val="0"/>
          <w:sz w:val="21"/>
          <w:szCs w:val="21"/>
        </w:rPr>
        <w:t>章“合同条款及格式”规定的履约担保格式向发包人提交履约担保。联合体承包的，其履约担保由牵头人递交，并应符合竞包人须知前附表规定的金额、担保形式和发包文件第</w:t>
      </w:r>
      <w:r>
        <w:rPr>
          <w:rFonts w:ascii="宋体" w:hAnsi="宋体"/>
          <w:snapToGrid w:val="0"/>
          <w:sz w:val="21"/>
          <w:szCs w:val="21"/>
        </w:rPr>
        <w:t>4</w:t>
      </w:r>
      <w:r>
        <w:rPr>
          <w:rFonts w:hint="eastAsia" w:ascii="宋体" w:hAnsi="宋体"/>
          <w:snapToGrid w:val="0"/>
          <w:sz w:val="21"/>
          <w:szCs w:val="21"/>
        </w:rPr>
        <w:t>章“合同条款及格式”规定的履约担保格式要求；</w:t>
      </w:r>
    </w:p>
    <w:p>
      <w:pPr>
        <w:snapToGrid w:val="0"/>
        <w:spacing w:line="374" w:lineRule="exact"/>
        <w:ind w:firstLine="420" w:firstLineChars="200"/>
        <w:rPr>
          <w:rFonts w:ascii="宋体" w:hAnsi="宋体"/>
          <w:snapToGrid w:val="0"/>
          <w:sz w:val="21"/>
          <w:szCs w:val="21"/>
        </w:rPr>
      </w:pPr>
      <w:r>
        <w:rPr>
          <w:rFonts w:ascii="宋体" w:hAnsi="宋体"/>
          <w:snapToGrid w:val="0"/>
          <w:sz w:val="21"/>
          <w:szCs w:val="21"/>
        </w:rPr>
        <w:t xml:space="preserve">7.3.2 </w:t>
      </w:r>
      <w:r>
        <w:rPr>
          <w:rFonts w:hint="eastAsia" w:ascii="宋体" w:hAnsi="宋体"/>
          <w:snapToGrid w:val="0"/>
          <w:sz w:val="21"/>
          <w:szCs w:val="21"/>
        </w:rPr>
        <w:t>承包人</w:t>
      </w:r>
      <w:r>
        <w:rPr>
          <w:rFonts w:ascii="宋体" w:hAnsi="宋体"/>
          <w:snapToGrid w:val="0"/>
          <w:sz w:val="21"/>
          <w:szCs w:val="21"/>
        </w:rPr>
        <w:t>不能按本章第7.3.1项要求提交履约担保的，视为放弃</w:t>
      </w:r>
      <w:r>
        <w:rPr>
          <w:rFonts w:hint="eastAsia" w:ascii="宋体" w:hAnsi="宋体"/>
          <w:snapToGrid w:val="0"/>
          <w:sz w:val="21"/>
          <w:szCs w:val="21"/>
        </w:rPr>
        <w:t>承包</w:t>
      </w:r>
      <w:r>
        <w:rPr>
          <w:rFonts w:ascii="宋体" w:hAnsi="宋体"/>
          <w:snapToGrid w:val="0"/>
          <w:sz w:val="21"/>
          <w:szCs w:val="21"/>
        </w:rPr>
        <w:t>，其</w:t>
      </w:r>
      <w:r>
        <w:rPr>
          <w:rFonts w:hint="eastAsia" w:ascii="宋体" w:hAnsi="宋体"/>
          <w:snapToGrid w:val="0"/>
          <w:sz w:val="21"/>
          <w:szCs w:val="21"/>
        </w:rPr>
        <w:t>竞包保证金</w:t>
      </w:r>
      <w:r>
        <w:rPr>
          <w:rFonts w:ascii="宋体" w:hAnsi="宋体"/>
          <w:snapToGrid w:val="0"/>
          <w:sz w:val="21"/>
          <w:szCs w:val="21"/>
        </w:rPr>
        <w:t>不予退还，给</w:t>
      </w:r>
      <w:r>
        <w:rPr>
          <w:rFonts w:hint="eastAsia" w:ascii="宋体" w:hAnsi="宋体"/>
          <w:snapToGrid w:val="0"/>
          <w:sz w:val="21"/>
          <w:szCs w:val="21"/>
        </w:rPr>
        <w:t>发包人</w:t>
      </w:r>
      <w:r>
        <w:rPr>
          <w:rFonts w:ascii="宋体" w:hAnsi="宋体"/>
          <w:snapToGrid w:val="0"/>
          <w:sz w:val="21"/>
          <w:szCs w:val="21"/>
        </w:rPr>
        <w:t>造成的损失超过</w:t>
      </w:r>
      <w:r>
        <w:rPr>
          <w:rFonts w:hint="eastAsia" w:ascii="宋体" w:hAnsi="宋体"/>
          <w:snapToGrid w:val="0"/>
          <w:sz w:val="21"/>
          <w:szCs w:val="21"/>
        </w:rPr>
        <w:t>竞包保证金</w:t>
      </w:r>
      <w:r>
        <w:rPr>
          <w:rFonts w:ascii="宋体" w:hAnsi="宋体"/>
          <w:snapToGrid w:val="0"/>
          <w:sz w:val="21"/>
          <w:szCs w:val="21"/>
        </w:rPr>
        <w:t>数额的，</w:t>
      </w:r>
      <w:r>
        <w:rPr>
          <w:rFonts w:hint="eastAsia" w:ascii="宋体" w:hAnsi="宋体"/>
          <w:snapToGrid w:val="0"/>
          <w:sz w:val="21"/>
          <w:szCs w:val="21"/>
        </w:rPr>
        <w:t>承包人</w:t>
      </w:r>
      <w:r>
        <w:rPr>
          <w:rFonts w:ascii="宋体" w:hAnsi="宋体"/>
          <w:snapToGrid w:val="0"/>
          <w:sz w:val="21"/>
          <w:szCs w:val="21"/>
        </w:rPr>
        <w:t>还应当对超过部分予以赔偿。</w:t>
      </w:r>
    </w:p>
    <w:p>
      <w:pPr>
        <w:snapToGrid w:val="0"/>
        <w:spacing w:line="374" w:lineRule="exact"/>
        <w:rPr>
          <w:rFonts w:ascii="宋体" w:hAnsi="宋体"/>
          <w:b/>
          <w:sz w:val="21"/>
          <w:szCs w:val="21"/>
        </w:rPr>
      </w:pPr>
      <w:r>
        <w:rPr>
          <w:rFonts w:ascii="宋体" w:hAnsi="宋体"/>
          <w:b/>
          <w:sz w:val="21"/>
          <w:szCs w:val="21"/>
        </w:rPr>
        <w:t>7.4 签订合同</w:t>
      </w:r>
    </w:p>
    <w:p>
      <w:pPr>
        <w:snapToGrid w:val="0"/>
        <w:spacing w:line="374" w:lineRule="exact"/>
        <w:ind w:firstLine="420" w:firstLineChars="200"/>
        <w:rPr>
          <w:rFonts w:ascii="宋体" w:hAnsi="宋体"/>
          <w:snapToGrid w:val="0"/>
          <w:sz w:val="21"/>
          <w:szCs w:val="21"/>
        </w:rPr>
      </w:pPr>
      <w:r>
        <w:rPr>
          <w:rFonts w:ascii="宋体" w:hAnsi="宋体"/>
          <w:snapToGrid w:val="0"/>
          <w:sz w:val="21"/>
          <w:szCs w:val="21"/>
        </w:rPr>
        <w:t xml:space="preserve">7.4.1 </w:t>
      </w:r>
      <w:r>
        <w:rPr>
          <w:rFonts w:hint="eastAsia" w:ascii="宋体" w:hAnsi="宋体"/>
          <w:snapToGrid w:val="0"/>
          <w:sz w:val="21"/>
          <w:szCs w:val="21"/>
        </w:rPr>
        <w:t>发包人</w:t>
      </w:r>
      <w:r>
        <w:rPr>
          <w:rFonts w:ascii="宋体" w:hAnsi="宋体"/>
          <w:snapToGrid w:val="0"/>
          <w:sz w:val="21"/>
          <w:szCs w:val="21"/>
        </w:rPr>
        <w:t>和</w:t>
      </w:r>
      <w:r>
        <w:rPr>
          <w:rFonts w:hint="eastAsia" w:ascii="宋体" w:hAnsi="宋体"/>
          <w:snapToGrid w:val="0"/>
          <w:sz w:val="21"/>
          <w:szCs w:val="21"/>
        </w:rPr>
        <w:t>承包人</w:t>
      </w:r>
      <w:r>
        <w:rPr>
          <w:rFonts w:ascii="宋体" w:hAnsi="宋体"/>
          <w:snapToGrid w:val="0"/>
          <w:sz w:val="21"/>
          <w:szCs w:val="21"/>
        </w:rPr>
        <w:t>应当自</w:t>
      </w:r>
      <w:r>
        <w:rPr>
          <w:rFonts w:hint="eastAsia" w:ascii="宋体" w:hAnsi="宋体"/>
          <w:snapToGrid w:val="0"/>
          <w:sz w:val="21"/>
          <w:szCs w:val="21"/>
        </w:rPr>
        <w:t>成交通知书</w:t>
      </w:r>
      <w:r>
        <w:rPr>
          <w:rFonts w:ascii="宋体" w:hAnsi="宋体"/>
          <w:snapToGrid w:val="0"/>
          <w:sz w:val="21"/>
          <w:szCs w:val="21"/>
        </w:rPr>
        <w:t>发出之日起</w:t>
      </w:r>
      <w:r>
        <w:rPr>
          <w:rFonts w:hint="eastAsia" w:ascii="宋体" w:hAnsi="宋体"/>
          <w:snapToGrid w:val="0"/>
          <w:sz w:val="21"/>
          <w:szCs w:val="21"/>
        </w:rPr>
        <w:t>30</w:t>
      </w:r>
      <w:r>
        <w:rPr>
          <w:rFonts w:ascii="宋体" w:hAnsi="宋体"/>
          <w:snapToGrid w:val="0"/>
          <w:sz w:val="21"/>
          <w:szCs w:val="21"/>
        </w:rPr>
        <w:t>天内，根据</w:t>
      </w:r>
      <w:r>
        <w:rPr>
          <w:rFonts w:hint="eastAsia" w:ascii="宋体" w:hAnsi="宋体"/>
          <w:snapToGrid w:val="0"/>
          <w:sz w:val="21"/>
          <w:szCs w:val="21"/>
        </w:rPr>
        <w:t>发包文件</w:t>
      </w:r>
      <w:r>
        <w:rPr>
          <w:rFonts w:ascii="宋体" w:hAnsi="宋体"/>
          <w:snapToGrid w:val="0"/>
          <w:sz w:val="21"/>
          <w:szCs w:val="21"/>
        </w:rPr>
        <w:t>和</w:t>
      </w:r>
      <w:r>
        <w:rPr>
          <w:rFonts w:hint="eastAsia" w:ascii="宋体" w:hAnsi="宋体"/>
          <w:snapToGrid w:val="0"/>
          <w:sz w:val="21"/>
          <w:szCs w:val="21"/>
        </w:rPr>
        <w:t>承包人</w:t>
      </w:r>
      <w:r>
        <w:rPr>
          <w:rFonts w:ascii="宋体" w:hAnsi="宋体"/>
          <w:snapToGrid w:val="0"/>
          <w:sz w:val="21"/>
          <w:szCs w:val="21"/>
        </w:rPr>
        <w:t>的</w:t>
      </w:r>
      <w:r>
        <w:rPr>
          <w:rFonts w:hint="eastAsia" w:ascii="宋体" w:hAnsi="宋体"/>
          <w:snapToGrid w:val="0"/>
          <w:sz w:val="21"/>
          <w:szCs w:val="21"/>
        </w:rPr>
        <w:t>竞包文件</w:t>
      </w:r>
      <w:r>
        <w:rPr>
          <w:rFonts w:ascii="宋体" w:hAnsi="宋体"/>
          <w:snapToGrid w:val="0"/>
          <w:sz w:val="21"/>
          <w:szCs w:val="21"/>
        </w:rPr>
        <w:t>订立书面合同。</w:t>
      </w:r>
      <w:r>
        <w:rPr>
          <w:rFonts w:hint="eastAsia" w:ascii="宋体" w:hAnsi="宋体"/>
          <w:snapToGrid w:val="0"/>
          <w:sz w:val="21"/>
          <w:szCs w:val="21"/>
        </w:rPr>
        <w:t>承包人</w:t>
      </w:r>
      <w:r>
        <w:rPr>
          <w:rFonts w:ascii="宋体" w:hAnsi="宋体"/>
          <w:snapToGrid w:val="0"/>
          <w:sz w:val="21"/>
          <w:szCs w:val="21"/>
        </w:rPr>
        <w:t>无正当理由拒签合同的，</w:t>
      </w:r>
      <w:r>
        <w:rPr>
          <w:rFonts w:hint="eastAsia" w:ascii="宋体" w:hAnsi="宋体"/>
          <w:snapToGrid w:val="0"/>
          <w:sz w:val="21"/>
          <w:szCs w:val="21"/>
        </w:rPr>
        <w:t>发包人</w:t>
      </w:r>
      <w:r>
        <w:rPr>
          <w:rFonts w:ascii="宋体" w:hAnsi="宋体"/>
          <w:snapToGrid w:val="0"/>
          <w:sz w:val="21"/>
          <w:szCs w:val="21"/>
        </w:rPr>
        <w:t>取消其</w:t>
      </w:r>
      <w:r>
        <w:rPr>
          <w:rFonts w:hint="eastAsia" w:ascii="宋体" w:hAnsi="宋体"/>
          <w:snapToGrid w:val="0"/>
          <w:sz w:val="21"/>
          <w:szCs w:val="21"/>
        </w:rPr>
        <w:t>承包</w:t>
      </w:r>
      <w:r>
        <w:rPr>
          <w:rFonts w:ascii="宋体" w:hAnsi="宋体"/>
          <w:snapToGrid w:val="0"/>
          <w:sz w:val="21"/>
          <w:szCs w:val="21"/>
        </w:rPr>
        <w:t>资格，其</w:t>
      </w:r>
      <w:r>
        <w:rPr>
          <w:rFonts w:hint="eastAsia" w:ascii="宋体" w:hAnsi="宋体"/>
          <w:snapToGrid w:val="0"/>
          <w:sz w:val="21"/>
          <w:szCs w:val="21"/>
        </w:rPr>
        <w:t>竞包保证金</w:t>
      </w:r>
      <w:r>
        <w:rPr>
          <w:rFonts w:ascii="宋体" w:hAnsi="宋体"/>
          <w:snapToGrid w:val="0"/>
          <w:sz w:val="21"/>
          <w:szCs w:val="21"/>
        </w:rPr>
        <w:t>不予退还；给</w:t>
      </w:r>
      <w:r>
        <w:rPr>
          <w:rFonts w:hint="eastAsia" w:ascii="宋体" w:hAnsi="宋体"/>
          <w:snapToGrid w:val="0"/>
          <w:sz w:val="21"/>
          <w:szCs w:val="21"/>
        </w:rPr>
        <w:t>发包人</w:t>
      </w:r>
      <w:r>
        <w:rPr>
          <w:rFonts w:ascii="宋体" w:hAnsi="宋体"/>
          <w:snapToGrid w:val="0"/>
          <w:sz w:val="21"/>
          <w:szCs w:val="21"/>
        </w:rPr>
        <w:t>造成的损失超过</w:t>
      </w:r>
      <w:r>
        <w:rPr>
          <w:rFonts w:hint="eastAsia" w:ascii="宋体" w:hAnsi="宋体"/>
          <w:snapToGrid w:val="0"/>
          <w:sz w:val="21"/>
          <w:szCs w:val="21"/>
        </w:rPr>
        <w:t>竞包保证金</w:t>
      </w:r>
      <w:r>
        <w:rPr>
          <w:rFonts w:ascii="宋体" w:hAnsi="宋体"/>
          <w:snapToGrid w:val="0"/>
          <w:sz w:val="21"/>
          <w:szCs w:val="21"/>
        </w:rPr>
        <w:t>数额的，</w:t>
      </w:r>
      <w:r>
        <w:rPr>
          <w:rFonts w:hint="eastAsia" w:ascii="宋体" w:hAnsi="宋体"/>
          <w:snapToGrid w:val="0"/>
          <w:sz w:val="21"/>
          <w:szCs w:val="21"/>
        </w:rPr>
        <w:t>承包人</w:t>
      </w:r>
      <w:r>
        <w:rPr>
          <w:rFonts w:ascii="宋体" w:hAnsi="宋体"/>
          <w:snapToGrid w:val="0"/>
          <w:sz w:val="21"/>
          <w:szCs w:val="21"/>
        </w:rPr>
        <w:t>还应当对超过部分予以赔偿</w:t>
      </w:r>
      <w:r>
        <w:rPr>
          <w:rFonts w:hint="eastAsia" w:ascii="宋体" w:hAnsi="宋体"/>
          <w:snapToGrid w:val="0"/>
          <w:sz w:val="21"/>
          <w:szCs w:val="21"/>
        </w:rPr>
        <w:t>；</w:t>
      </w:r>
    </w:p>
    <w:p>
      <w:pPr>
        <w:snapToGrid w:val="0"/>
        <w:spacing w:line="374" w:lineRule="exact"/>
        <w:ind w:firstLine="420" w:firstLineChars="200"/>
        <w:rPr>
          <w:rFonts w:ascii="宋体" w:hAnsi="宋体"/>
          <w:snapToGrid w:val="0"/>
          <w:sz w:val="21"/>
          <w:szCs w:val="21"/>
        </w:rPr>
      </w:pPr>
      <w:r>
        <w:rPr>
          <w:rFonts w:ascii="宋体" w:hAnsi="宋体"/>
          <w:snapToGrid w:val="0"/>
          <w:sz w:val="21"/>
          <w:szCs w:val="21"/>
        </w:rPr>
        <w:t>7.4.2 发出</w:t>
      </w:r>
      <w:r>
        <w:rPr>
          <w:rFonts w:hint="eastAsia" w:ascii="宋体" w:hAnsi="宋体"/>
          <w:snapToGrid w:val="0"/>
          <w:sz w:val="21"/>
          <w:szCs w:val="21"/>
        </w:rPr>
        <w:t>成交通知书</w:t>
      </w:r>
      <w:r>
        <w:rPr>
          <w:rFonts w:ascii="宋体" w:hAnsi="宋体"/>
          <w:snapToGrid w:val="0"/>
          <w:sz w:val="21"/>
          <w:szCs w:val="21"/>
        </w:rPr>
        <w:t>后，</w:t>
      </w:r>
      <w:r>
        <w:rPr>
          <w:rFonts w:hint="eastAsia" w:ascii="宋体" w:hAnsi="宋体"/>
          <w:snapToGrid w:val="0"/>
          <w:sz w:val="21"/>
          <w:szCs w:val="21"/>
        </w:rPr>
        <w:t>发包人</w:t>
      </w:r>
      <w:r>
        <w:rPr>
          <w:rFonts w:ascii="宋体" w:hAnsi="宋体"/>
          <w:snapToGrid w:val="0"/>
          <w:sz w:val="21"/>
          <w:szCs w:val="21"/>
        </w:rPr>
        <w:t>无正当理由拒签合同的，</w:t>
      </w:r>
      <w:r>
        <w:rPr>
          <w:rFonts w:hint="eastAsia" w:ascii="宋体" w:hAnsi="宋体"/>
          <w:snapToGrid w:val="0"/>
          <w:sz w:val="21"/>
          <w:szCs w:val="21"/>
        </w:rPr>
        <w:t>发包人</w:t>
      </w:r>
      <w:r>
        <w:rPr>
          <w:rFonts w:ascii="宋体" w:hAnsi="宋体"/>
          <w:snapToGrid w:val="0"/>
          <w:sz w:val="21"/>
          <w:szCs w:val="21"/>
        </w:rPr>
        <w:t>向</w:t>
      </w:r>
      <w:r>
        <w:rPr>
          <w:rFonts w:hint="eastAsia" w:ascii="宋体" w:hAnsi="宋体"/>
          <w:snapToGrid w:val="0"/>
          <w:sz w:val="21"/>
          <w:szCs w:val="21"/>
        </w:rPr>
        <w:t>承包人</w:t>
      </w:r>
      <w:r>
        <w:rPr>
          <w:rFonts w:ascii="宋体" w:hAnsi="宋体"/>
          <w:snapToGrid w:val="0"/>
          <w:sz w:val="21"/>
          <w:szCs w:val="21"/>
        </w:rPr>
        <w:t>退还</w:t>
      </w:r>
      <w:r>
        <w:rPr>
          <w:rFonts w:hint="eastAsia" w:ascii="宋体" w:hAnsi="宋体"/>
          <w:snapToGrid w:val="0"/>
          <w:sz w:val="21"/>
          <w:szCs w:val="21"/>
        </w:rPr>
        <w:t>竞包保证金，并按竞包保证金双倍的金额补偿承包人</w:t>
      </w:r>
      <w:r>
        <w:rPr>
          <w:rFonts w:ascii="宋体" w:hAnsi="宋体"/>
          <w:snapToGrid w:val="0"/>
          <w:sz w:val="21"/>
          <w:szCs w:val="21"/>
        </w:rPr>
        <w:t>损失。</w:t>
      </w:r>
    </w:p>
    <w:p>
      <w:pPr>
        <w:pStyle w:val="6"/>
        <w:snapToGrid w:val="0"/>
        <w:spacing w:line="374" w:lineRule="exact"/>
        <w:jc w:val="both"/>
        <w:rPr>
          <w:rFonts w:ascii="宋体" w:hAnsi="宋体" w:eastAsia="宋体"/>
          <w:snapToGrid w:val="0"/>
          <w:sz w:val="21"/>
          <w:szCs w:val="21"/>
        </w:rPr>
      </w:pPr>
      <w:bookmarkStart w:id="75" w:name="_Toc271200550"/>
      <w:bookmarkStart w:id="76" w:name="_Toc251245635"/>
      <w:bookmarkStart w:id="77" w:name="_Toc5834"/>
      <w:bookmarkStart w:id="78" w:name="_Toc271220716"/>
      <w:bookmarkStart w:id="79" w:name="_Toc251597990"/>
      <w:bookmarkStart w:id="80" w:name="_Toc259802197"/>
      <w:bookmarkStart w:id="81" w:name="_Toc261333118"/>
      <w:r>
        <w:rPr>
          <w:rFonts w:ascii="宋体" w:hAnsi="宋体" w:eastAsia="宋体"/>
          <w:snapToGrid w:val="0"/>
          <w:sz w:val="21"/>
          <w:szCs w:val="21"/>
        </w:rPr>
        <w:t>8重新</w:t>
      </w:r>
      <w:r>
        <w:rPr>
          <w:rFonts w:hint="eastAsia" w:ascii="宋体" w:hAnsi="宋体" w:eastAsia="宋体"/>
          <w:snapToGrid w:val="0"/>
          <w:sz w:val="21"/>
          <w:szCs w:val="21"/>
        </w:rPr>
        <w:t>发包</w:t>
      </w:r>
      <w:r>
        <w:rPr>
          <w:rFonts w:ascii="宋体" w:hAnsi="宋体" w:eastAsia="宋体"/>
          <w:snapToGrid w:val="0"/>
          <w:sz w:val="21"/>
          <w:szCs w:val="21"/>
        </w:rPr>
        <w:t>和不再</w:t>
      </w:r>
      <w:bookmarkEnd w:id="75"/>
      <w:bookmarkEnd w:id="76"/>
      <w:bookmarkEnd w:id="77"/>
      <w:bookmarkEnd w:id="78"/>
      <w:bookmarkEnd w:id="79"/>
      <w:bookmarkEnd w:id="80"/>
      <w:bookmarkEnd w:id="81"/>
      <w:r>
        <w:rPr>
          <w:rFonts w:hint="eastAsia" w:ascii="宋体" w:hAnsi="宋体" w:eastAsia="宋体"/>
          <w:snapToGrid w:val="0"/>
          <w:sz w:val="21"/>
          <w:szCs w:val="21"/>
        </w:rPr>
        <w:t>发包</w:t>
      </w:r>
    </w:p>
    <w:p>
      <w:pPr>
        <w:snapToGrid w:val="0"/>
        <w:spacing w:line="374" w:lineRule="exact"/>
        <w:rPr>
          <w:rFonts w:ascii="宋体" w:hAnsi="宋体"/>
          <w:b/>
          <w:sz w:val="21"/>
          <w:szCs w:val="21"/>
        </w:rPr>
      </w:pPr>
      <w:r>
        <w:rPr>
          <w:rFonts w:ascii="宋体" w:hAnsi="宋体"/>
          <w:b/>
          <w:sz w:val="21"/>
          <w:szCs w:val="21"/>
        </w:rPr>
        <w:t>8.1 重新</w:t>
      </w:r>
      <w:r>
        <w:rPr>
          <w:rFonts w:hint="eastAsia" w:ascii="宋体" w:hAnsi="宋体"/>
          <w:b/>
          <w:sz w:val="21"/>
          <w:szCs w:val="21"/>
        </w:rPr>
        <w:t>发包</w:t>
      </w:r>
    </w:p>
    <w:p>
      <w:pPr>
        <w:snapToGrid w:val="0"/>
        <w:spacing w:line="374" w:lineRule="exact"/>
        <w:ind w:firstLine="420" w:firstLineChars="200"/>
        <w:rPr>
          <w:rFonts w:ascii="宋体" w:hAnsi="宋体"/>
          <w:snapToGrid w:val="0"/>
          <w:sz w:val="21"/>
          <w:szCs w:val="21"/>
        </w:rPr>
      </w:pPr>
      <w:r>
        <w:rPr>
          <w:rFonts w:hint="eastAsia" w:ascii="宋体" w:hAnsi="宋体"/>
          <w:snapToGrid w:val="0"/>
          <w:sz w:val="21"/>
          <w:szCs w:val="21"/>
        </w:rPr>
        <w:t>有下列情形之一的，发包人将重新发包：</w:t>
      </w:r>
    </w:p>
    <w:p>
      <w:pPr>
        <w:snapToGrid w:val="0"/>
        <w:spacing w:line="374" w:lineRule="exact"/>
        <w:ind w:firstLine="420" w:firstLineChars="200"/>
        <w:rPr>
          <w:rFonts w:ascii="宋体" w:hAnsi="宋体"/>
          <w:snapToGrid w:val="0"/>
          <w:sz w:val="21"/>
          <w:szCs w:val="21"/>
        </w:rPr>
      </w:pPr>
      <w:r>
        <w:rPr>
          <w:rFonts w:hint="eastAsia" w:ascii="宋体" w:hAnsi="宋体"/>
          <w:snapToGrid w:val="0"/>
          <w:sz w:val="21"/>
          <w:szCs w:val="21"/>
        </w:rPr>
        <w:t>(1)竞包报名截止时间止，报名参加竞包的潜在竞包人少于2个的；或竞包截止时间止，竞包人少于2个的；</w:t>
      </w:r>
    </w:p>
    <w:p>
      <w:pPr>
        <w:snapToGrid w:val="0"/>
        <w:spacing w:line="374" w:lineRule="exact"/>
        <w:ind w:firstLine="420" w:firstLineChars="200"/>
        <w:rPr>
          <w:rFonts w:ascii="宋体" w:hAnsi="宋体"/>
          <w:snapToGrid w:val="0"/>
          <w:sz w:val="21"/>
          <w:szCs w:val="21"/>
        </w:rPr>
      </w:pPr>
      <w:r>
        <w:rPr>
          <w:rFonts w:hint="eastAsia" w:ascii="宋体" w:hAnsi="宋体"/>
          <w:snapToGrid w:val="0"/>
          <w:sz w:val="21"/>
          <w:szCs w:val="21"/>
        </w:rPr>
        <w:t>(2)经评审委员会评审后否决所有竞包的；</w:t>
      </w:r>
    </w:p>
    <w:p>
      <w:pPr>
        <w:snapToGrid w:val="0"/>
        <w:spacing w:line="374" w:lineRule="exact"/>
        <w:ind w:firstLine="420" w:firstLineChars="200"/>
        <w:rPr>
          <w:rFonts w:ascii="宋体" w:hAnsi="宋体"/>
          <w:snapToGrid w:val="0"/>
          <w:sz w:val="21"/>
          <w:szCs w:val="21"/>
        </w:rPr>
      </w:pPr>
      <w:r>
        <w:rPr>
          <w:rFonts w:hint="eastAsia" w:ascii="宋体" w:hAnsi="宋体"/>
          <w:snapToGrid w:val="0"/>
          <w:sz w:val="21"/>
          <w:szCs w:val="21"/>
        </w:rPr>
        <w:t>(3)评审委员会否决不合格竞包或者界定为否决竞包后因有效竞包不足2个使得竞包明显缺乏竞争，评审委员会决定否决全部竞包的；</w:t>
      </w:r>
    </w:p>
    <w:p>
      <w:pPr>
        <w:snapToGrid w:val="0"/>
        <w:spacing w:line="374" w:lineRule="exact"/>
        <w:ind w:firstLine="420" w:firstLineChars="200"/>
        <w:rPr>
          <w:rFonts w:ascii="宋体" w:hAnsi="宋体"/>
          <w:snapToGrid w:val="0"/>
          <w:sz w:val="21"/>
          <w:szCs w:val="21"/>
        </w:rPr>
      </w:pPr>
      <w:r>
        <w:rPr>
          <w:rFonts w:hint="eastAsia" w:ascii="宋体" w:hAnsi="宋体"/>
          <w:snapToGrid w:val="0"/>
          <w:sz w:val="21"/>
          <w:szCs w:val="21"/>
        </w:rPr>
        <w:t>(4)同意延长竞包有效期的竞包人少于2个的；</w:t>
      </w:r>
    </w:p>
    <w:p>
      <w:pPr>
        <w:snapToGrid w:val="0"/>
        <w:spacing w:line="374" w:lineRule="exact"/>
        <w:ind w:firstLine="420" w:firstLineChars="200"/>
        <w:rPr>
          <w:rFonts w:ascii="宋体" w:hAnsi="宋体"/>
          <w:snapToGrid w:val="0"/>
          <w:sz w:val="21"/>
          <w:szCs w:val="21"/>
        </w:rPr>
      </w:pPr>
      <w:r>
        <w:rPr>
          <w:rFonts w:hint="eastAsia" w:ascii="宋体" w:hAnsi="宋体"/>
          <w:snapToGrid w:val="0"/>
          <w:sz w:val="21"/>
          <w:szCs w:val="21"/>
        </w:rPr>
        <w:t>(5)承包候选人均未与发包人签订合同的。</w:t>
      </w:r>
    </w:p>
    <w:p>
      <w:pPr>
        <w:snapToGrid w:val="0"/>
        <w:spacing w:line="374" w:lineRule="exact"/>
        <w:rPr>
          <w:rFonts w:ascii="宋体" w:hAnsi="宋体"/>
          <w:b/>
          <w:sz w:val="21"/>
          <w:szCs w:val="21"/>
        </w:rPr>
      </w:pPr>
      <w:r>
        <w:rPr>
          <w:rFonts w:ascii="宋体" w:hAnsi="宋体"/>
          <w:b/>
          <w:sz w:val="21"/>
          <w:szCs w:val="21"/>
        </w:rPr>
        <w:t>8.2 不再</w:t>
      </w:r>
      <w:r>
        <w:rPr>
          <w:rFonts w:hint="eastAsia" w:ascii="宋体" w:hAnsi="宋体"/>
          <w:b/>
          <w:sz w:val="21"/>
          <w:szCs w:val="21"/>
        </w:rPr>
        <w:t>公开发包</w:t>
      </w:r>
    </w:p>
    <w:p>
      <w:pPr>
        <w:snapToGrid w:val="0"/>
        <w:spacing w:line="374" w:lineRule="exact"/>
        <w:ind w:firstLine="420" w:firstLineChars="200"/>
        <w:rPr>
          <w:rFonts w:ascii="宋体" w:hAnsi="宋体"/>
          <w:snapToGrid w:val="0"/>
          <w:sz w:val="21"/>
          <w:szCs w:val="21"/>
        </w:rPr>
      </w:pPr>
      <w:r>
        <w:rPr>
          <w:rFonts w:ascii="宋体" w:hAnsi="宋体"/>
          <w:snapToGrid w:val="0"/>
          <w:sz w:val="21"/>
          <w:szCs w:val="21"/>
        </w:rPr>
        <w:t>重新</w:t>
      </w:r>
      <w:r>
        <w:rPr>
          <w:rFonts w:hint="eastAsia" w:ascii="宋体" w:hAnsi="宋体"/>
          <w:snapToGrid w:val="0"/>
          <w:sz w:val="21"/>
          <w:szCs w:val="21"/>
        </w:rPr>
        <w:t>发包</w:t>
      </w:r>
      <w:r>
        <w:rPr>
          <w:rFonts w:ascii="宋体" w:hAnsi="宋体"/>
          <w:snapToGrid w:val="0"/>
          <w:sz w:val="21"/>
          <w:szCs w:val="21"/>
        </w:rPr>
        <w:t>后</w:t>
      </w:r>
      <w:r>
        <w:rPr>
          <w:rFonts w:hint="eastAsia" w:ascii="宋体" w:hAnsi="宋体"/>
          <w:snapToGrid w:val="0"/>
          <w:sz w:val="21"/>
          <w:szCs w:val="21"/>
        </w:rPr>
        <w:t>，仍出现本章8.1款规定情形之一的，属于必要审批的水利工程建设项目，</w:t>
      </w:r>
      <w:r>
        <w:rPr>
          <w:rFonts w:ascii="宋体" w:hAnsi="宋体"/>
          <w:snapToGrid w:val="0"/>
          <w:sz w:val="21"/>
          <w:szCs w:val="21"/>
        </w:rPr>
        <w:t>经</w:t>
      </w:r>
      <w:r>
        <w:rPr>
          <w:rFonts w:hint="eastAsia" w:ascii="宋体" w:hAnsi="宋体"/>
          <w:snapToGrid w:val="0"/>
          <w:sz w:val="21"/>
          <w:szCs w:val="21"/>
        </w:rPr>
        <w:t>行政监督</w:t>
      </w:r>
      <w:r>
        <w:rPr>
          <w:rFonts w:ascii="宋体" w:hAnsi="宋体"/>
          <w:snapToGrid w:val="0"/>
          <w:sz w:val="21"/>
          <w:szCs w:val="21"/>
        </w:rPr>
        <w:t>部门批准后不再进行</w:t>
      </w:r>
      <w:r>
        <w:rPr>
          <w:rFonts w:hint="eastAsia" w:ascii="宋体" w:hAnsi="宋体"/>
          <w:snapToGrid w:val="0"/>
          <w:sz w:val="21"/>
          <w:szCs w:val="21"/>
        </w:rPr>
        <w:t>发包</w:t>
      </w:r>
      <w:r>
        <w:rPr>
          <w:rFonts w:ascii="宋体" w:hAnsi="宋体"/>
          <w:snapToGrid w:val="0"/>
          <w:sz w:val="21"/>
          <w:szCs w:val="21"/>
        </w:rPr>
        <w:t>。</w:t>
      </w:r>
    </w:p>
    <w:p>
      <w:pPr>
        <w:pStyle w:val="6"/>
        <w:snapToGrid w:val="0"/>
        <w:spacing w:line="374" w:lineRule="exact"/>
        <w:jc w:val="both"/>
        <w:rPr>
          <w:rFonts w:ascii="宋体" w:hAnsi="宋体" w:eastAsia="宋体"/>
          <w:snapToGrid w:val="0"/>
          <w:sz w:val="21"/>
          <w:szCs w:val="21"/>
        </w:rPr>
      </w:pPr>
      <w:bookmarkStart w:id="82" w:name="_Toc251245636"/>
      <w:bookmarkStart w:id="83" w:name="_Toc261333119"/>
      <w:bookmarkStart w:id="84" w:name="_Toc251597991"/>
      <w:bookmarkStart w:id="85" w:name="_Toc259802198"/>
      <w:bookmarkStart w:id="86" w:name="_Toc271220717"/>
      <w:bookmarkStart w:id="87" w:name="_Toc27504"/>
      <w:bookmarkStart w:id="88" w:name="_Toc271200551"/>
      <w:r>
        <w:rPr>
          <w:rFonts w:ascii="宋体" w:hAnsi="宋体" w:eastAsia="宋体"/>
          <w:snapToGrid w:val="0"/>
          <w:sz w:val="21"/>
          <w:szCs w:val="21"/>
        </w:rPr>
        <w:t>9纪律和监督</w:t>
      </w:r>
      <w:bookmarkEnd w:id="82"/>
      <w:bookmarkEnd w:id="83"/>
      <w:bookmarkEnd w:id="84"/>
      <w:bookmarkEnd w:id="85"/>
      <w:bookmarkEnd w:id="86"/>
      <w:bookmarkEnd w:id="87"/>
      <w:bookmarkEnd w:id="88"/>
    </w:p>
    <w:p>
      <w:pPr>
        <w:snapToGrid w:val="0"/>
        <w:spacing w:line="374" w:lineRule="exact"/>
        <w:rPr>
          <w:rFonts w:ascii="宋体" w:hAnsi="宋体"/>
          <w:b/>
          <w:sz w:val="21"/>
          <w:szCs w:val="21"/>
        </w:rPr>
      </w:pPr>
      <w:r>
        <w:rPr>
          <w:rFonts w:ascii="宋体" w:hAnsi="宋体"/>
          <w:b/>
          <w:sz w:val="21"/>
          <w:szCs w:val="21"/>
        </w:rPr>
        <w:t>9.1 对</w:t>
      </w:r>
      <w:r>
        <w:rPr>
          <w:rFonts w:hint="eastAsia" w:ascii="宋体" w:hAnsi="宋体"/>
          <w:b/>
          <w:sz w:val="21"/>
          <w:szCs w:val="21"/>
        </w:rPr>
        <w:t>发包人</w:t>
      </w:r>
      <w:r>
        <w:rPr>
          <w:rFonts w:ascii="宋体" w:hAnsi="宋体"/>
          <w:b/>
          <w:sz w:val="21"/>
          <w:szCs w:val="21"/>
        </w:rPr>
        <w:t>的纪律要求</w:t>
      </w:r>
    </w:p>
    <w:p>
      <w:pPr>
        <w:snapToGrid w:val="0"/>
        <w:spacing w:line="374" w:lineRule="exact"/>
        <w:ind w:firstLine="420" w:firstLineChars="200"/>
        <w:rPr>
          <w:rFonts w:ascii="宋体" w:hAnsi="宋体"/>
          <w:snapToGrid w:val="0"/>
          <w:sz w:val="21"/>
          <w:szCs w:val="21"/>
        </w:rPr>
      </w:pPr>
      <w:r>
        <w:rPr>
          <w:rFonts w:hint="eastAsia" w:ascii="宋体" w:hAnsi="宋体"/>
          <w:snapToGrid w:val="0"/>
          <w:sz w:val="21"/>
          <w:szCs w:val="21"/>
        </w:rPr>
        <w:t>发包人</w:t>
      </w:r>
      <w:r>
        <w:rPr>
          <w:rFonts w:ascii="宋体" w:hAnsi="宋体"/>
          <w:snapToGrid w:val="0"/>
          <w:sz w:val="21"/>
          <w:szCs w:val="21"/>
        </w:rPr>
        <w:t>不得泄漏</w:t>
      </w:r>
      <w:r>
        <w:rPr>
          <w:rFonts w:hint="eastAsia" w:ascii="宋体" w:hAnsi="宋体"/>
          <w:snapToGrid w:val="0"/>
          <w:sz w:val="21"/>
          <w:szCs w:val="21"/>
        </w:rPr>
        <w:t>发包竞包</w:t>
      </w:r>
      <w:r>
        <w:rPr>
          <w:rFonts w:ascii="宋体" w:hAnsi="宋体"/>
          <w:snapToGrid w:val="0"/>
          <w:sz w:val="21"/>
          <w:szCs w:val="21"/>
        </w:rPr>
        <w:t>活动中应当保密的情况和资料，不得与</w:t>
      </w:r>
      <w:r>
        <w:rPr>
          <w:rFonts w:hint="eastAsia" w:ascii="宋体" w:hAnsi="宋体"/>
          <w:snapToGrid w:val="0"/>
          <w:sz w:val="21"/>
          <w:szCs w:val="21"/>
        </w:rPr>
        <w:t>竞包人</w:t>
      </w:r>
      <w:r>
        <w:rPr>
          <w:rFonts w:ascii="宋体" w:hAnsi="宋体"/>
          <w:snapToGrid w:val="0"/>
          <w:sz w:val="21"/>
          <w:szCs w:val="21"/>
        </w:rPr>
        <w:t>串通损害国家利益、社会公共利益或者他人合法权益。</w:t>
      </w:r>
    </w:p>
    <w:p>
      <w:pPr>
        <w:snapToGrid w:val="0"/>
        <w:spacing w:line="374" w:lineRule="exact"/>
        <w:ind w:firstLine="420" w:firstLineChars="200"/>
        <w:rPr>
          <w:rFonts w:ascii="宋体" w:hAnsi="宋体"/>
          <w:snapToGrid w:val="0"/>
          <w:sz w:val="21"/>
          <w:szCs w:val="21"/>
        </w:rPr>
      </w:pPr>
      <w:r>
        <w:rPr>
          <w:rFonts w:hint="eastAsia" w:ascii="宋体" w:hAnsi="宋体"/>
          <w:snapToGrid w:val="0"/>
          <w:sz w:val="21"/>
          <w:szCs w:val="21"/>
        </w:rPr>
        <w:t>下列行为均属发包人与竞包人</w:t>
      </w:r>
      <w:r>
        <w:rPr>
          <w:rFonts w:ascii="宋体" w:hAnsi="宋体"/>
          <w:snapToGrid w:val="0"/>
          <w:sz w:val="21"/>
          <w:szCs w:val="21"/>
        </w:rPr>
        <w:t>串通</w:t>
      </w:r>
      <w:r>
        <w:rPr>
          <w:rFonts w:hint="eastAsia" w:ascii="宋体" w:hAnsi="宋体"/>
          <w:snapToGrid w:val="0"/>
          <w:sz w:val="21"/>
          <w:szCs w:val="21"/>
        </w:rPr>
        <w:t>竞包：</w:t>
      </w:r>
    </w:p>
    <w:p>
      <w:pPr>
        <w:snapToGrid w:val="0"/>
        <w:spacing w:line="374" w:lineRule="exact"/>
        <w:ind w:firstLine="420"/>
        <w:rPr>
          <w:rFonts w:ascii="宋体" w:hAnsi="宋体"/>
          <w:snapToGrid w:val="0"/>
          <w:sz w:val="21"/>
          <w:szCs w:val="21"/>
        </w:rPr>
      </w:pPr>
      <w:r>
        <w:rPr>
          <w:rFonts w:hint="eastAsia" w:ascii="宋体" w:hAnsi="宋体"/>
          <w:snapToGrid w:val="0"/>
          <w:sz w:val="21"/>
          <w:szCs w:val="21"/>
        </w:rPr>
        <w:t>⑴发包人在开标前开启竞包文件并将有关信息泄露给其他竞包人；</w:t>
      </w:r>
    </w:p>
    <w:p>
      <w:pPr>
        <w:snapToGrid w:val="0"/>
        <w:spacing w:line="374" w:lineRule="exact"/>
        <w:ind w:firstLine="420"/>
        <w:rPr>
          <w:rFonts w:ascii="宋体" w:hAnsi="宋体"/>
          <w:snapToGrid w:val="0"/>
          <w:sz w:val="21"/>
          <w:szCs w:val="21"/>
        </w:rPr>
      </w:pPr>
      <w:r>
        <w:rPr>
          <w:rFonts w:hint="eastAsia" w:ascii="宋体" w:hAnsi="宋体"/>
          <w:snapToGrid w:val="0"/>
          <w:sz w:val="21"/>
          <w:szCs w:val="21"/>
        </w:rPr>
        <w:t>⑵发包人直接或者间接向竞包人泄露标底、评审委员会成员等信息；</w:t>
      </w:r>
    </w:p>
    <w:p>
      <w:pPr>
        <w:snapToGrid w:val="0"/>
        <w:spacing w:line="374" w:lineRule="exact"/>
        <w:ind w:firstLine="420"/>
        <w:rPr>
          <w:rFonts w:ascii="宋体" w:hAnsi="宋体"/>
          <w:snapToGrid w:val="0"/>
          <w:sz w:val="21"/>
          <w:szCs w:val="21"/>
        </w:rPr>
      </w:pPr>
      <w:r>
        <w:rPr>
          <w:rFonts w:hint="eastAsia" w:ascii="宋体" w:hAnsi="宋体"/>
          <w:snapToGrid w:val="0"/>
          <w:sz w:val="21"/>
          <w:szCs w:val="21"/>
        </w:rPr>
        <w:t>⑶发包人明示或者暗示竞包人压低或者抬高竞包报价；</w:t>
      </w:r>
    </w:p>
    <w:p>
      <w:pPr>
        <w:snapToGrid w:val="0"/>
        <w:spacing w:line="374" w:lineRule="exact"/>
        <w:ind w:firstLine="420"/>
        <w:rPr>
          <w:rFonts w:ascii="宋体" w:hAnsi="宋体"/>
          <w:snapToGrid w:val="0"/>
          <w:sz w:val="21"/>
          <w:szCs w:val="21"/>
        </w:rPr>
      </w:pPr>
      <w:r>
        <w:rPr>
          <w:rFonts w:hint="eastAsia" w:ascii="宋体" w:hAnsi="宋体"/>
          <w:snapToGrid w:val="0"/>
          <w:sz w:val="21"/>
          <w:szCs w:val="21"/>
        </w:rPr>
        <w:t>⑷发包人授意竞包人撤换、修改竞包文件；</w:t>
      </w:r>
    </w:p>
    <w:p>
      <w:pPr>
        <w:snapToGrid w:val="0"/>
        <w:spacing w:line="374" w:lineRule="exact"/>
        <w:ind w:firstLine="420"/>
        <w:rPr>
          <w:rFonts w:ascii="宋体" w:hAnsi="宋体"/>
          <w:snapToGrid w:val="0"/>
          <w:sz w:val="21"/>
          <w:szCs w:val="21"/>
        </w:rPr>
      </w:pPr>
      <w:r>
        <w:rPr>
          <w:rFonts w:hint="eastAsia" w:ascii="宋体" w:hAnsi="宋体"/>
          <w:snapToGrid w:val="0"/>
          <w:sz w:val="21"/>
          <w:szCs w:val="21"/>
        </w:rPr>
        <w:t>⑸发包人明示或者暗示竞包人为特定竞包人承包提供方便；</w:t>
      </w:r>
    </w:p>
    <w:p>
      <w:pPr>
        <w:snapToGrid w:val="0"/>
        <w:spacing w:line="374" w:lineRule="exact"/>
        <w:ind w:firstLine="420"/>
        <w:rPr>
          <w:rFonts w:ascii="宋体" w:hAnsi="宋体"/>
          <w:snapToGrid w:val="0"/>
          <w:sz w:val="21"/>
          <w:szCs w:val="21"/>
        </w:rPr>
      </w:pPr>
      <w:r>
        <w:rPr>
          <w:rFonts w:hint="eastAsia" w:ascii="宋体" w:hAnsi="宋体"/>
          <w:snapToGrid w:val="0"/>
          <w:sz w:val="21"/>
          <w:szCs w:val="21"/>
        </w:rPr>
        <w:t>⑹发包人与竞包人为谋求特定竞包人承包而采取的其他串通行为。</w:t>
      </w:r>
    </w:p>
    <w:p>
      <w:pPr>
        <w:snapToGrid w:val="0"/>
        <w:spacing w:line="374" w:lineRule="exact"/>
        <w:rPr>
          <w:rFonts w:ascii="宋体" w:hAnsi="宋体"/>
          <w:b/>
          <w:sz w:val="21"/>
          <w:szCs w:val="21"/>
        </w:rPr>
      </w:pPr>
      <w:r>
        <w:rPr>
          <w:rFonts w:ascii="宋体" w:hAnsi="宋体"/>
          <w:b/>
          <w:sz w:val="21"/>
          <w:szCs w:val="21"/>
        </w:rPr>
        <w:t>9.2 对</w:t>
      </w:r>
      <w:r>
        <w:rPr>
          <w:rFonts w:hint="eastAsia" w:ascii="宋体" w:hAnsi="宋体"/>
          <w:b/>
          <w:sz w:val="21"/>
          <w:szCs w:val="21"/>
        </w:rPr>
        <w:t>竞包人</w:t>
      </w:r>
      <w:r>
        <w:rPr>
          <w:rFonts w:ascii="宋体" w:hAnsi="宋体"/>
          <w:b/>
          <w:sz w:val="21"/>
          <w:szCs w:val="21"/>
        </w:rPr>
        <w:t>的纪律要求</w:t>
      </w:r>
    </w:p>
    <w:p>
      <w:pPr>
        <w:snapToGrid w:val="0"/>
        <w:spacing w:line="374" w:lineRule="exact"/>
        <w:ind w:firstLine="396" w:firstLineChars="200"/>
        <w:rPr>
          <w:rFonts w:ascii="宋体" w:hAnsi="宋体"/>
          <w:snapToGrid w:val="0"/>
          <w:spacing w:val="-6"/>
          <w:sz w:val="21"/>
          <w:szCs w:val="21"/>
        </w:rPr>
      </w:pPr>
      <w:r>
        <w:rPr>
          <w:rFonts w:hint="eastAsia" w:ascii="宋体" w:hAnsi="宋体"/>
          <w:snapToGrid w:val="0"/>
          <w:spacing w:val="-6"/>
          <w:sz w:val="21"/>
          <w:szCs w:val="21"/>
        </w:rPr>
        <w:t>竞包人</w:t>
      </w:r>
      <w:r>
        <w:rPr>
          <w:rFonts w:ascii="宋体" w:hAnsi="宋体"/>
          <w:snapToGrid w:val="0"/>
          <w:spacing w:val="-6"/>
          <w:sz w:val="21"/>
          <w:szCs w:val="21"/>
        </w:rPr>
        <w:t>不得相互串通</w:t>
      </w:r>
      <w:r>
        <w:rPr>
          <w:rFonts w:hint="eastAsia" w:ascii="宋体" w:hAnsi="宋体"/>
          <w:snapToGrid w:val="0"/>
          <w:spacing w:val="-6"/>
          <w:sz w:val="21"/>
          <w:szCs w:val="21"/>
        </w:rPr>
        <w:t>竞包</w:t>
      </w:r>
      <w:r>
        <w:rPr>
          <w:rFonts w:ascii="宋体" w:hAnsi="宋体"/>
          <w:snapToGrid w:val="0"/>
          <w:spacing w:val="-6"/>
          <w:sz w:val="21"/>
          <w:szCs w:val="21"/>
        </w:rPr>
        <w:t>或者与</w:t>
      </w:r>
      <w:r>
        <w:rPr>
          <w:rFonts w:hint="eastAsia" w:ascii="宋体" w:hAnsi="宋体"/>
          <w:snapToGrid w:val="0"/>
          <w:spacing w:val="-6"/>
          <w:sz w:val="21"/>
          <w:szCs w:val="21"/>
        </w:rPr>
        <w:t>发包人</w:t>
      </w:r>
      <w:r>
        <w:rPr>
          <w:rFonts w:ascii="宋体" w:hAnsi="宋体"/>
          <w:snapToGrid w:val="0"/>
          <w:spacing w:val="-6"/>
          <w:sz w:val="21"/>
          <w:szCs w:val="21"/>
        </w:rPr>
        <w:t>串通</w:t>
      </w:r>
      <w:r>
        <w:rPr>
          <w:rFonts w:hint="eastAsia" w:ascii="宋体" w:hAnsi="宋体"/>
          <w:snapToGrid w:val="0"/>
          <w:spacing w:val="-6"/>
          <w:sz w:val="21"/>
          <w:szCs w:val="21"/>
        </w:rPr>
        <w:t>竞包</w:t>
      </w:r>
      <w:r>
        <w:rPr>
          <w:rFonts w:ascii="宋体" w:hAnsi="宋体"/>
          <w:snapToGrid w:val="0"/>
          <w:spacing w:val="-6"/>
          <w:sz w:val="21"/>
          <w:szCs w:val="21"/>
        </w:rPr>
        <w:t>，不得向</w:t>
      </w:r>
      <w:r>
        <w:rPr>
          <w:rFonts w:hint="eastAsia" w:ascii="宋体" w:hAnsi="宋体"/>
          <w:snapToGrid w:val="0"/>
          <w:spacing w:val="-6"/>
          <w:sz w:val="21"/>
          <w:szCs w:val="21"/>
        </w:rPr>
        <w:t>发包人</w:t>
      </w:r>
      <w:r>
        <w:rPr>
          <w:rFonts w:ascii="宋体" w:hAnsi="宋体"/>
          <w:snapToGrid w:val="0"/>
          <w:spacing w:val="-6"/>
          <w:sz w:val="21"/>
          <w:szCs w:val="21"/>
        </w:rPr>
        <w:t>或者</w:t>
      </w:r>
      <w:r>
        <w:rPr>
          <w:rFonts w:hint="eastAsia" w:ascii="宋体" w:hAnsi="宋体"/>
          <w:snapToGrid w:val="0"/>
          <w:spacing w:val="-6"/>
          <w:sz w:val="21"/>
          <w:szCs w:val="21"/>
        </w:rPr>
        <w:t>评审委员会</w:t>
      </w:r>
      <w:r>
        <w:rPr>
          <w:rFonts w:ascii="宋体" w:hAnsi="宋体"/>
          <w:snapToGrid w:val="0"/>
          <w:spacing w:val="-6"/>
          <w:sz w:val="21"/>
          <w:szCs w:val="21"/>
        </w:rPr>
        <w:t>成员行贿谋取</w:t>
      </w:r>
      <w:r>
        <w:rPr>
          <w:rFonts w:hint="eastAsia" w:ascii="宋体" w:hAnsi="宋体"/>
          <w:snapToGrid w:val="0"/>
          <w:spacing w:val="-6"/>
          <w:sz w:val="21"/>
          <w:szCs w:val="21"/>
        </w:rPr>
        <w:t>承包</w:t>
      </w:r>
      <w:r>
        <w:rPr>
          <w:rFonts w:ascii="宋体" w:hAnsi="宋体"/>
          <w:snapToGrid w:val="0"/>
          <w:spacing w:val="-6"/>
          <w:sz w:val="21"/>
          <w:szCs w:val="21"/>
        </w:rPr>
        <w:t>，不得以他人名义</w:t>
      </w:r>
      <w:r>
        <w:rPr>
          <w:rFonts w:hint="eastAsia" w:ascii="宋体" w:hAnsi="宋体"/>
          <w:snapToGrid w:val="0"/>
          <w:spacing w:val="-6"/>
          <w:sz w:val="21"/>
          <w:szCs w:val="21"/>
        </w:rPr>
        <w:t>竞包</w:t>
      </w:r>
      <w:r>
        <w:rPr>
          <w:rFonts w:ascii="宋体" w:hAnsi="宋体"/>
          <w:snapToGrid w:val="0"/>
          <w:spacing w:val="-6"/>
          <w:sz w:val="21"/>
          <w:szCs w:val="21"/>
        </w:rPr>
        <w:t>或者以</w:t>
      </w:r>
      <w:r>
        <w:rPr>
          <w:rFonts w:hint="eastAsia" w:ascii="宋体" w:hAnsi="宋体"/>
          <w:snapToGrid w:val="0"/>
          <w:spacing w:val="-6"/>
          <w:sz w:val="21"/>
          <w:szCs w:val="21"/>
        </w:rPr>
        <w:t>其它</w:t>
      </w:r>
      <w:r>
        <w:rPr>
          <w:rFonts w:ascii="宋体" w:hAnsi="宋体"/>
          <w:snapToGrid w:val="0"/>
          <w:spacing w:val="-6"/>
          <w:sz w:val="21"/>
          <w:szCs w:val="21"/>
        </w:rPr>
        <w:t>方式弄虚作假骗取</w:t>
      </w:r>
      <w:r>
        <w:rPr>
          <w:rFonts w:hint="eastAsia" w:ascii="宋体" w:hAnsi="宋体"/>
          <w:snapToGrid w:val="0"/>
          <w:spacing w:val="-6"/>
          <w:sz w:val="21"/>
          <w:szCs w:val="21"/>
        </w:rPr>
        <w:t>承包</w:t>
      </w:r>
      <w:r>
        <w:rPr>
          <w:rFonts w:ascii="宋体" w:hAnsi="宋体"/>
          <w:snapToGrid w:val="0"/>
          <w:spacing w:val="-6"/>
          <w:sz w:val="21"/>
          <w:szCs w:val="21"/>
        </w:rPr>
        <w:t>；</w:t>
      </w:r>
      <w:r>
        <w:rPr>
          <w:rFonts w:hint="eastAsia" w:ascii="宋体" w:hAnsi="宋体"/>
          <w:snapToGrid w:val="0"/>
          <w:spacing w:val="-6"/>
          <w:sz w:val="21"/>
          <w:szCs w:val="21"/>
        </w:rPr>
        <w:t>竞包人</w:t>
      </w:r>
      <w:r>
        <w:rPr>
          <w:rFonts w:ascii="宋体" w:hAnsi="宋体"/>
          <w:snapToGrid w:val="0"/>
          <w:spacing w:val="-6"/>
          <w:sz w:val="21"/>
          <w:szCs w:val="21"/>
        </w:rPr>
        <w:t>不得以任何方式干扰、影响</w:t>
      </w:r>
      <w:r>
        <w:rPr>
          <w:rFonts w:hint="eastAsia" w:ascii="宋体" w:hAnsi="宋体"/>
          <w:snapToGrid w:val="0"/>
          <w:spacing w:val="-6"/>
          <w:sz w:val="21"/>
          <w:szCs w:val="21"/>
        </w:rPr>
        <w:t>评审</w:t>
      </w:r>
      <w:r>
        <w:rPr>
          <w:rFonts w:ascii="宋体" w:hAnsi="宋体"/>
          <w:snapToGrid w:val="0"/>
          <w:spacing w:val="-6"/>
          <w:sz w:val="21"/>
          <w:szCs w:val="21"/>
        </w:rPr>
        <w:t>工作。</w:t>
      </w:r>
    </w:p>
    <w:p>
      <w:pPr>
        <w:snapToGrid w:val="0"/>
        <w:spacing w:line="374" w:lineRule="exact"/>
        <w:ind w:firstLine="420" w:firstLineChars="200"/>
        <w:rPr>
          <w:rFonts w:ascii="宋体" w:hAnsi="宋体"/>
          <w:b/>
          <w:bCs/>
          <w:snapToGrid w:val="0"/>
          <w:color w:val="auto"/>
          <w:spacing w:val="-6"/>
          <w:sz w:val="21"/>
          <w:szCs w:val="21"/>
        </w:rPr>
      </w:pPr>
      <w:r>
        <w:rPr>
          <w:rFonts w:hint="eastAsia" w:ascii="宋体" w:hAnsi="宋体" w:eastAsia="宋体" w:cs="Times New Roman"/>
          <w:b/>
          <w:bCs/>
          <w:snapToGrid w:val="0"/>
          <w:color w:val="auto"/>
          <w:sz w:val="21"/>
          <w:szCs w:val="21"/>
        </w:rPr>
        <w:t>授权</w:t>
      </w:r>
      <w:r>
        <w:rPr>
          <w:rFonts w:hint="eastAsia" w:ascii="宋体" w:hAnsi="宋体" w:eastAsia="宋体" w:cs="Times New Roman"/>
          <w:b/>
          <w:bCs/>
          <w:snapToGrid w:val="0"/>
          <w:color w:val="auto"/>
          <w:sz w:val="21"/>
          <w:szCs w:val="21"/>
          <w:lang w:eastAsia="zh-CN"/>
        </w:rPr>
        <w:t>代理</w:t>
      </w:r>
      <w:r>
        <w:rPr>
          <w:rFonts w:hint="eastAsia" w:ascii="宋体" w:hAnsi="宋体" w:eastAsia="宋体" w:cs="Times New Roman"/>
          <w:b/>
          <w:bCs/>
          <w:snapToGrid w:val="0"/>
          <w:color w:val="auto"/>
          <w:sz w:val="21"/>
          <w:szCs w:val="21"/>
        </w:rPr>
        <w:t>人作为被询标人，专家询标时15分钟内不能回复确认的，视为自动放弃。</w:t>
      </w:r>
    </w:p>
    <w:p>
      <w:pPr>
        <w:snapToGrid w:val="0"/>
        <w:spacing w:line="374" w:lineRule="exact"/>
        <w:ind w:firstLine="420"/>
        <w:rPr>
          <w:rFonts w:ascii="宋体" w:hAnsi="宋体"/>
          <w:snapToGrid w:val="0"/>
          <w:sz w:val="21"/>
          <w:szCs w:val="21"/>
        </w:rPr>
      </w:pPr>
      <w:r>
        <w:rPr>
          <w:rFonts w:hint="eastAsia" w:ascii="宋体" w:hAnsi="宋体"/>
          <w:snapToGrid w:val="0"/>
          <w:sz w:val="21"/>
          <w:szCs w:val="21"/>
        </w:rPr>
        <w:t>9.2.1 下列行为均属</w:t>
      </w:r>
      <w:r>
        <w:rPr>
          <w:rFonts w:ascii="宋体" w:hAnsi="宋体"/>
          <w:snapToGrid w:val="0"/>
          <w:sz w:val="21"/>
          <w:szCs w:val="21"/>
        </w:rPr>
        <w:t>以他人名义</w:t>
      </w:r>
      <w:r>
        <w:rPr>
          <w:rFonts w:hint="eastAsia" w:ascii="宋体" w:hAnsi="宋体"/>
          <w:snapToGrid w:val="0"/>
          <w:sz w:val="21"/>
          <w:szCs w:val="21"/>
        </w:rPr>
        <w:t>竞包：</w:t>
      </w:r>
    </w:p>
    <w:p>
      <w:pPr>
        <w:snapToGrid w:val="0"/>
        <w:spacing w:line="374" w:lineRule="exact"/>
        <w:ind w:firstLine="420" w:firstLineChars="200"/>
        <w:rPr>
          <w:rFonts w:ascii="宋体" w:hAnsi="宋体"/>
          <w:snapToGrid w:val="0"/>
          <w:sz w:val="21"/>
          <w:szCs w:val="21"/>
        </w:rPr>
      </w:pPr>
      <w:r>
        <w:rPr>
          <w:rFonts w:hint="eastAsia" w:ascii="宋体" w:hAnsi="宋体"/>
          <w:snapToGrid w:val="0"/>
          <w:sz w:val="21"/>
          <w:szCs w:val="21"/>
        </w:rPr>
        <w:t>(1) 竞包人挂靠其它施工单位；</w:t>
      </w:r>
    </w:p>
    <w:p>
      <w:pPr>
        <w:snapToGrid w:val="0"/>
        <w:spacing w:line="374" w:lineRule="exact"/>
        <w:ind w:firstLine="420" w:firstLineChars="200"/>
        <w:rPr>
          <w:rFonts w:ascii="宋体" w:hAnsi="宋体"/>
          <w:snapToGrid w:val="0"/>
          <w:sz w:val="21"/>
          <w:szCs w:val="21"/>
        </w:rPr>
      </w:pPr>
      <w:r>
        <w:rPr>
          <w:rFonts w:hint="eastAsia" w:ascii="宋体" w:hAnsi="宋体"/>
          <w:snapToGrid w:val="0"/>
          <w:sz w:val="21"/>
          <w:szCs w:val="21"/>
        </w:rPr>
        <w:t>(2) 竞包人从其它施工单位通过转让或租借的方式获取资格或资质证书；</w:t>
      </w:r>
    </w:p>
    <w:p>
      <w:pPr>
        <w:snapToGrid w:val="0"/>
        <w:spacing w:line="374" w:lineRule="exact"/>
        <w:ind w:firstLine="420" w:firstLineChars="200"/>
        <w:rPr>
          <w:rFonts w:ascii="宋体" w:hAnsi="宋体"/>
          <w:snapToGrid w:val="0"/>
          <w:sz w:val="21"/>
          <w:szCs w:val="21"/>
        </w:rPr>
      </w:pPr>
      <w:r>
        <w:rPr>
          <w:rFonts w:hint="eastAsia" w:ascii="宋体" w:hAnsi="宋体"/>
          <w:snapToGrid w:val="0"/>
          <w:sz w:val="21"/>
          <w:szCs w:val="21"/>
        </w:rPr>
        <w:t>(3) 由其它单位及法定代表在自己编制的竞包文件上加盖印章或签字的行为。</w:t>
      </w:r>
    </w:p>
    <w:p>
      <w:pPr>
        <w:snapToGrid w:val="0"/>
        <w:spacing w:line="374" w:lineRule="exact"/>
        <w:ind w:firstLine="420"/>
        <w:rPr>
          <w:rFonts w:ascii="宋体" w:hAnsi="宋体"/>
          <w:snapToGrid w:val="0"/>
          <w:sz w:val="21"/>
          <w:szCs w:val="21"/>
        </w:rPr>
      </w:pPr>
      <w:r>
        <w:rPr>
          <w:rFonts w:hint="eastAsia" w:ascii="宋体" w:hAnsi="宋体"/>
          <w:snapToGrid w:val="0"/>
          <w:sz w:val="21"/>
          <w:szCs w:val="21"/>
        </w:rPr>
        <w:t>9.2.2 下列行为，视为允许他人以本单位名义承揽工程：</w:t>
      </w:r>
    </w:p>
    <w:p>
      <w:pPr>
        <w:snapToGrid w:val="0"/>
        <w:spacing w:line="374" w:lineRule="exact"/>
        <w:ind w:firstLine="420" w:firstLineChars="200"/>
        <w:rPr>
          <w:rFonts w:ascii="宋体" w:hAnsi="宋体"/>
          <w:snapToGrid w:val="0"/>
          <w:sz w:val="21"/>
          <w:szCs w:val="21"/>
        </w:rPr>
      </w:pPr>
      <w:r>
        <w:rPr>
          <w:rFonts w:hint="eastAsia" w:ascii="宋体" w:hAnsi="宋体"/>
          <w:snapToGrid w:val="0"/>
          <w:sz w:val="21"/>
          <w:szCs w:val="21"/>
        </w:rPr>
        <w:t>(1) 竞包人的法定代表人的委托代理人不是竞包人本单位人员；</w:t>
      </w:r>
    </w:p>
    <w:p>
      <w:pPr>
        <w:snapToGrid w:val="0"/>
        <w:spacing w:line="374" w:lineRule="exact"/>
        <w:ind w:firstLine="420" w:firstLineChars="200"/>
        <w:rPr>
          <w:rFonts w:ascii="宋体" w:hAnsi="宋体"/>
          <w:snapToGrid w:val="0"/>
          <w:sz w:val="21"/>
          <w:szCs w:val="21"/>
        </w:rPr>
      </w:pPr>
      <w:r>
        <w:rPr>
          <w:rFonts w:hint="eastAsia" w:ascii="宋体" w:hAnsi="宋体"/>
          <w:snapToGrid w:val="0"/>
          <w:sz w:val="21"/>
          <w:szCs w:val="21"/>
        </w:rPr>
        <w:t>(2) 竞包人拟在施工现场所设项目管理机构的项目负责人、技术负责人、质量负责人、安全负责人、专职安全生产管理人员、施工员、质量员、安全员不是本单位人员。</w:t>
      </w:r>
    </w:p>
    <w:p>
      <w:pPr>
        <w:snapToGrid w:val="0"/>
        <w:spacing w:line="374" w:lineRule="exact"/>
        <w:ind w:firstLine="420" w:firstLineChars="200"/>
        <w:rPr>
          <w:rFonts w:ascii="宋体" w:hAnsi="宋体"/>
          <w:snapToGrid w:val="0"/>
          <w:sz w:val="21"/>
          <w:szCs w:val="21"/>
        </w:rPr>
      </w:pPr>
      <w:r>
        <w:rPr>
          <w:rFonts w:hint="eastAsia" w:ascii="宋体" w:hAnsi="宋体"/>
          <w:snapToGrid w:val="0"/>
          <w:sz w:val="21"/>
          <w:szCs w:val="21"/>
        </w:rPr>
        <w:t>竞包人本单位人员，必须同时满足以下条件：</w:t>
      </w:r>
    </w:p>
    <w:p>
      <w:pPr>
        <w:snapToGrid w:val="0"/>
        <w:spacing w:line="374" w:lineRule="exact"/>
        <w:ind w:firstLine="420" w:firstLineChars="200"/>
        <w:rPr>
          <w:rFonts w:ascii="宋体" w:hAnsi="宋体"/>
          <w:snapToGrid w:val="0"/>
          <w:sz w:val="21"/>
          <w:szCs w:val="21"/>
        </w:rPr>
      </w:pPr>
      <w:r>
        <w:rPr>
          <w:rFonts w:hint="eastAsia" w:ascii="宋体" w:hAnsi="宋体"/>
          <w:snapToGrid w:val="0"/>
          <w:sz w:val="21"/>
          <w:szCs w:val="21"/>
        </w:rPr>
        <w:t>(1) 聘任合同必须由竞包人单位与之签订；</w:t>
      </w:r>
    </w:p>
    <w:p>
      <w:pPr>
        <w:snapToGrid w:val="0"/>
        <w:spacing w:line="374" w:lineRule="exact"/>
        <w:ind w:firstLine="420" w:firstLineChars="200"/>
        <w:rPr>
          <w:rFonts w:ascii="宋体" w:hAnsi="宋体"/>
          <w:snapToGrid w:val="0"/>
          <w:sz w:val="21"/>
          <w:szCs w:val="21"/>
        </w:rPr>
      </w:pPr>
      <w:r>
        <w:rPr>
          <w:rFonts w:hint="eastAsia" w:ascii="宋体" w:hAnsi="宋体"/>
          <w:snapToGrid w:val="0"/>
          <w:sz w:val="21"/>
          <w:szCs w:val="21"/>
        </w:rPr>
        <w:t>(2) 与竞包人单位有合法的工资关系；</w:t>
      </w:r>
    </w:p>
    <w:p>
      <w:pPr>
        <w:snapToGrid w:val="0"/>
        <w:spacing w:line="374" w:lineRule="exact"/>
        <w:ind w:firstLine="420" w:firstLineChars="200"/>
        <w:rPr>
          <w:rFonts w:ascii="宋体" w:hAnsi="宋体"/>
          <w:b/>
          <w:snapToGrid w:val="0"/>
          <w:sz w:val="21"/>
          <w:szCs w:val="21"/>
        </w:rPr>
      </w:pPr>
      <w:r>
        <w:rPr>
          <w:rFonts w:hint="eastAsia" w:ascii="宋体" w:hAnsi="宋体"/>
          <w:b/>
          <w:snapToGrid w:val="0"/>
          <w:sz w:val="21"/>
          <w:szCs w:val="21"/>
        </w:rPr>
        <w:t>(3) 竞包人单位为其办理社会保险关系，或具有其它有效证明其为本单位人员身份的文件。</w:t>
      </w:r>
    </w:p>
    <w:p>
      <w:pPr>
        <w:snapToGrid w:val="0"/>
        <w:spacing w:line="374" w:lineRule="exact"/>
        <w:ind w:firstLine="420"/>
        <w:rPr>
          <w:rFonts w:ascii="宋体" w:hAnsi="宋体"/>
          <w:snapToGrid w:val="0"/>
          <w:sz w:val="21"/>
          <w:szCs w:val="21"/>
        </w:rPr>
      </w:pPr>
      <w:r>
        <w:rPr>
          <w:rFonts w:hint="eastAsia" w:ascii="宋体" w:hAnsi="宋体"/>
          <w:snapToGrid w:val="0"/>
          <w:sz w:val="21"/>
          <w:szCs w:val="21"/>
        </w:rPr>
        <w:t>9.2.3 下列行为均属竞包人</w:t>
      </w:r>
      <w:r>
        <w:rPr>
          <w:rFonts w:ascii="宋体" w:hAnsi="宋体"/>
          <w:snapToGrid w:val="0"/>
          <w:sz w:val="21"/>
          <w:szCs w:val="21"/>
        </w:rPr>
        <w:t>串通</w:t>
      </w:r>
      <w:r>
        <w:rPr>
          <w:rFonts w:hint="eastAsia" w:ascii="宋体" w:hAnsi="宋体"/>
          <w:snapToGrid w:val="0"/>
          <w:sz w:val="21"/>
          <w:szCs w:val="21"/>
        </w:rPr>
        <w:t>竞包报价：</w:t>
      </w:r>
    </w:p>
    <w:p>
      <w:pPr>
        <w:snapToGrid w:val="0"/>
        <w:spacing w:line="374" w:lineRule="exact"/>
        <w:ind w:firstLine="420" w:firstLineChars="200"/>
        <w:rPr>
          <w:rFonts w:ascii="宋体" w:hAnsi="宋体"/>
          <w:snapToGrid w:val="0"/>
          <w:sz w:val="21"/>
          <w:szCs w:val="21"/>
        </w:rPr>
      </w:pPr>
      <w:r>
        <w:rPr>
          <w:rFonts w:ascii="宋体" w:hAnsi="宋体"/>
          <w:snapToGrid w:val="0"/>
          <w:sz w:val="21"/>
          <w:szCs w:val="21"/>
        </w:rPr>
        <w:t>(1)</w:t>
      </w:r>
      <w:r>
        <w:rPr>
          <w:rFonts w:hint="eastAsia" w:ascii="宋体" w:hAnsi="宋体"/>
          <w:snapToGrid w:val="0"/>
          <w:sz w:val="21"/>
          <w:szCs w:val="21"/>
        </w:rPr>
        <w:t>竞包人之间协商竞包报价等竞包文件的实质性内容；</w:t>
      </w:r>
    </w:p>
    <w:p>
      <w:pPr>
        <w:snapToGrid w:val="0"/>
        <w:spacing w:line="374" w:lineRule="exact"/>
        <w:ind w:firstLine="420" w:firstLineChars="200"/>
        <w:rPr>
          <w:rFonts w:ascii="宋体" w:hAnsi="宋体"/>
          <w:snapToGrid w:val="0"/>
          <w:sz w:val="21"/>
          <w:szCs w:val="21"/>
        </w:rPr>
      </w:pPr>
      <w:r>
        <w:rPr>
          <w:rFonts w:ascii="宋体" w:hAnsi="宋体"/>
          <w:snapToGrid w:val="0"/>
          <w:sz w:val="21"/>
          <w:szCs w:val="21"/>
        </w:rPr>
        <w:t>(2)</w:t>
      </w:r>
      <w:r>
        <w:rPr>
          <w:rFonts w:hint="eastAsia" w:ascii="宋体" w:hAnsi="宋体"/>
          <w:snapToGrid w:val="0"/>
          <w:sz w:val="21"/>
          <w:szCs w:val="21"/>
        </w:rPr>
        <w:t>竞包人之间约定承包人；</w:t>
      </w:r>
    </w:p>
    <w:p>
      <w:pPr>
        <w:snapToGrid w:val="0"/>
        <w:spacing w:line="374" w:lineRule="exact"/>
        <w:ind w:firstLine="420" w:firstLineChars="200"/>
        <w:rPr>
          <w:rFonts w:ascii="宋体" w:hAnsi="宋体"/>
          <w:snapToGrid w:val="0"/>
          <w:sz w:val="21"/>
          <w:szCs w:val="21"/>
        </w:rPr>
      </w:pPr>
      <w:r>
        <w:rPr>
          <w:rFonts w:ascii="宋体" w:hAnsi="宋体"/>
          <w:snapToGrid w:val="0"/>
          <w:sz w:val="21"/>
          <w:szCs w:val="21"/>
        </w:rPr>
        <w:t>(3)</w:t>
      </w:r>
      <w:r>
        <w:rPr>
          <w:rFonts w:hint="eastAsia" w:ascii="宋体" w:hAnsi="宋体"/>
          <w:snapToGrid w:val="0"/>
          <w:sz w:val="21"/>
          <w:szCs w:val="21"/>
        </w:rPr>
        <w:t>竞包人之间约定部分竞包人放弃竞包或者承包；</w:t>
      </w:r>
    </w:p>
    <w:p>
      <w:pPr>
        <w:snapToGrid w:val="0"/>
        <w:spacing w:line="374" w:lineRule="exact"/>
        <w:ind w:firstLine="420" w:firstLineChars="200"/>
        <w:rPr>
          <w:rFonts w:ascii="宋体" w:hAnsi="宋体"/>
          <w:snapToGrid w:val="0"/>
          <w:sz w:val="21"/>
          <w:szCs w:val="21"/>
        </w:rPr>
      </w:pPr>
      <w:r>
        <w:rPr>
          <w:rFonts w:ascii="宋体" w:hAnsi="宋体"/>
          <w:snapToGrid w:val="0"/>
          <w:sz w:val="21"/>
          <w:szCs w:val="21"/>
        </w:rPr>
        <w:t>(4)</w:t>
      </w:r>
      <w:r>
        <w:rPr>
          <w:rFonts w:hint="eastAsia" w:ascii="宋体" w:hAnsi="宋体"/>
          <w:snapToGrid w:val="0"/>
          <w:sz w:val="21"/>
          <w:szCs w:val="21"/>
        </w:rPr>
        <w:t>属于同一集团、协会、商会等组织成员的竞包人按照该组织要求协同竞包；</w:t>
      </w:r>
    </w:p>
    <w:p>
      <w:pPr>
        <w:snapToGrid w:val="0"/>
        <w:spacing w:line="374" w:lineRule="exact"/>
        <w:ind w:firstLine="420" w:firstLineChars="200"/>
        <w:rPr>
          <w:rFonts w:ascii="宋体" w:hAnsi="宋体"/>
          <w:snapToGrid w:val="0"/>
          <w:sz w:val="21"/>
          <w:szCs w:val="21"/>
        </w:rPr>
      </w:pPr>
      <w:r>
        <w:rPr>
          <w:rFonts w:ascii="宋体" w:hAnsi="宋体"/>
          <w:snapToGrid w:val="0"/>
          <w:sz w:val="21"/>
          <w:szCs w:val="21"/>
        </w:rPr>
        <w:t>(5)</w:t>
      </w:r>
      <w:r>
        <w:rPr>
          <w:rFonts w:hint="eastAsia" w:ascii="宋体" w:hAnsi="宋体"/>
          <w:snapToGrid w:val="0"/>
          <w:sz w:val="21"/>
          <w:szCs w:val="21"/>
        </w:rPr>
        <w:t>竞包人之间为谋取承包或者排斥特定竞包人而采取的其他联合行动；</w:t>
      </w:r>
    </w:p>
    <w:p>
      <w:pPr>
        <w:snapToGrid w:val="0"/>
        <w:spacing w:line="374" w:lineRule="exact"/>
        <w:ind w:firstLine="420"/>
        <w:rPr>
          <w:rFonts w:ascii="宋体" w:hAnsi="宋体"/>
          <w:snapToGrid w:val="0"/>
          <w:sz w:val="21"/>
          <w:szCs w:val="21"/>
        </w:rPr>
      </w:pPr>
      <w:r>
        <w:rPr>
          <w:rFonts w:ascii="宋体" w:hAnsi="宋体"/>
          <w:snapToGrid w:val="0"/>
          <w:sz w:val="21"/>
          <w:szCs w:val="21"/>
        </w:rPr>
        <w:t xml:space="preserve">9.2.4 </w:t>
      </w:r>
      <w:r>
        <w:rPr>
          <w:rFonts w:hint="eastAsia" w:ascii="宋体" w:hAnsi="宋体"/>
          <w:snapToGrid w:val="0"/>
          <w:sz w:val="21"/>
          <w:szCs w:val="21"/>
        </w:rPr>
        <w:t>下列行为均视为竞包人相互串通竞包：</w:t>
      </w:r>
    </w:p>
    <w:p>
      <w:pPr>
        <w:snapToGrid w:val="0"/>
        <w:spacing w:line="374" w:lineRule="exact"/>
        <w:ind w:firstLine="420" w:firstLineChars="200"/>
        <w:rPr>
          <w:rFonts w:ascii="宋体" w:hAnsi="宋体"/>
          <w:snapToGrid w:val="0"/>
          <w:sz w:val="21"/>
          <w:szCs w:val="21"/>
        </w:rPr>
      </w:pPr>
      <w:r>
        <w:rPr>
          <w:rFonts w:ascii="宋体" w:hAnsi="宋体"/>
          <w:snapToGrid w:val="0"/>
          <w:sz w:val="21"/>
          <w:szCs w:val="21"/>
        </w:rPr>
        <w:t>(1)</w:t>
      </w:r>
      <w:r>
        <w:rPr>
          <w:rFonts w:hint="eastAsia" w:ascii="宋体" w:hAnsi="宋体"/>
          <w:snapToGrid w:val="0"/>
          <w:sz w:val="21"/>
          <w:szCs w:val="21"/>
        </w:rPr>
        <w:t>不同竞包人的竞包文件由同一单位或者个人编制；</w:t>
      </w:r>
    </w:p>
    <w:p>
      <w:pPr>
        <w:snapToGrid w:val="0"/>
        <w:spacing w:line="374" w:lineRule="exact"/>
        <w:ind w:firstLine="420" w:firstLineChars="200"/>
        <w:rPr>
          <w:rFonts w:ascii="宋体" w:hAnsi="宋体"/>
          <w:snapToGrid w:val="0"/>
          <w:sz w:val="21"/>
          <w:szCs w:val="21"/>
        </w:rPr>
      </w:pPr>
      <w:r>
        <w:rPr>
          <w:rFonts w:ascii="宋体" w:hAnsi="宋体"/>
          <w:snapToGrid w:val="0"/>
          <w:sz w:val="21"/>
          <w:szCs w:val="21"/>
        </w:rPr>
        <w:t>(2)</w:t>
      </w:r>
      <w:r>
        <w:rPr>
          <w:rFonts w:hint="eastAsia" w:ascii="宋体" w:hAnsi="宋体"/>
          <w:snapToGrid w:val="0"/>
          <w:sz w:val="21"/>
          <w:szCs w:val="21"/>
        </w:rPr>
        <w:t>不同竞包人委托同一单位或者个人办理竞包事宜；</w:t>
      </w:r>
    </w:p>
    <w:p>
      <w:pPr>
        <w:snapToGrid w:val="0"/>
        <w:spacing w:line="374" w:lineRule="exact"/>
        <w:ind w:firstLine="420" w:firstLineChars="200"/>
        <w:rPr>
          <w:rFonts w:ascii="宋体" w:hAnsi="宋体"/>
          <w:snapToGrid w:val="0"/>
          <w:sz w:val="21"/>
          <w:szCs w:val="21"/>
        </w:rPr>
      </w:pPr>
      <w:r>
        <w:rPr>
          <w:rFonts w:ascii="宋体" w:hAnsi="宋体"/>
          <w:snapToGrid w:val="0"/>
          <w:sz w:val="21"/>
          <w:szCs w:val="21"/>
        </w:rPr>
        <w:t>(3)</w:t>
      </w:r>
      <w:r>
        <w:rPr>
          <w:rFonts w:hint="eastAsia" w:ascii="宋体" w:hAnsi="宋体"/>
          <w:snapToGrid w:val="0"/>
          <w:sz w:val="21"/>
          <w:szCs w:val="21"/>
        </w:rPr>
        <w:t>不同竞包人的竞包文件载明的项目管理成员为同一人；</w:t>
      </w:r>
    </w:p>
    <w:p>
      <w:pPr>
        <w:snapToGrid w:val="0"/>
        <w:spacing w:line="374" w:lineRule="exact"/>
        <w:ind w:firstLine="420" w:firstLineChars="200"/>
        <w:rPr>
          <w:rFonts w:ascii="宋体" w:hAnsi="宋体"/>
          <w:snapToGrid w:val="0"/>
          <w:sz w:val="21"/>
          <w:szCs w:val="21"/>
        </w:rPr>
      </w:pPr>
      <w:r>
        <w:rPr>
          <w:rFonts w:ascii="宋体" w:hAnsi="宋体"/>
          <w:snapToGrid w:val="0"/>
          <w:sz w:val="21"/>
          <w:szCs w:val="21"/>
        </w:rPr>
        <w:t>(4)</w:t>
      </w:r>
      <w:r>
        <w:rPr>
          <w:rFonts w:hint="eastAsia" w:ascii="宋体" w:hAnsi="宋体"/>
          <w:snapToGrid w:val="0"/>
          <w:sz w:val="21"/>
          <w:szCs w:val="21"/>
        </w:rPr>
        <w:t>不同竞包人的竞包文件异常一致或者竞包报价呈规律性差异；</w:t>
      </w:r>
    </w:p>
    <w:p>
      <w:pPr>
        <w:snapToGrid w:val="0"/>
        <w:spacing w:line="374" w:lineRule="exact"/>
        <w:ind w:firstLine="420" w:firstLineChars="200"/>
        <w:rPr>
          <w:rFonts w:ascii="宋体" w:hAnsi="宋体"/>
          <w:snapToGrid w:val="0"/>
          <w:sz w:val="21"/>
          <w:szCs w:val="21"/>
        </w:rPr>
      </w:pPr>
      <w:r>
        <w:rPr>
          <w:rFonts w:ascii="宋体" w:hAnsi="宋体"/>
          <w:snapToGrid w:val="0"/>
          <w:sz w:val="21"/>
          <w:szCs w:val="21"/>
        </w:rPr>
        <w:t>(5)</w:t>
      </w:r>
      <w:r>
        <w:rPr>
          <w:rFonts w:hint="eastAsia" w:ascii="宋体" w:hAnsi="宋体"/>
          <w:snapToGrid w:val="0"/>
          <w:sz w:val="21"/>
          <w:szCs w:val="21"/>
        </w:rPr>
        <w:t>不同竞包人的竞包文件相互混装；</w:t>
      </w:r>
    </w:p>
    <w:p>
      <w:pPr>
        <w:snapToGrid w:val="0"/>
        <w:spacing w:line="374" w:lineRule="exact"/>
        <w:ind w:firstLine="420" w:firstLineChars="200"/>
        <w:rPr>
          <w:rFonts w:ascii="宋体" w:hAnsi="宋体"/>
          <w:snapToGrid w:val="0"/>
          <w:sz w:val="21"/>
          <w:szCs w:val="21"/>
        </w:rPr>
      </w:pPr>
      <w:r>
        <w:rPr>
          <w:rFonts w:ascii="宋体" w:hAnsi="宋体"/>
          <w:snapToGrid w:val="0"/>
          <w:sz w:val="21"/>
          <w:szCs w:val="21"/>
        </w:rPr>
        <w:t>(6)</w:t>
      </w:r>
      <w:r>
        <w:rPr>
          <w:rFonts w:hint="eastAsia" w:ascii="宋体" w:hAnsi="宋体"/>
          <w:snapToGrid w:val="0"/>
          <w:sz w:val="21"/>
          <w:szCs w:val="21"/>
        </w:rPr>
        <w:t>不同竞包人的竞包保证金从同一单位或者个人的账户转出；</w:t>
      </w:r>
    </w:p>
    <w:p>
      <w:pPr>
        <w:pStyle w:val="2"/>
      </w:pPr>
      <w:r>
        <w:rPr>
          <w:rFonts w:hint="eastAsia" w:ascii="宋体" w:hAnsi="宋体" w:eastAsiaTheme="minorEastAsia" w:cstheme="minorBidi"/>
          <w:snapToGrid w:val="0"/>
          <w:kern w:val="0"/>
          <w:sz w:val="21"/>
          <w:szCs w:val="21"/>
        </w:rPr>
        <w:t>（7）不同竞包人的采用同一台电脑进行编制竞包文件（如采用同一MAC地址、硬盘号、主板号、CPU号、或同一造价工具加密器等）。</w:t>
      </w:r>
    </w:p>
    <w:p>
      <w:pPr>
        <w:snapToGrid w:val="0"/>
        <w:spacing w:line="374" w:lineRule="exact"/>
        <w:ind w:firstLine="420"/>
        <w:rPr>
          <w:rFonts w:ascii="宋体" w:hAnsi="宋体"/>
          <w:snapToGrid w:val="0"/>
          <w:sz w:val="21"/>
          <w:szCs w:val="21"/>
        </w:rPr>
      </w:pPr>
      <w:r>
        <w:rPr>
          <w:rFonts w:ascii="宋体" w:hAnsi="宋体"/>
          <w:snapToGrid w:val="0"/>
          <w:sz w:val="21"/>
          <w:szCs w:val="21"/>
        </w:rPr>
        <w:t xml:space="preserve">9.2.5 </w:t>
      </w:r>
      <w:r>
        <w:rPr>
          <w:rFonts w:hint="eastAsia" w:ascii="宋体" w:hAnsi="宋体"/>
          <w:snapToGrid w:val="0"/>
          <w:sz w:val="21"/>
          <w:szCs w:val="21"/>
        </w:rPr>
        <w:t>下列行为均属于竞包人弄虚作假的行为：</w:t>
      </w:r>
    </w:p>
    <w:p>
      <w:pPr>
        <w:snapToGrid w:val="0"/>
        <w:spacing w:line="374" w:lineRule="exact"/>
        <w:ind w:firstLine="420" w:firstLineChars="200"/>
        <w:rPr>
          <w:rFonts w:ascii="宋体" w:hAnsi="宋体"/>
          <w:snapToGrid w:val="0"/>
          <w:sz w:val="21"/>
          <w:szCs w:val="21"/>
        </w:rPr>
      </w:pPr>
      <w:r>
        <w:rPr>
          <w:rFonts w:ascii="宋体" w:hAnsi="宋体"/>
          <w:snapToGrid w:val="0"/>
          <w:sz w:val="21"/>
          <w:szCs w:val="21"/>
        </w:rPr>
        <w:t>(1)</w:t>
      </w:r>
      <w:r>
        <w:rPr>
          <w:rFonts w:hint="eastAsia" w:ascii="宋体" w:hAnsi="宋体"/>
          <w:snapToGrid w:val="0"/>
          <w:sz w:val="21"/>
          <w:szCs w:val="21"/>
        </w:rPr>
        <w:t>使用伪造、变造的许可证件；</w:t>
      </w:r>
    </w:p>
    <w:p>
      <w:pPr>
        <w:snapToGrid w:val="0"/>
        <w:spacing w:line="374" w:lineRule="exact"/>
        <w:ind w:firstLine="420" w:firstLineChars="200"/>
        <w:rPr>
          <w:rFonts w:ascii="宋体" w:hAnsi="宋体"/>
          <w:snapToGrid w:val="0"/>
          <w:sz w:val="21"/>
          <w:szCs w:val="21"/>
        </w:rPr>
      </w:pPr>
      <w:r>
        <w:rPr>
          <w:rFonts w:ascii="宋体" w:hAnsi="宋体"/>
          <w:snapToGrid w:val="0"/>
          <w:sz w:val="21"/>
          <w:szCs w:val="21"/>
        </w:rPr>
        <w:t>(2)</w:t>
      </w:r>
      <w:r>
        <w:rPr>
          <w:rFonts w:hint="eastAsia" w:ascii="宋体" w:hAnsi="宋体"/>
          <w:snapToGrid w:val="0"/>
          <w:sz w:val="21"/>
          <w:szCs w:val="21"/>
        </w:rPr>
        <w:t>提供虚假的财务状况或者业绩；</w:t>
      </w:r>
    </w:p>
    <w:p>
      <w:pPr>
        <w:snapToGrid w:val="0"/>
        <w:spacing w:line="374" w:lineRule="exact"/>
        <w:ind w:firstLine="420" w:firstLineChars="200"/>
        <w:rPr>
          <w:rFonts w:ascii="宋体" w:hAnsi="宋体"/>
          <w:snapToGrid w:val="0"/>
          <w:sz w:val="21"/>
          <w:szCs w:val="21"/>
        </w:rPr>
      </w:pPr>
      <w:r>
        <w:rPr>
          <w:rFonts w:ascii="宋体" w:hAnsi="宋体"/>
          <w:snapToGrid w:val="0"/>
          <w:sz w:val="21"/>
          <w:szCs w:val="21"/>
        </w:rPr>
        <w:t>(3)</w:t>
      </w:r>
      <w:r>
        <w:rPr>
          <w:rFonts w:hint="eastAsia" w:ascii="宋体" w:hAnsi="宋体"/>
          <w:snapToGrid w:val="0"/>
          <w:sz w:val="21"/>
          <w:szCs w:val="21"/>
        </w:rPr>
        <w:t>提供虚假的项目负责人或者主要技术人员简历、劳动关系证明；</w:t>
      </w:r>
    </w:p>
    <w:p>
      <w:pPr>
        <w:snapToGrid w:val="0"/>
        <w:spacing w:line="374" w:lineRule="exact"/>
        <w:ind w:firstLine="420" w:firstLineChars="200"/>
        <w:rPr>
          <w:rFonts w:ascii="宋体" w:hAnsi="宋体"/>
          <w:snapToGrid w:val="0"/>
          <w:sz w:val="21"/>
          <w:szCs w:val="21"/>
        </w:rPr>
      </w:pPr>
      <w:r>
        <w:rPr>
          <w:rFonts w:ascii="宋体" w:hAnsi="宋体"/>
          <w:snapToGrid w:val="0"/>
          <w:sz w:val="21"/>
          <w:szCs w:val="21"/>
        </w:rPr>
        <w:t>(4)</w:t>
      </w:r>
      <w:r>
        <w:rPr>
          <w:rFonts w:hint="eastAsia" w:ascii="宋体" w:hAnsi="宋体"/>
          <w:snapToGrid w:val="0"/>
          <w:sz w:val="21"/>
          <w:szCs w:val="21"/>
        </w:rPr>
        <w:t>提供虚假的信用状况；</w:t>
      </w:r>
    </w:p>
    <w:p>
      <w:pPr>
        <w:snapToGrid w:val="0"/>
        <w:spacing w:line="374" w:lineRule="exact"/>
        <w:ind w:firstLine="420" w:firstLineChars="200"/>
        <w:rPr>
          <w:rFonts w:ascii="宋体" w:hAnsi="宋体"/>
          <w:snapToGrid w:val="0"/>
          <w:sz w:val="21"/>
          <w:szCs w:val="21"/>
        </w:rPr>
      </w:pPr>
      <w:r>
        <w:rPr>
          <w:rFonts w:ascii="宋体" w:hAnsi="宋体"/>
          <w:snapToGrid w:val="0"/>
          <w:sz w:val="21"/>
          <w:szCs w:val="21"/>
        </w:rPr>
        <w:t>(5)</w:t>
      </w:r>
      <w:r>
        <w:rPr>
          <w:rFonts w:hint="eastAsia" w:ascii="宋体" w:hAnsi="宋体"/>
          <w:snapToGrid w:val="0"/>
          <w:sz w:val="21"/>
          <w:szCs w:val="21"/>
        </w:rPr>
        <w:t>其他弄虚作假的行为。</w:t>
      </w:r>
    </w:p>
    <w:p>
      <w:pPr>
        <w:snapToGrid w:val="0"/>
        <w:spacing w:line="374" w:lineRule="exact"/>
        <w:ind w:firstLine="420"/>
        <w:rPr>
          <w:rFonts w:ascii="宋体" w:hAnsi="宋体"/>
          <w:snapToGrid w:val="0"/>
          <w:sz w:val="21"/>
          <w:szCs w:val="21"/>
        </w:rPr>
      </w:pPr>
      <w:r>
        <w:rPr>
          <w:rFonts w:ascii="宋体" w:hAnsi="宋体"/>
          <w:snapToGrid w:val="0"/>
          <w:sz w:val="21"/>
          <w:szCs w:val="21"/>
        </w:rPr>
        <w:t xml:space="preserve">9.2.6 </w:t>
      </w:r>
      <w:r>
        <w:rPr>
          <w:rFonts w:hint="eastAsia" w:ascii="宋体" w:hAnsi="宋体"/>
          <w:snapToGrid w:val="0"/>
          <w:sz w:val="21"/>
          <w:szCs w:val="21"/>
        </w:rPr>
        <w:t>评审结束后，发包人将有串标嫌疑的竞包文件送有关部门进行后续调查，即使最终无法</w:t>
      </w:r>
    </w:p>
    <w:p>
      <w:pPr>
        <w:snapToGrid w:val="0"/>
        <w:spacing w:line="374" w:lineRule="exact"/>
        <w:rPr>
          <w:rFonts w:ascii="宋体" w:hAnsi="宋体"/>
          <w:snapToGrid w:val="0"/>
          <w:sz w:val="21"/>
          <w:szCs w:val="21"/>
        </w:rPr>
      </w:pPr>
      <w:r>
        <w:rPr>
          <w:rFonts w:hint="eastAsia" w:ascii="宋体" w:hAnsi="宋体"/>
          <w:snapToGrid w:val="0"/>
          <w:sz w:val="21"/>
          <w:szCs w:val="21"/>
        </w:rPr>
        <w:t>认定串通竞包行为成立，也不影响其按无效竞包处理的结果。</w:t>
      </w:r>
    </w:p>
    <w:p>
      <w:pPr>
        <w:snapToGrid w:val="0"/>
        <w:spacing w:line="374" w:lineRule="exact"/>
        <w:rPr>
          <w:rFonts w:ascii="宋体" w:hAnsi="宋体"/>
          <w:b/>
          <w:sz w:val="21"/>
          <w:szCs w:val="21"/>
        </w:rPr>
      </w:pPr>
      <w:r>
        <w:rPr>
          <w:rFonts w:ascii="宋体" w:hAnsi="宋体"/>
          <w:b/>
          <w:sz w:val="21"/>
          <w:szCs w:val="21"/>
        </w:rPr>
        <w:t>9.3 对</w:t>
      </w:r>
      <w:r>
        <w:rPr>
          <w:rFonts w:hint="eastAsia" w:ascii="宋体" w:hAnsi="宋体"/>
          <w:b/>
          <w:sz w:val="21"/>
          <w:szCs w:val="21"/>
        </w:rPr>
        <w:t>评审委员会</w:t>
      </w:r>
      <w:r>
        <w:rPr>
          <w:rFonts w:ascii="宋体" w:hAnsi="宋体"/>
          <w:b/>
          <w:sz w:val="21"/>
          <w:szCs w:val="21"/>
        </w:rPr>
        <w:t>成员的纪律要求</w:t>
      </w:r>
    </w:p>
    <w:p>
      <w:pPr>
        <w:snapToGrid w:val="0"/>
        <w:spacing w:line="374" w:lineRule="exact"/>
        <w:ind w:firstLine="420"/>
        <w:rPr>
          <w:rFonts w:ascii="宋体" w:hAnsi="宋体"/>
          <w:snapToGrid w:val="0"/>
          <w:sz w:val="21"/>
          <w:szCs w:val="21"/>
        </w:rPr>
      </w:pPr>
      <w:r>
        <w:rPr>
          <w:rFonts w:hint="eastAsia" w:ascii="宋体" w:hAnsi="宋体"/>
          <w:snapToGrid w:val="0"/>
          <w:sz w:val="21"/>
          <w:szCs w:val="21"/>
        </w:rPr>
        <w:t>评审委员会成员不得私下接触竞包人，不得收受竞包人给予的财物或者其他好处，不得向发包人征询确定承包人的意向，不得接受任何单位或者个人明示或者暗示提出的倾向或者排斥特定竞包人的要求，不得有其他不客观、不公正履行职务的行为；</w:t>
      </w:r>
    </w:p>
    <w:p>
      <w:pPr>
        <w:snapToGrid w:val="0"/>
        <w:spacing w:line="374" w:lineRule="exact"/>
        <w:rPr>
          <w:rFonts w:ascii="宋体" w:hAnsi="宋体"/>
          <w:b/>
          <w:sz w:val="21"/>
          <w:szCs w:val="21"/>
        </w:rPr>
      </w:pPr>
      <w:r>
        <w:rPr>
          <w:rFonts w:ascii="宋体" w:hAnsi="宋体"/>
          <w:b/>
          <w:sz w:val="21"/>
          <w:szCs w:val="21"/>
        </w:rPr>
        <w:t>9.4 对与</w:t>
      </w:r>
      <w:r>
        <w:rPr>
          <w:rFonts w:hint="eastAsia" w:ascii="宋体" w:hAnsi="宋体"/>
          <w:b/>
          <w:sz w:val="21"/>
          <w:szCs w:val="21"/>
        </w:rPr>
        <w:t>评审</w:t>
      </w:r>
      <w:r>
        <w:rPr>
          <w:rFonts w:ascii="宋体" w:hAnsi="宋体"/>
          <w:b/>
          <w:sz w:val="21"/>
          <w:szCs w:val="21"/>
        </w:rPr>
        <w:t>活动有关的工作人员的纪律要求</w:t>
      </w:r>
    </w:p>
    <w:p>
      <w:pPr>
        <w:snapToGrid w:val="0"/>
        <w:spacing w:line="374" w:lineRule="exact"/>
        <w:ind w:firstLine="420" w:firstLineChars="200"/>
        <w:rPr>
          <w:rFonts w:ascii="宋体" w:hAnsi="宋体"/>
          <w:snapToGrid w:val="0"/>
          <w:sz w:val="21"/>
          <w:szCs w:val="21"/>
        </w:rPr>
      </w:pPr>
      <w:r>
        <w:rPr>
          <w:rFonts w:ascii="宋体" w:hAnsi="宋体"/>
          <w:snapToGrid w:val="0"/>
          <w:sz w:val="21"/>
          <w:szCs w:val="21"/>
        </w:rPr>
        <w:t>与</w:t>
      </w:r>
      <w:r>
        <w:rPr>
          <w:rFonts w:hint="eastAsia" w:ascii="宋体" w:hAnsi="宋体"/>
          <w:snapToGrid w:val="0"/>
          <w:sz w:val="21"/>
          <w:szCs w:val="21"/>
        </w:rPr>
        <w:t>评审</w:t>
      </w:r>
      <w:r>
        <w:rPr>
          <w:rFonts w:ascii="宋体" w:hAnsi="宋体"/>
          <w:snapToGrid w:val="0"/>
          <w:sz w:val="21"/>
          <w:szCs w:val="21"/>
        </w:rPr>
        <w:t>活动有关的工作人员不得收受他人的财物或者其他好处，不得向他人透漏对</w:t>
      </w:r>
      <w:r>
        <w:rPr>
          <w:rFonts w:hint="eastAsia" w:ascii="宋体" w:hAnsi="宋体"/>
          <w:snapToGrid w:val="0"/>
          <w:sz w:val="21"/>
          <w:szCs w:val="21"/>
        </w:rPr>
        <w:t>竞包文件</w:t>
      </w:r>
      <w:r>
        <w:rPr>
          <w:rFonts w:ascii="宋体" w:hAnsi="宋体"/>
          <w:snapToGrid w:val="0"/>
          <w:sz w:val="21"/>
          <w:szCs w:val="21"/>
        </w:rPr>
        <w:t>的评审和比较、</w:t>
      </w:r>
      <w:r>
        <w:rPr>
          <w:rFonts w:hint="eastAsia" w:ascii="宋体" w:hAnsi="宋体"/>
          <w:snapToGrid w:val="0"/>
          <w:sz w:val="21"/>
          <w:szCs w:val="21"/>
        </w:rPr>
        <w:t>承包候选人</w:t>
      </w:r>
      <w:r>
        <w:rPr>
          <w:rFonts w:ascii="宋体" w:hAnsi="宋体"/>
          <w:snapToGrid w:val="0"/>
          <w:sz w:val="21"/>
          <w:szCs w:val="21"/>
        </w:rPr>
        <w:t>的推荐情况以及</w:t>
      </w:r>
      <w:r>
        <w:rPr>
          <w:rFonts w:hint="eastAsia" w:ascii="宋体" w:hAnsi="宋体"/>
          <w:snapToGrid w:val="0"/>
          <w:sz w:val="21"/>
          <w:szCs w:val="21"/>
        </w:rPr>
        <w:t>评审</w:t>
      </w:r>
      <w:r>
        <w:rPr>
          <w:rFonts w:ascii="宋体" w:hAnsi="宋体"/>
          <w:snapToGrid w:val="0"/>
          <w:sz w:val="21"/>
          <w:szCs w:val="21"/>
        </w:rPr>
        <w:t>有关的其他情况。在</w:t>
      </w:r>
      <w:r>
        <w:rPr>
          <w:rFonts w:hint="eastAsia" w:ascii="宋体" w:hAnsi="宋体"/>
          <w:snapToGrid w:val="0"/>
          <w:sz w:val="21"/>
          <w:szCs w:val="21"/>
        </w:rPr>
        <w:t>评审</w:t>
      </w:r>
      <w:r>
        <w:rPr>
          <w:rFonts w:ascii="宋体" w:hAnsi="宋体"/>
          <w:snapToGrid w:val="0"/>
          <w:sz w:val="21"/>
          <w:szCs w:val="21"/>
        </w:rPr>
        <w:t>活动中，与</w:t>
      </w:r>
      <w:r>
        <w:rPr>
          <w:rFonts w:hint="eastAsia" w:ascii="宋体" w:hAnsi="宋体"/>
          <w:snapToGrid w:val="0"/>
          <w:sz w:val="21"/>
          <w:szCs w:val="21"/>
        </w:rPr>
        <w:t>评审</w:t>
      </w:r>
      <w:r>
        <w:rPr>
          <w:rFonts w:ascii="宋体" w:hAnsi="宋体"/>
          <w:snapToGrid w:val="0"/>
          <w:sz w:val="21"/>
          <w:szCs w:val="21"/>
        </w:rPr>
        <w:t>活动有关的工作人员不得擅离职守，影响</w:t>
      </w:r>
      <w:r>
        <w:rPr>
          <w:rFonts w:hint="eastAsia" w:ascii="宋体" w:hAnsi="宋体"/>
          <w:snapToGrid w:val="0"/>
          <w:sz w:val="21"/>
          <w:szCs w:val="21"/>
        </w:rPr>
        <w:t>评审</w:t>
      </w:r>
      <w:r>
        <w:rPr>
          <w:rFonts w:ascii="宋体" w:hAnsi="宋体"/>
          <w:snapToGrid w:val="0"/>
          <w:sz w:val="21"/>
          <w:szCs w:val="21"/>
        </w:rPr>
        <w:t>程序正常进行</w:t>
      </w:r>
      <w:r>
        <w:rPr>
          <w:rFonts w:hint="eastAsia" w:ascii="宋体" w:hAnsi="宋体"/>
          <w:snapToGrid w:val="0"/>
          <w:sz w:val="21"/>
          <w:szCs w:val="21"/>
        </w:rPr>
        <w:t>；</w:t>
      </w:r>
    </w:p>
    <w:p>
      <w:pPr>
        <w:snapToGrid w:val="0"/>
        <w:spacing w:line="374" w:lineRule="exact"/>
        <w:rPr>
          <w:rFonts w:ascii="宋体" w:hAnsi="宋体"/>
          <w:b/>
          <w:sz w:val="21"/>
          <w:szCs w:val="21"/>
        </w:rPr>
      </w:pPr>
      <w:r>
        <w:rPr>
          <w:rFonts w:ascii="宋体" w:hAnsi="宋体"/>
          <w:b/>
          <w:sz w:val="21"/>
          <w:szCs w:val="21"/>
        </w:rPr>
        <w:t>9.5 投诉</w:t>
      </w:r>
    </w:p>
    <w:p>
      <w:pPr>
        <w:pStyle w:val="4"/>
        <w:ind w:firstLine="0"/>
        <w:rPr>
          <w:rFonts w:ascii="宋体" w:hAnsi="宋体" w:eastAsiaTheme="minorEastAsia"/>
          <w:snapToGrid w:val="0"/>
          <w:sz w:val="21"/>
          <w:szCs w:val="21"/>
        </w:rPr>
      </w:pPr>
      <w:bookmarkStart w:id="89" w:name="_Toc450405876"/>
      <w:bookmarkStart w:id="90" w:name="_Toc271200552"/>
      <w:bookmarkStart w:id="91" w:name="_Toc271220718"/>
      <w:bookmarkStart w:id="92" w:name="_Toc261333120"/>
      <w:bookmarkStart w:id="93" w:name="_Toc251597992"/>
      <w:bookmarkStart w:id="94" w:name="_Toc259802199"/>
      <w:bookmarkStart w:id="95" w:name="_Toc251245637"/>
      <w:r>
        <w:rPr>
          <w:rFonts w:hint="eastAsia" w:ascii="宋体" w:hAnsi="宋体" w:eastAsiaTheme="minorEastAsia"/>
          <w:snapToGrid w:val="0"/>
          <w:spacing w:val="-4"/>
          <w:sz w:val="21"/>
          <w:szCs w:val="21"/>
        </w:rPr>
        <w:t xml:space="preserve"> 竞包人和其他利害关系人认为本次发包活动违反法律、法规和规章规定的，有权按照《湖州市限额以下工程建设项目发包办法》等规定提出书面异议和投诉。投诉受理机构见竞包人须知前附表。</w:t>
      </w:r>
      <w:bookmarkEnd w:id="89"/>
    </w:p>
    <w:p>
      <w:pPr>
        <w:snapToGrid w:val="0"/>
        <w:spacing w:line="374" w:lineRule="exact"/>
        <w:rPr>
          <w:rFonts w:ascii="宋体" w:hAnsi="宋体"/>
          <w:b/>
          <w:sz w:val="21"/>
          <w:szCs w:val="21"/>
        </w:rPr>
      </w:pPr>
      <w:r>
        <w:rPr>
          <w:rFonts w:ascii="宋体" w:hAnsi="宋体"/>
          <w:b/>
          <w:sz w:val="21"/>
          <w:szCs w:val="21"/>
        </w:rPr>
        <w:t>10其他内容</w:t>
      </w:r>
      <w:bookmarkEnd w:id="90"/>
      <w:bookmarkEnd w:id="91"/>
      <w:bookmarkEnd w:id="92"/>
      <w:bookmarkEnd w:id="93"/>
      <w:bookmarkEnd w:id="94"/>
      <w:bookmarkEnd w:id="95"/>
    </w:p>
    <w:p>
      <w:pPr>
        <w:snapToGrid w:val="0"/>
        <w:spacing w:line="374" w:lineRule="exact"/>
        <w:rPr>
          <w:rFonts w:hint="default" w:ascii="宋体" w:hAnsi="宋体" w:eastAsiaTheme="minorEastAsia"/>
          <w:b/>
          <w:sz w:val="21"/>
          <w:szCs w:val="21"/>
          <w:lang w:val="en-US" w:eastAsia="zh-CN"/>
        </w:rPr>
      </w:pPr>
      <w:r>
        <w:rPr>
          <w:rFonts w:hint="eastAsia" w:ascii="宋体" w:hAnsi="宋体"/>
          <w:b/>
          <w:sz w:val="21"/>
          <w:szCs w:val="21"/>
          <w:lang w:val="en-US" w:eastAsia="zh-CN"/>
        </w:rPr>
        <w:t>10.1 类似业绩：无。</w:t>
      </w:r>
    </w:p>
    <w:p>
      <w:pPr>
        <w:snapToGrid w:val="0"/>
        <w:spacing w:line="374" w:lineRule="exact"/>
        <w:rPr>
          <w:rFonts w:ascii="宋体" w:hAnsi="宋体"/>
          <w:b/>
          <w:sz w:val="21"/>
          <w:szCs w:val="21"/>
        </w:rPr>
      </w:pPr>
      <w:r>
        <w:rPr>
          <w:rFonts w:hint="eastAsia" w:ascii="宋体" w:hAnsi="宋体"/>
          <w:b/>
          <w:sz w:val="21"/>
          <w:szCs w:val="21"/>
        </w:rPr>
        <w:t>10</w:t>
      </w:r>
      <w:r>
        <w:rPr>
          <w:rFonts w:ascii="宋体" w:hAnsi="宋体"/>
          <w:b/>
          <w:sz w:val="21"/>
          <w:szCs w:val="21"/>
        </w:rPr>
        <w:t>.</w:t>
      </w:r>
      <w:r>
        <w:rPr>
          <w:rFonts w:hint="eastAsia" w:ascii="宋体" w:hAnsi="宋体"/>
          <w:b/>
          <w:sz w:val="21"/>
          <w:szCs w:val="21"/>
        </w:rPr>
        <w:t>2 已标价工程量清单电子版</w:t>
      </w:r>
    </w:p>
    <w:p>
      <w:pPr>
        <w:snapToGrid w:val="0"/>
        <w:spacing w:line="374" w:lineRule="exact"/>
        <w:rPr>
          <w:rFonts w:ascii="宋体" w:hAnsi="宋体"/>
          <w:b/>
          <w:snapToGrid w:val="0"/>
          <w:spacing w:val="-4"/>
          <w:sz w:val="21"/>
          <w:szCs w:val="21"/>
        </w:rPr>
      </w:pPr>
      <w:r>
        <w:rPr>
          <w:rFonts w:hint="eastAsia" w:ascii="宋体" w:hAnsi="宋体"/>
          <w:snapToGrid w:val="0"/>
          <w:spacing w:val="-4"/>
          <w:sz w:val="21"/>
          <w:szCs w:val="21"/>
        </w:rPr>
        <w:t>各竞包人需上传已标价的工程量清单电子扫描件。</w:t>
      </w:r>
    </w:p>
    <w:p>
      <w:pPr>
        <w:snapToGrid w:val="0"/>
        <w:spacing w:line="374" w:lineRule="exact"/>
        <w:rPr>
          <w:rFonts w:ascii="宋体" w:hAnsi="宋体"/>
          <w:b/>
          <w:sz w:val="21"/>
          <w:szCs w:val="21"/>
        </w:rPr>
      </w:pPr>
      <w:r>
        <w:rPr>
          <w:rFonts w:hint="eastAsia" w:ascii="宋体" w:hAnsi="宋体"/>
          <w:b/>
          <w:sz w:val="21"/>
          <w:szCs w:val="21"/>
        </w:rPr>
        <w:t>10</w:t>
      </w:r>
      <w:r>
        <w:rPr>
          <w:rFonts w:ascii="宋体" w:hAnsi="宋体"/>
          <w:b/>
          <w:sz w:val="21"/>
          <w:szCs w:val="21"/>
        </w:rPr>
        <w:t>.</w:t>
      </w:r>
      <w:r>
        <w:rPr>
          <w:rFonts w:hint="eastAsia" w:ascii="宋体" w:hAnsi="宋体"/>
          <w:b/>
          <w:sz w:val="21"/>
          <w:szCs w:val="21"/>
        </w:rPr>
        <w:t>3 原件</w:t>
      </w:r>
    </w:p>
    <w:p>
      <w:pPr>
        <w:snapToGrid w:val="0"/>
        <w:spacing w:line="374" w:lineRule="exact"/>
        <w:rPr>
          <w:rFonts w:ascii="宋体" w:hAnsi="宋体"/>
          <w:snapToGrid w:val="0"/>
          <w:spacing w:val="-4"/>
          <w:sz w:val="21"/>
          <w:szCs w:val="21"/>
        </w:rPr>
      </w:pPr>
      <w:r>
        <w:rPr>
          <w:rFonts w:hint="eastAsia" w:ascii="宋体" w:hAnsi="宋体"/>
          <w:snapToGrid w:val="0"/>
          <w:spacing w:val="-4"/>
          <w:sz w:val="21"/>
          <w:szCs w:val="21"/>
        </w:rPr>
        <w:t>竞包人应按竞包人须知前附表规定，将原件的扫描件上传。</w:t>
      </w:r>
    </w:p>
    <w:p>
      <w:pPr>
        <w:snapToGrid w:val="0"/>
        <w:spacing w:line="374" w:lineRule="exact"/>
        <w:rPr>
          <w:rFonts w:ascii="宋体" w:hAnsi="宋体"/>
          <w:b/>
          <w:sz w:val="21"/>
          <w:szCs w:val="21"/>
        </w:rPr>
      </w:pPr>
      <w:r>
        <w:rPr>
          <w:rFonts w:hint="eastAsia" w:ascii="宋体" w:hAnsi="宋体"/>
          <w:b/>
          <w:sz w:val="21"/>
          <w:szCs w:val="21"/>
        </w:rPr>
        <w:t>10</w:t>
      </w:r>
      <w:r>
        <w:rPr>
          <w:rFonts w:ascii="宋体" w:hAnsi="宋体"/>
          <w:b/>
          <w:sz w:val="21"/>
          <w:szCs w:val="21"/>
        </w:rPr>
        <w:t>.</w:t>
      </w:r>
      <w:r>
        <w:rPr>
          <w:rFonts w:hint="eastAsia" w:ascii="宋体" w:hAnsi="宋体"/>
          <w:b/>
          <w:sz w:val="21"/>
          <w:szCs w:val="21"/>
        </w:rPr>
        <w:t>4 承包人的竞包文件</w:t>
      </w:r>
    </w:p>
    <w:p>
      <w:pPr>
        <w:snapToGrid w:val="0"/>
        <w:spacing w:line="374" w:lineRule="exact"/>
        <w:ind w:firstLine="420" w:firstLineChars="200"/>
        <w:rPr>
          <w:rFonts w:ascii="宋体" w:hAnsi="宋体"/>
          <w:snapToGrid w:val="0"/>
          <w:sz w:val="21"/>
          <w:szCs w:val="21"/>
        </w:rPr>
      </w:pPr>
      <w:r>
        <w:rPr>
          <w:rFonts w:hint="eastAsia" w:ascii="宋体" w:hAnsi="宋体"/>
          <w:snapToGrid w:val="0"/>
          <w:sz w:val="21"/>
          <w:szCs w:val="21"/>
        </w:rPr>
        <w:t>承包人须在签订合同前向发包人另行提交竞包人须知前附表规定份数的竞包文件；</w:t>
      </w:r>
    </w:p>
    <w:p>
      <w:pPr>
        <w:snapToGrid w:val="0"/>
        <w:spacing w:line="374" w:lineRule="exact"/>
        <w:rPr>
          <w:rFonts w:ascii="宋体" w:hAnsi="宋体"/>
          <w:b/>
          <w:sz w:val="21"/>
          <w:szCs w:val="21"/>
        </w:rPr>
      </w:pPr>
      <w:r>
        <w:rPr>
          <w:rFonts w:hint="eastAsia" w:ascii="宋体" w:hAnsi="宋体"/>
          <w:b/>
          <w:sz w:val="21"/>
          <w:szCs w:val="21"/>
        </w:rPr>
        <w:t>10.5 发包人最高限价</w:t>
      </w:r>
    </w:p>
    <w:p>
      <w:pPr>
        <w:snapToGrid w:val="0"/>
        <w:spacing w:line="374" w:lineRule="exact"/>
        <w:ind w:firstLine="420"/>
        <w:rPr>
          <w:rFonts w:ascii="宋体" w:hAnsi="宋体"/>
          <w:b/>
          <w:sz w:val="21"/>
          <w:szCs w:val="21"/>
        </w:rPr>
      </w:pPr>
      <w:r>
        <w:rPr>
          <w:rFonts w:hint="eastAsia" w:ascii="宋体" w:hAnsi="宋体"/>
          <w:snapToGrid w:val="0"/>
          <w:sz w:val="21"/>
          <w:szCs w:val="21"/>
        </w:rPr>
        <w:t>发包人最高限价见竞包人须知前附表；</w:t>
      </w:r>
    </w:p>
    <w:p>
      <w:pPr>
        <w:snapToGrid w:val="0"/>
        <w:spacing w:line="374" w:lineRule="exact"/>
        <w:rPr>
          <w:rFonts w:ascii="宋体" w:hAnsi="宋体"/>
          <w:b/>
          <w:sz w:val="21"/>
          <w:szCs w:val="21"/>
        </w:rPr>
      </w:pPr>
      <w:r>
        <w:rPr>
          <w:rFonts w:hint="eastAsia" w:ascii="宋体" w:hAnsi="宋体"/>
          <w:b/>
          <w:sz w:val="21"/>
          <w:szCs w:val="21"/>
        </w:rPr>
        <w:t>10.6 发包人风险控制价</w:t>
      </w:r>
    </w:p>
    <w:p>
      <w:pPr>
        <w:snapToGrid w:val="0"/>
        <w:spacing w:line="374" w:lineRule="exact"/>
        <w:ind w:firstLine="420"/>
        <w:rPr>
          <w:rFonts w:ascii="宋体" w:hAnsi="宋体"/>
          <w:snapToGrid w:val="0"/>
          <w:sz w:val="21"/>
          <w:szCs w:val="21"/>
        </w:rPr>
      </w:pPr>
      <w:r>
        <w:rPr>
          <w:rFonts w:hint="eastAsia" w:ascii="宋体" w:hAnsi="宋体"/>
          <w:snapToGrid w:val="0"/>
          <w:sz w:val="21"/>
          <w:szCs w:val="21"/>
        </w:rPr>
        <w:t>发包人风险控制价见竞包人须知风险控制承包的，承包人在提交履约保证金的同时必须额外提交承包价净值与风险控制价之差前附表。凡低于该额的风险担保金；</w:t>
      </w:r>
    </w:p>
    <w:p>
      <w:pPr>
        <w:snapToGrid w:val="0"/>
        <w:spacing w:line="374" w:lineRule="exact"/>
        <w:ind w:firstLine="420"/>
        <w:rPr>
          <w:rFonts w:ascii="宋体" w:hAnsi="宋体"/>
          <w:snapToGrid w:val="0"/>
          <w:sz w:val="21"/>
          <w:szCs w:val="21"/>
        </w:rPr>
      </w:pPr>
      <w:r>
        <w:rPr>
          <w:rFonts w:hint="eastAsia" w:ascii="宋体" w:hAnsi="宋体"/>
          <w:snapToGrid w:val="0"/>
          <w:sz w:val="21"/>
          <w:szCs w:val="21"/>
        </w:rPr>
        <w:t>风险担保金在主体工程完工后，经监理人确认、发包人同意后一次性无息退还。</w:t>
      </w:r>
    </w:p>
    <w:p>
      <w:pPr>
        <w:snapToGrid w:val="0"/>
        <w:spacing w:line="374" w:lineRule="exact"/>
        <w:rPr>
          <w:rFonts w:ascii="宋体" w:hAnsi="宋体"/>
          <w:b/>
          <w:color w:val="auto"/>
          <w:sz w:val="21"/>
          <w:szCs w:val="21"/>
          <w:shd w:val="clear" w:color="FFFFFF" w:fill="D9D9D9"/>
        </w:rPr>
      </w:pPr>
      <w:r>
        <w:rPr>
          <w:rFonts w:hint="eastAsia" w:ascii="宋体" w:hAnsi="宋体"/>
          <w:b/>
          <w:color w:val="auto"/>
          <w:sz w:val="21"/>
          <w:szCs w:val="21"/>
          <w:shd w:val="clear" w:color="FFFFFF" w:fill="D9D9D9"/>
        </w:rPr>
        <w:t>10</w:t>
      </w:r>
      <w:r>
        <w:rPr>
          <w:rFonts w:ascii="宋体" w:hAnsi="宋体"/>
          <w:b/>
          <w:color w:val="auto"/>
          <w:sz w:val="21"/>
          <w:szCs w:val="21"/>
          <w:shd w:val="clear" w:color="FFFFFF" w:fill="D9D9D9"/>
        </w:rPr>
        <w:t>.</w:t>
      </w:r>
      <w:r>
        <w:rPr>
          <w:rFonts w:hint="eastAsia" w:ascii="宋体" w:hAnsi="宋体"/>
          <w:b/>
          <w:color w:val="auto"/>
          <w:sz w:val="21"/>
          <w:szCs w:val="21"/>
          <w:shd w:val="clear" w:color="FFFFFF" w:fill="D9D9D9"/>
        </w:rPr>
        <w:t>7 需要补充的内容</w:t>
      </w:r>
    </w:p>
    <w:p>
      <w:pPr>
        <w:snapToGrid w:val="0"/>
        <w:spacing w:line="374" w:lineRule="exact"/>
        <w:ind w:firstLine="420" w:firstLineChars="200"/>
        <w:rPr>
          <w:rFonts w:hint="eastAsia" w:ascii="宋体" w:hAnsi="宋体"/>
          <w:b/>
          <w:color w:val="auto"/>
          <w:sz w:val="21"/>
          <w:szCs w:val="21"/>
          <w:shd w:val="clear" w:color="FFFFFF" w:fill="D9D9D9"/>
        </w:rPr>
      </w:pPr>
      <w:r>
        <w:rPr>
          <w:rFonts w:hint="eastAsia" w:ascii="宋体" w:hAnsi="宋体"/>
          <w:b/>
          <w:color w:val="auto"/>
          <w:sz w:val="21"/>
          <w:szCs w:val="21"/>
          <w:shd w:val="clear" w:color="FFFFFF" w:fill="D9D9D9"/>
        </w:rPr>
        <w:t>1、如履约担保递交形式为银行保函或建设工程完工履约保证保险保单保函【提供履约保函的机构需在湖州市区开设营业场所（必须是不可撤销保函，且无条件支付或见索支付）】。至竣工验收合格前如保函已失效，中标单位应对保函进行延期，如未延期，招标人有权解除合同并要求中标单位承担由此造成的一切损失。</w:t>
      </w:r>
    </w:p>
    <w:p>
      <w:pPr>
        <w:snapToGrid w:val="0"/>
        <w:spacing w:line="374" w:lineRule="exact"/>
        <w:ind w:firstLine="420"/>
        <w:rPr>
          <w:rFonts w:hint="eastAsia" w:ascii="宋体" w:hAnsi="宋体"/>
          <w:snapToGrid w:val="0"/>
          <w:sz w:val="21"/>
          <w:szCs w:val="21"/>
        </w:rPr>
      </w:pPr>
      <w:r>
        <w:rPr>
          <w:rFonts w:hint="eastAsia" w:ascii="宋体" w:hAnsi="宋体"/>
          <w:snapToGrid w:val="0"/>
          <w:sz w:val="21"/>
          <w:szCs w:val="21"/>
          <w:lang w:val="en-US" w:eastAsia="zh-CN"/>
        </w:rPr>
        <w:t>2、</w:t>
      </w:r>
      <w:r>
        <w:rPr>
          <w:rFonts w:hint="eastAsia" w:ascii="宋体" w:hAnsi="宋体"/>
          <w:snapToGrid w:val="0"/>
          <w:sz w:val="21"/>
          <w:szCs w:val="21"/>
        </w:rPr>
        <w:t>如项目负责人有在建工程，除取消承包资格外，业主将上报行政主管部门，并建议列入不良行为记录一次。</w:t>
      </w:r>
    </w:p>
    <w:p>
      <w:pPr>
        <w:snapToGrid w:val="0"/>
        <w:spacing w:line="374" w:lineRule="exact"/>
        <w:ind w:firstLine="420" w:firstLineChars="200"/>
        <w:rPr>
          <w:rFonts w:ascii="宋体" w:hAnsi="宋体"/>
          <w:snapToGrid w:val="0"/>
          <w:color w:val="auto"/>
          <w:sz w:val="21"/>
          <w:szCs w:val="21"/>
          <w:shd w:val="clear" w:color="FFFFFF" w:fill="D9D9D9"/>
        </w:rPr>
      </w:pPr>
      <w:r>
        <w:rPr>
          <w:rFonts w:hint="eastAsia" w:ascii="宋体" w:hAnsi="宋体"/>
          <w:snapToGrid w:val="0"/>
          <w:color w:val="auto"/>
          <w:sz w:val="21"/>
          <w:szCs w:val="21"/>
          <w:shd w:val="clear" w:color="FFFFFF" w:fill="D9D9D9"/>
          <w:lang w:val="en-US" w:eastAsia="zh-CN"/>
        </w:rPr>
        <w:t>3、</w:t>
      </w:r>
      <w:r>
        <w:rPr>
          <w:rFonts w:hint="eastAsia" w:ascii="宋体" w:hAnsi="宋体"/>
          <w:snapToGrid w:val="0"/>
          <w:color w:val="auto"/>
          <w:sz w:val="21"/>
          <w:szCs w:val="21"/>
          <w:shd w:val="clear" w:color="FFFFFF" w:fill="D9D9D9"/>
          <w:lang w:eastAsia="zh-CN"/>
        </w:rPr>
        <w:t>其他</w:t>
      </w:r>
      <w:r>
        <w:rPr>
          <w:rFonts w:ascii="宋体" w:hAnsi="宋体"/>
          <w:snapToGrid w:val="0"/>
          <w:color w:val="auto"/>
          <w:sz w:val="21"/>
          <w:szCs w:val="21"/>
          <w:shd w:val="clear" w:color="FFFFFF" w:fill="D9D9D9"/>
        </w:rPr>
        <w:t>需要补充的内容：见</w:t>
      </w:r>
      <w:r>
        <w:rPr>
          <w:rFonts w:hint="eastAsia" w:ascii="宋体" w:hAnsi="宋体"/>
          <w:snapToGrid w:val="0"/>
          <w:color w:val="auto"/>
          <w:sz w:val="21"/>
          <w:szCs w:val="21"/>
          <w:shd w:val="clear" w:color="FFFFFF" w:fill="D9D9D9"/>
        </w:rPr>
        <w:t>竞包人</w:t>
      </w:r>
      <w:r>
        <w:rPr>
          <w:rFonts w:ascii="宋体" w:hAnsi="宋体"/>
          <w:snapToGrid w:val="0"/>
          <w:color w:val="auto"/>
          <w:sz w:val="21"/>
          <w:szCs w:val="21"/>
          <w:shd w:val="clear" w:color="FFFFFF" w:fill="D9D9D9"/>
        </w:rPr>
        <w:t>须知前附表</w:t>
      </w:r>
      <w:r>
        <w:rPr>
          <w:rFonts w:hint="eastAsia" w:ascii="宋体" w:hAnsi="宋体"/>
          <w:snapToGrid w:val="0"/>
          <w:color w:val="auto"/>
          <w:sz w:val="21"/>
          <w:szCs w:val="21"/>
          <w:shd w:val="clear" w:color="FFFFFF" w:fill="D9D9D9"/>
          <w:lang w:eastAsia="zh-CN"/>
        </w:rPr>
        <w:t>和发包答疑（如有）</w:t>
      </w:r>
      <w:r>
        <w:rPr>
          <w:rFonts w:ascii="宋体" w:hAnsi="宋体"/>
          <w:snapToGrid w:val="0"/>
          <w:color w:val="auto"/>
          <w:sz w:val="21"/>
          <w:szCs w:val="21"/>
          <w:shd w:val="clear" w:color="FFFFFF" w:fill="D9D9D9"/>
        </w:rPr>
        <w:t>。</w:t>
      </w:r>
    </w:p>
    <w:p>
      <w:pPr>
        <w:snapToGrid w:val="0"/>
        <w:ind w:firstLine="315" w:firstLineChars="150"/>
        <w:rPr>
          <w:rFonts w:ascii="宋体" w:hAnsi="宋体"/>
          <w:sz w:val="21"/>
          <w:szCs w:val="21"/>
        </w:rPr>
      </w:pPr>
    </w:p>
    <w:bookmarkEnd w:id="26"/>
    <w:bookmarkEnd w:id="27"/>
    <w:bookmarkEnd w:id="28"/>
    <w:p>
      <w:pPr>
        <w:pStyle w:val="3"/>
        <w:jc w:val="both"/>
        <w:rPr>
          <w:rFonts w:ascii="宋体" w:hAnsi="宋体" w:eastAsia="宋体"/>
          <w:b/>
          <w:sz w:val="24"/>
          <w:szCs w:val="24"/>
        </w:rPr>
      </w:pPr>
      <w:bookmarkStart w:id="96" w:name="_Toc339482447"/>
      <w:bookmarkStart w:id="97" w:name="_Toc452839269"/>
      <w:bookmarkStart w:id="98" w:name="_Toc234382648"/>
      <w:bookmarkStart w:id="99" w:name="_Toc322370058"/>
      <w:bookmarkStart w:id="100" w:name="_Toc13864"/>
      <w:bookmarkStart w:id="101" w:name="_Toc319618861"/>
      <w:bookmarkStart w:id="102" w:name="_Toc405378472"/>
      <w:bookmarkStart w:id="103" w:name="_Toc318751939"/>
      <w:bookmarkStart w:id="104" w:name="_Toc231017346"/>
      <w:bookmarkStart w:id="105" w:name="_Toc271220727"/>
      <w:bookmarkStart w:id="106" w:name="_Toc217819034"/>
      <w:bookmarkStart w:id="107" w:name="_Toc261333129"/>
      <w:bookmarkStart w:id="108" w:name="_Toc271200561"/>
      <w:bookmarkStart w:id="109" w:name="_Toc184635087"/>
      <w:r>
        <w:rPr>
          <w:rFonts w:hint="eastAsia" w:ascii="宋体" w:hAnsi="宋体" w:eastAsia="宋体"/>
          <w:b/>
          <w:sz w:val="24"/>
          <w:szCs w:val="24"/>
        </w:rPr>
        <w:t>附表一：</w:t>
      </w:r>
      <w:bookmarkEnd w:id="96"/>
      <w:bookmarkEnd w:id="97"/>
      <w:bookmarkEnd w:id="98"/>
      <w:bookmarkEnd w:id="99"/>
      <w:bookmarkEnd w:id="100"/>
      <w:bookmarkEnd w:id="101"/>
      <w:bookmarkEnd w:id="102"/>
      <w:bookmarkEnd w:id="103"/>
      <w:r>
        <w:rPr>
          <w:rFonts w:hint="eastAsia" w:ascii="宋体" w:hAnsi="宋体" w:eastAsia="宋体"/>
          <w:b/>
          <w:sz w:val="24"/>
          <w:szCs w:val="24"/>
        </w:rPr>
        <w:t>成交通知书</w:t>
      </w:r>
    </w:p>
    <w:p>
      <w:pPr>
        <w:jc w:val="left"/>
        <w:rPr>
          <w:rFonts w:ascii="宋体" w:hAnsi="宋体"/>
          <w:szCs w:val="24"/>
        </w:rPr>
      </w:pPr>
      <w:r>
        <w:rPr>
          <w:rFonts w:hint="eastAsia" w:ascii="宋体"/>
          <w:szCs w:val="24"/>
        </w:rPr>
        <w:t>项目编码：</w:t>
      </w:r>
    </w:p>
    <w:p>
      <w:pPr>
        <w:jc w:val="center"/>
        <w:rPr>
          <w:rFonts w:ascii="宋体" w:hAnsi="宋体"/>
          <w:b/>
          <w:bCs/>
          <w:kern w:val="44"/>
          <w:sz w:val="28"/>
          <w:szCs w:val="28"/>
        </w:rPr>
      </w:pPr>
      <w:r>
        <w:rPr>
          <w:rFonts w:hint="eastAsia" w:ascii="宋体" w:hAnsi="宋体"/>
          <w:b/>
          <w:bCs/>
          <w:kern w:val="44"/>
          <w:sz w:val="28"/>
          <w:szCs w:val="28"/>
        </w:rPr>
        <w:t>成交通知书</w:t>
      </w:r>
    </w:p>
    <w:p>
      <w:pPr>
        <w:pStyle w:val="2"/>
      </w:pPr>
    </w:p>
    <w:p>
      <w:pPr>
        <w:rPr>
          <w:rFonts w:asciiTheme="minorEastAsia" w:hAnsiTheme="minorEastAsia" w:cstheme="minorEastAsia"/>
          <w:kern w:val="44"/>
          <w:szCs w:val="24"/>
        </w:rPr>
      </w:pPr>
      <w:r>
        <w:rPr>
          <w:rFonts w:hint="eastAsia" w:asciiTheme="minorEastAsia" w:hAnsiTheme="minorEastAsia" w:cstheme="minorEastAsia"/>
          <w:kern w:val="44"/>
          <w:szCs w:val="24"/>
        </w:rPr>
        <w:t>___________________________（成交人名称）：</w:t>
      </w:r>
    </w:p>
    <w:p>
      <w:pPr>
        <w:jc w:val="left"/>
        <w:rPr>
          <w:rFonts w:asciiTheme="minorEastAsia" w:hAnsiTheme="minorEastAsia" w:cstheme="minorEastAsia"/>
          <w:kern w:val="44"/>
          <w:szCs w:val="24"/>
        </w:rPr>
      </w:pPr>
    </w:p>
    <w:p>
      <w:pPr>
        <w:ind w:firstLine="480" w:firstLineChars="200"/>
        <w:jc w:val="left"/>
        <w:rPr>
          <w:rFonts w:asciiTheme="minorEastAsia" w:hAnsiTheme="minorEastAsia" w:cstheme="minorEastAsia"/>
          <w:kern w:val="44"/>
          <w:szCs w:val="24"/>
        </w:rPr>
      </w:pPr>
      <w:r>
        <w:rPr>
          <w:rFonts w:hint="eastAsia" w:asciiTheme="minorEastAsia" w:hAnsiTheme="minorEastAsia" w:cstheme="minorEastAsia"/>
          <w:kern w:val="44"/>
          <w:szCs w:val="24"/>
        </w:rPr>
        <w:t>你方于________(竞标日期）所递交的_____________(项目编号、项目名称或标段名称）竞包文件已被我方接受，确定为成交人。</w:t>
      </w:r>
    </w:p>
    <w:p>
      <w:pPr>
        <w:ind w:firstLine="480" w:firstLineChars="200"/>
        <w:jc w:val="left"/>
        <w:rPr>
          <w:rFonts w:asciiTheme="minorEastAsia" w:hAnsiTheme="minorEastAsia" w:cstheme="minorEastAsia"/>
          <w:kern w:val="44"/>
          <w:szCs w:val="24"/>
        </w:rPr>
      </w:pPr>
      <w:r>
        <w:rPr>
          <w:rFonts w:hint="eastAsia" w:asciiTheme="minorEastAsia" w:hAnsiTheme="minorEastAsia" w:cstheme="minorEastAsia"/>
          <w:kern w:val="44"/>
          <w:szCs w:val="24"/>
        </w:rPr>
        <w:t>成交价（大写）：人民币__________元；</w:t>
      </w:r>
    </w:p>
    <w:p>
      <w:pPr>
        <w:ind w:firstLine="480" w:firstLineChars="200"/>
        <w:jc w:val="left"/>
        <w:rPr>
          <w:rFonts w:asciiTheme="minorEastAsia" w:hAnsiTheme="minorEastAsia" w:cstheme="minorEastAsia"/>
          <w:kern w:val="44"/>
          <w:szCs w:val="24"/>
        </w:rPr>
      </w:pPr>
      <w:r>
        <w:rPr>
          <w:rFonts w:hint="eastAsia" w:asciiTheme="minorEastAsia" w:hAnsiTheme="minorEastAsia" w:cstheme="minorEastAsia"/>
          <w:kern w:val="44"/>
          <w:szCs w:val="24"/>
        </w:rPr>
        <w:t>成交价（小写）：_______________元。</w:t>
      </w:r>
    </w:p>
    <w:p>
      <w:pPr>
        <w:ind w:firstLine="480" w:firstLineChars="200"/>
        <w:jc w:val="left"/>
        <w:rPr>
          <w:rFonts w:asciiTheme="minorEastAsia" w:hAnsiTheme="minorEastAsia" w:cstheme="minorEastAsia"/>
          <w:kern w:val="44"/>
          <w:szCs w:val="24"/>
        </w:rPr>
      </w:pPr>
      <w:r>
        <w:rPr>
          <w:rFonts w:hint="eastAsia" w:asciiTheme="minorEastAsia" w:hAnsiTheme="minorEastAsia" w:cstheme="minorEastAsia"/>
          <w:kern w:val="44"/>
          <w:szCs w:val="24"/>
        </w:rPr>
        <w:t>工期：_____________日历天（月/年）。</w:t>
      </w:r>
    </w:p>
    <w:p>
      <w:pPr>
        <w:ind w:firstLine="480" w:firstLineChars="200"/>
        <w:jc w:val="left"/>
        <w:rPr>
          <w:rFonts w:asciiTheme="minorEastAsia" w:hAnsiTheme="minorEastAsia" w:cstheme="minorEastAsia"/>
          <w:kern w:val="44"/>
          <w:szCs w:val="24"/>
        </w:rPr>
      </w:pPr>
      <w:r>
        <w:rPr>
          <w:rFonts w:hint="eastAsia" w:asciiTheme="minorEastAsia" w:hAnsiTheme="minorEastAsia" w:cstheme="minorEastAsia"/>
          <w:kern w:val="44"/>
          <w:szCs w:val="24"/>
        </w:rPr>
        <w:t>工程（项目）质量：符合_________标准。</w:t>
      </w:r>
    </w:p>
    <w:p>
      <w:pPr>
        <w:ind w:firstLine="480" w:firstLineChars="200"/>
        <w:jc w:val="left"/>
        <w:rPr>
          <w:rFonts w:asciiTheme="minorEastAsia" w:hAnsiTheme="minorEastAsia" w:cstheme="minorEastAsia"/>
          <w:kern w:val="44"/>
          <w:szCs w:val="24"/>
        </w:rPr>
      </w:pPr>
      <w:r>
        <w:rPr>
          <w:rFonts w:hint="eastAsia" w:asciiTheme="minorEastAsia" w:hAnsiTheme="minorEastAsia" w:cstheme="minorEastAsia"/>
          <w:kern w:val="44"/>
          <w:szCs w:val="24"/>
        </w:rPr>
        <w:t>项目负责人：_________（姓名）。</w:t>
      </w:r>
    </w:p>
    <w:p>
      <w:pPr>
        <w:ind w:firstLine="480" w:firstLineChars="200"/>
        <w:jc w:val="left"/>
        <w:rPr>
          <w:rFonts w:asciiTheme="minorEastAsia" w:hAnsiTheme="minorEastAsia" w:cstheme="minorEastAsia"/>
          <w:kern w:val="44"/>
          <w:szCs w:val="24"/>
        </w:rPr>
      </w:pPr>
      <w:r>
        <w:rPr>
          <w:rFonts w:hint="eastAsia" w:asciiTheme="minorEastAsia" w:hAnsiTheme="minorEastAsia" w:cstheme="minorEastAsia"/>
          <w:kern w:val="44"/>
          <w:szCs w:val="24"/>
        </w:rPr>
        <w:t>请你方在接到本通知书后的________日内到_____________（指定地点）与我方签订合同，在此之前按发包文件规定向我方提交履约担保。</w:t>
      </w:r>
    </w:p>
    <w:p>
      <w:pPr>
        <w:ind w:firstLine="480" w:firstLineChars="200"/>
        <w:jc w:val="left"/>
        <w:rPr>
          <w:rFonts w:asciiTheme="minorEastAsia" w:hAnsiTheme="minorEastAsia" w:cstheme="minorEastAsia"/>
          <w:kern w:val="44"/>
          <w:szCs w:val="24"/>
        </w:rPr>
      </w:pPr>
    </w:p>
    <w:p>
      <w:pPr>
        <w:jc w:val="left"/>
        <w:rPr>
          <w:rFonts w:asciiTheme="minorEastAsia" w:hAnsiTheme="minorEastAsia" w:cstheme="minorEastAsia"/>
          <w:kern w:val="44"/>
          <w:szCs w:val="24"/>
        </w:rPr>
      </w:pPr>
      <w:r>
        <w:rPr>
          <w:rFonts w:hint="eastAsia" w:asciiTheme="minorEastAsia" w:hAnsiTheme="minorEastAsia" w:cstheme="minorEastAsia"/>
          <w:kern w:val="44"/>
          <w:szCs w:val="24"/>
        </w:rPr>
        <w:t>特此通知。</w:t>
      </w:r>
    </w:p>
    <w:p>
      <w:pPr>
        <w:jc w:val="left"/>
        <w:rPr>
          <w:rFonts w:asciiTheme="minorEastAsia" w:hAnsiTheme="minorEastAsia" w:cstheme="minorEastAsia"/>
          <w:kern w:val="44"/>
          <w:szCs w:val="24"/>
        </w:rPr>
      </w:pPr>
    </w:p>
    <w:p>
      <w:pPr>
        <w:ind w:firstLine="480" w:firstLineChars="200"/>
        <w:jc w:val="left"/>
        <w:rPr>
          <w:rFonts w:asciiTheme="minorEastAsia" w:hAnsiTheme="minorEastAsia" w:cstheme="minorEastAsia"/>
          <w:kern w:val="44"/>
          <w:szCs w:val="24"/>
        </w:rPr>
      </w:pPr>
      <w:r>
        <w:rPr>
          <w:rFonts w:hint="eastAsia" w:asciiTheme="minorEastAsia" w:hAnsiTheme="minorEastAsia" w:cstheme="minorEastAsia"/>
          <w:kern w:val="44"/>
          <w:szCs w:val="24"/>
        </w:rPr>
        <w:t>发包人：_________________________（单位盖章）</w:t>
      </w:r>
    </w:p>
    <w:p>
      <w:pPr>
        <w:ind w:firstLine="480" w:firstLineChars="200"/>
        <w:jc w:val="left"/>
        <w:rPr>
          <w:rFonts w:asciiTheme="minorEastAsia" w:hAnsiTheme="minorEastAsia" w:cstheme="minorEastAsia"/>
          <w:kern w:val="44"/>
          <w:szCs w:val="24"/>
        </w:rPr>
      </w:pPr>
    </w:p>
    <w:p>
      <w:pPr>
        <w:ind w:firstLine="480" w:firstLineChars="200"/>
        <w:jc w:val="left"/>
        <w:rPr>
          <w:rFonts w:asciiTheme="minorEastAsia" w:hAnsiTheme="minorEastAsia" w:cstheme="minorEastAsia"/>
          <w:kern w:val="44"/>
          <w:szCs w:val="24"/>
        </w:rPr>
      </w:pPr>
      <w:r>
        <w:rPr>
          <w:rFonts w:hint="eastAsia" w:asciiTheme="minorEastAsia" w:hAnsiTheme="minorEastAsia" w:cstheme="minorEastAsia"/>
          <w:kern w:val="44"/>
          <w:szCs w:val="24"/>
        </w:rPr>
        <w:t>法定代表人：__________________________（盖章或签字）</w:t>
      </w:r>
    </w:p>
    <w:p>
      <w:pPr>
        <w:pStyle w:val="2"/>
        <w:rPr>
          <w:rFonts w:asciiTheme="minorEastAsia" w:hAnsiTheme="minorEastAsia" w:eastAsiaTheme="minorEastAsia" w:cstheme="minorEastAsia"/>
          <w:kern w:val="44"/>
          <w:sz w:val="24"/>
          <w:szCs w:val="24"/>
        </w:rPr>
      </w:pPr>
    </w:p>
    <w:p>
      <w:pPr>
        <w:pStyle w:val="2"/>
        <w:rPr>
          <w:rFonts w:asciiTheme="minorEastAsia" w:hAnsiTheme="minorEastAsia" w:eastAsiaTheme="minorEastAsia" w:cstheme="minorEastAsia"/>
          <w:kern w:val="44"/>
          <w:sz w:val="24"/>
          <w:szCs w:val="24"/>
        </w:rPr>
      </w:pPr>
    </w:p>
    <w:p>
      <w:pPr>
        <w:pStyle w:val="2"/>
        <w:ind w:firstLine="480" w:firstLineChars="200"/>
        <w:rPr>
          <w:rFonts w:asciiTheme="minorEastAsia" w:hAnsiTheme="minorEastAsia" w:eastAsiaTheme="minorEastAsia" w:cstheme="minorEastAsia"/>
          <w:kern w:val="44"/>
          <w:sz w:val="24"/>
          <w:szCs w:val="24"/>
        </w:rPr>
      </w:pPr>
    </w:p>
    <w:p>
      <w:pPr>
        <w:ind w:firstLine="480" w:firstLineChars="200"/>
        <w:jc w:val="left"/>
        <w:rPr>
          <w:rFonts w:asciiTheme="minorEastAsia" w:hAnsiTheme="minorEastAsia" w:cstheme="minorEastAsia"/>
          <w:kern w:val="44"/>
          <w:szCs w:val="24"/>
        </w:rPr>
      </w:pPr>
      <w:r>
        <w:rPr>
          <w:rFonts w:hint="eastAsia" w:asciiTheme="minorEastAsia" w:hAnsiTheme="minorEastAsia" w:cstheme="minorEastAsia"/>
          <w:kern w:val="44"/>
          <w:szCs w:val="24"/>
        </w:rPr>
        <w:t>______年________月________日</w:t>
      </w:r>
    </w:p>
    <w:p>
      <w:pPr>
        <w:pStyle w:val="5"/>
        <w:spacing w:line="360" w:lineRule="auto"/>
        <w:jc w:val="center"/>
        <w:rPr>
          <w:rFonts w:ascii="宋体" w:hAnsi="宋体"/>
          <w:szCs w:val="30"/>
        </w:rPr>
      </w:pPr>
      <w:r>
        <w:br w:type="page"/>
      </w:r>
      <w:bookmarkEnd w:id="104"/>
      <w:bookmarkEnd w:id="105"/>
      <w:bookmarkEnd w:id="106"/>
      <w:bookmarkEnd w:id="107"/>
      <w:bookmarkEnd w:id="108"/>
      <w:bookmarkEnd w:id="109"/>
      <w:bookmarkStart w:id="110" w:name="_Toc350184878"/>
      <w:bookmarkStart w:id="111" w:name="_Toc343003316"/>
      <w:bookmarkStart w:id="112" w:name="_Toc350451068"/>
      <w:bookmarkStart w:id="113" w:name="_Toc3590"/>
      <w:bookmarkStart w:id="114" w:name="_Toc167677945"/>
      <w:bookmarkStart w:id="115" w:name="_Toc156749830"/>
      <w:bookmarkStart w:id="116" w:name="_Toc156888429"/>
      <w:bookmarkStart w:id="117" w:name="_Toc160351546"/>
      <w:bookmarkStart w:id="118" w:name="_Toc167678238"/>
      <w:bookmarkStart w:id="119" w:name="_Toc261333158"/>
      <w:bookmarkStart w:id="120" w:name="_Toc271200565"/>
      <w:bookmarkStart w:id="121" w:name="_Toc271220731"/>
      <w:r>
        <w:t>第三章</w:t>
      </w:r>
      <w:bookmarkEnd w:id="110"/>
      <w:bookmarkEnd w:id="111"/>
      <w:bookmarkEnd w:id="112"/>
      <w:r>
        <w:rPr>
          <w:rFonts w:hint="eastAsia"/>
        </w:rPr>
        <w:t>评审办法及评分标准（技术通过制的综合评估法）</w:t>
      </w:r>
      <w:bookmarkEnd w:id="113"/>
    </w:p>
    <w:p>
      <w:pPr>
        <w:pStyle w:val="6"/>
        <w:snapToGrid w:val="0"/>
        <w:spacing w:line="380" w:lineRule="exact"/>
        <w:ind w:firstLine="480" w:firstLineChars="200"/>
        <w:rPr>
          <w:rFonts w:asciiTheme="minorEastAsia" w:hAnsiTheme="minorEastAsia" w:eastAsiaTheme="minorEastAsia" w:cstheme="minorEastAsia"/>
          <w:snapToGrid w:val="0"/>
          <w:szCs w:val="24"/>
        </w:rPr>
      </w:pPr>
      <w:bookmarkStart w:id="122" w:name="_Toc21979"/>
      <w:bookmarkStart w:id="123" w:name="_Toc292906465"/>
      <w:bookmarkStart w:id="124" w:name="_Toc30214"/>
      <w:bookmarkStart w:id="125" w:name="_Toc243899830"/>
      <w:bookmarkStart w:id="126" w:name="_Toc14665"/>
      <w:r>
        <w:rPr>
          <w:rFonts w:hint="eastAsia" w:asciiTheme="minorEastAsia" w:hAnsiTheme="minorEastAsia" w:eastAsiaTheme="minorEastAsia" w:cstheme="minorEastAsia"/>
          <w:snapToGrid w:val="0"/>
          <w:szCs w:val="24"/>
        </w:rPr>
        <w:t>1  依据</w:t>
      </w:r>
      <w:bookmarkEnd w:id="122"/>
    </w:p>
    <w:p>
      <w:pPr>
        <w:ind w:firstLine="480" w:firstLineChars="200"/>
        <w:rPr>
          <w:rFonts w:asciiTheme="minorEastAsia" w:hAnsiTheme="minorEastAsia" w:cstheme="minorEastAsia"/>
          <w:snapToGrid w:val="0"/>
          <w:szCs w:val="24"/>
        </w:rPr>
      </w:pPr>
      <w:bookmarkStart w:id="127" w:name="_Toc450405881"/>
      <w:bookmarkStart w:id="128" w:name="_Toc452839272"/>
      <w:bookmarkStart w:id="129" w:name="_Toc321759225"/>
      <w:bookmarkStart w:id="130" w:name="_Toc350184879"/>
      <w:bookmarkStart w:id="131" w:name="_Toc343003317"/>
      <w:bookmarkStart w:id="132" w:name="_Toc309661360"/>
      <w:bookmarkStart w:id="133" w:name="_Toc350451069"/>
      <w:bookmarkStart w:id="134" w:name="_Toc312311412"/>
      <w:r>
        <w:rPr>
          <w:rFonts w:hint="eastAsia" w:asciiTheme="minorEastAsia" w:hAnsiTheme="minorEastAsia" w:cstheme="minorEastAsia"/>
          <w:snapToGrid w:val="0"/>
          <w:szCs w:val="24"/>
        </w:rPr>
        <w:t>为规范发包的评审工作，根据</w:t>
      </w:r>
      <w:r>
        <w:rPr>
          <w:rFonts w:hint="eastAsia" w:cs="Times New Roman" w:asciiTheme="minorEastAsia" w:hAnsiTheme="minorEastAsia"/>
          <w:szCs w:val="28"/>
        </w:rPr>
        <w:t>《湖州市限额以下工程建设项目发包办法》</w:t>
      </w:r>
      <w:r>
        <w:rPr>
          <w:rFonts w:hint="eastAsia" w:asciiTheme="minorEastAsia" w:hAnsiTheme="minorEastAsia" w:cstheme="minorEastAsia"/>
          <w:snapToGrid w:val="0"/>
          <w:szCs w:val="24"/>
        </w:rPr>
        <w:t>等有关的法律、法规和规章制度规定，制定本评审办法。</w:t>
      </w:r>
      <w:bookmarkEnd w:id="127"/>
      <w:bookmarkEnd w:id="128"/>
    </w:p>
    <w:p>
      <w:pPr>
        <w:pStyle w:val="6"/>
        <w:snapToGrid w:val="0"/>
        <w:spacing w:line="380" w:lineRule="exact"/>
        <w:ind w:firstLine="480" w:firstLineChars="200"/>
        <w:rPr>
          <w:rFonts w:asciiTheme="minorEastAsia" w:hAnsiTheme="minorEastAsia" w:eastAsiaTheme="minorEastAsia" w:cstheme="minorEastAsia"/>
          <w:b w:val="0"/>
          <w:szCs w:val="24"/>
        </w:rPr>
      </w:pPr>
      <w:bookmarkStart w:id="135" w:name="_Toc12475"/>
      <w:r>
        <w:rPr>
          <w:rFonts w:hint="eastAsia" w:asciiTheme="minorEastAsia" w:hAnsiTheme="minorEastAsia" w:eastAsiaTheme="minorEastAsia" w:cstheme="minorEastAsia"/>
          <w:snapToGrid w:val="0"/>
          <w:szCs w:val="24"/>
        </w:rPr>
        <w:t>2  评审原则</w:t>
      </w:r>
      <w:bookmarkEnd w:id="129"/>
      <w:bookmarkEnd w:id="130"/>
      <w:bookmarkEnd w:id="131"/>
      <w:bookmarkEnd w:id="132"/>
      <w:bookmarkEnd w:id="133"/>
      <w:bookmarkEnd w:id="134"/>
      <w:bookmarkEnd w:id="135"/>
    </w:p>
    <w:p>
      <w:pPr>
        <w:snapToGrid w:val="0"/>
        <w:spacing w:line="380" w:lineRule="exact"/>
        <w:ind w:firstLine="480" w:firstLineChars="200"/>
        <w:rPr>
          <w:rFonts w:asciiTheme="minorEastAsia" w:hAnsiTheme="minorEastAsia" w:cstheme="minorEastAsia"/>
          <w:szCs w:val="24"/>
        </w:rPr>
      </w:pPr>
      <w:r>
        <w:rPr>
          <w:rFonts w:hint="eastAsia" w:asciiTheme="minorEastAsia" w:hAnsiTheme="minorEastAsia" w:cstheme="minorEastAsia"/>
          <w:szCs w:val="24"/>
        </w:rPr>
        <w:t>评审应遵循公平、公正、科学、择优的原则。</w:t>
      </w:r>
    </w:p>
    <w:p>
      <w:pPr>
        <w:pStyle w:val="6"/>
        <w:numPr>
          <w:ilvl w:val="0"/>
          <w:numId w:val="6"/>
        </w:numPr>
        <w:snapToGrid w:val="0"/>
        <w:spacing w:line="380" w:lineRule="exact"/>
        <w:rPr>
          <w:rFonts w:asciiTheme="minorEastAsia" w:hAnsiTheme="minorEastAsia" w:eastAsiaTheme="minorEastAsia" w:cstheme="minorEastAsia"/>
          <w:snapToGrid w:val="0"/>
          <w:szCs w:val="24"/>
        </w:rPr>
      </w:pPr>
      <w:bookmarkStart w:id="136" w:name="_Toc350451070"/>
      <w:bookmarkStart w:id="137" w:name="_Toc309661361"/>
      <w:bookmarkStart w:id="138" w:name="_Toc26353"/>
      <w:bookmarkStart w:id="139" w:name="_Toc321759226"/>
      <w:bookmarkStart w:id="140" w:name="_Toc343003318"/>
      <w:bookmarkStart w:id="141" w:name="_Toc350184880"/>
      <w:bookmarkStart w:id="142" w:name="_Toc312311413"/>
      <w:r>
        <w:rPr>
          <w:rFonts w:hint="eastAsia" w:asciiTheme="minorEastAsia" w:hAnsiTheme="minorEastAsia" w:eastAsiaTheme="minorEastAsia" w:cstheme="minorEastAsia"/>
          <w:snapToGrid w:val="0"/>
          <w:szCs w:val="24"/>
        </w:rPr>
        <w:t>评审组织</w:t>
      </w:r>
      <w:bookmarkEnd w:id="136"/>
      <w:bookmarkEnd w:id="137"/>
      <w:bookmarkEnd w:id="138"/>
      <w:bookmarkEnd w:id="139"/>
      <w:bookmarkEnd w:id="140"/>
      <w:bookmarkEnd w:id="141"/>
      <w:bookmarkEnd w:id="142"/>
    </w:p>
    <w:p>
      <w:pPr>
        <w:ind w:firstLine="480" w:firstLineChars="200"/>
        <w:rPr>
          <w:rFonts w:asciiTheme="minorEastAsia" w:hAnsiTheme="minorEastAsia" w:cstheme="minorEastAsia"/>
          <w:snapToGrid w:val="0"/>
          <w:szCs w:val="24"/>
        </w:rPr>
      </w:pPr>
      <w:r>
        <w:rPr>
          <w:rFonts w:hint="eastAsia" w:asciiTheme="minorEastAsia" w:hAnsiTheme="minorEastAsia" w:cstheme="minorEastAsia"/>
          <w:snapToGrid w:val="0"/>
          <w:szCs w:val="24"/>
        </w:rPr>
        <w:t>评审工作由发包人依法组建的评审委员会负责，评审委员会的组建办法详见竞包人须知前附表。评审委员会组建后报湖州市吴兴区公共资源交易中心-</w:t>
      </w:r>
      <w:r>
        <w:rPr>
          <w:rFonts w:hint="eastAsia" w:asciiTheme="minorEastAsia" w:hAnsiTheme="minorEastAsia" w:cstheme="minorEastAsia"/>
          <w:snapToGrid w:val="0"/>
          <w:szCs w:val="24"/>
          <w:lang w:eastAsia="zh-CN"/>
        </w:rPr>
        <w:t>高新区分中心</w:t>
      </w:r>
      <w:r>
        <w:rPr>
          <w:rFonts w:hint="eastAsia" w:asciiTheme="minorEastAsia" w:hAnsiTheme="minorEastAsia" w:cstheme="minorEastAsia"/>
          <w:snapToGrid w:val="0"/>
          <w:szCs w:val="24"/>
        </w:rPr>
        <w:t>备案。</w:t>
      </w:r>
    </w:p>
    <w:p>
      <w:pPr>
        <w:ind w:firstLine="480" w:firstLineChars="200"/>
        <w:rPr>
          <w:rFonts w:asciiTheme="minorEastAsia" w:hAnsiTheme="minorEastAsia" w:cstheme="minorEastAsia"/>
          <w:snapToGrid w:val="0"/>
          <w:szCs w:val="24"/>
        </w:rPr>
      </w:pPr>
      <w:bookmarkStart w:id="143" w:name="_Toc370459019"/>
      <w:bookmarkStart w:id="144" w:name="_Toc362883245"/>
      <w:r>
        <w:rPr>
          <w:rFonts w:hint="eastAsia" w:asciiTheme="minorEastAsia" w:hAnsiTheme="minorEastAsia" w:cstheme="minorEastAsia"/>
          <w:snapToGrid w:val="0"/>
          <w:szCs w:val="24"/>
        </w:rPr>
        <w:t>4 评审程序和内容</w:t>
      </w:r>
      <w:bookmarkEnd w:id="143"/>
      <w:bookmarkEnd w:id="144"/>
    </w:p>
    <w:p>
      <w:pPr>
        <w:pStyle w:val="7"/>
        <w:rPr>
          <w:rStyle w:val="42"/>
          <w:rFonts w:asciiTheme="minorEastAsia" w:hAnsiTheme="minorEastAsia" w:eastAsiaTheme="minorEastAsia" w:cstheme="minorEastAsia"/>
          <w:b/>
          <w:szCs w:val="24"/>
        </w:rPr>
      </w:pPr>
      <w:r>
        <w:rPr>
          <w:rStyle w:val="42"/>
          <w:rFonts w:hint="eastAsia" w:asciiTheme="minorEastAsia" w:hAnsiTheme="minorEastAsia" w:eastAsiaTheme="minorEastAsia" w:cstheme="minorEastAsia"/>
          <w:b/>
          <w:szCs w:val="24"/>
        </w:rPr>
        <w:t>4.1 评审的一般程序</w:t>
      </w:r>
    </w:p>
    <w:p>
      <w:pPr>
        <w:ind w:firstLine="549" w:firstLineChars="229"/>
        <w:rPr>
          <w:rFonts w:asciiTheme="minorEastAsia" w:hAnsiTheme="minorEastAsia" w:cstheme="minorEastAsia"/>
          <w:snapToGrid w:val="0"/>
          <w:szCs w:val="24"/>
        </w:rPr>
      </w:pPr>
      <w:r>
        <w:rPr>
          <w:rFonts w:hint="eastAsia" w:asciiTheme="minorEastAsia" w:hAnsiTheme="minorEastAsia" w:cstheme="minorEastAsia"/>
          <w:snapToGrid w:val="0"/>
          <w:szCs w:val="24"/>
        </w:rPr>
        <w:t>⑴ 熟悉发包文件和评审办法；</w:t>
      </w:r>
    </w:p>
    <w:p>
      <w:pPr>
        <w:ind w:firstLine="549" w:firstLineChars="229"/>
        <w:rPr>
          <w:rFonts w:asciiTheme="minorEastAsia" w:hAnsiTheme="minorEastAsia" w:cstheme="minorEastAsia"/>
          <w:snapToGrid w:val="0"/>
          <w:szCs w:val="24"/>
        </w:rPr>
      </w:pPr>
      <w:r>
        <w:rPr>
          <w:rFonts w:hint="eastAsia" w:asciiTheme="minorEastAsia" w:hAnsiTheme="minorEastAsia" w:cstheme="minorEastAsia"/>
          <w:snapToGrid w:val="0"/>
          <w:szCs w:val="24"/>
        </w:rPr>
        <w:t>⑵ 竞包文件的符合性审查；</w:t>
      </w:r>
    </w:p>
    <w:p>
      <w:pPr>
        <w:ind w:firstLine="549" w:firstLineChars="229"/>
        <w:rPr>
          <w:rFonts w:asciiTheme="minorEastAsia" w:hAnsiTheme="minorEastAsia" w:cstheme="minorEastAsia"/>
          <w:snapToGrid w:val="0"/>
          <w:szCs w:val="24"/>
        </w:rPr>
      </w:pPr>
      <w:r>
        <w:rPr>
          <w:rFonts w:hint="eastAsia" w:asciiTheme="minorEastAsia" w:hAnsiTheme="minorEastAsia" w:cstheme="minorEastAsia"/>
          <w:snapToGrid w:val="0"/>
          <w:szCs w:val="24"/>
        </w:rPr>
        <w:t>⑶ 竞包文件的技术评审；</w:t>
      </w:r>
    </w:p>
    <w:p>
      <w:pPr>
        <w:ind w:firstLine="549" w:firstLineChars="229"/>
        <w:rPr>
          <w:rFonts w:asciiTheme="minorEastAsia" w:hAnsiTheme="minorEastAsia" w:cstheme="minorEastAsia"/>
          <w:snapToGrid w:val="0"/>
          <w:szCs w:val="24"/>
        </w:rPr>
      </w:pPr>
      <w:r>
        <w:rPr>
          <w:rFonts w:hint="eastAsia" w:asciiTheme="minorEastAsia" w:hAnsiTheme="minorEastAsia" w:cstheme="minorEastAsia"/>
          <w:snapToGrid w:val="0"/>
          <w:szCs w:val="24"/>
        </w:rPr>
        <w:t>⑷ 竞包文件的商务评审；</w:t>
      </w:r>
    </w:p>
    <w:p>
      <w:pPr>
        <w:ind w:firstLine="549" w:firstLineChars="229"/>
        <w:rPr>
          <w:rFonts w:asciiTheme="minorEastAsia" w:hAnsiTheme="minorEastAsia" w:cstheme="minorEastAsia"/>
          <w:snapToGrid w:val="0"/>
          <w:szCs w:val="24"/>
        </w:rPr>
      </w:pPr>
      <w:r>
        <w:rPr>
          <w:rFonts w:hint="eastAsia" w:asciiTheme="minorEastAsia" w:hAnsiTheme="minorEastAsia" w:cstheme="minorEastAsia"/>
          <w:snapToGrid w:val="0"/>
          <w:szCs w:val="24"/>
        </w:rPr>
        <w:t>⑸ 竞包文件的资信评审</w:t>
      </w:r>
      <w:r>
        <w:rPr>
          <w:rFonts w:hint="eastAsia" w:asciiTheme="minorEastAsia" w:hAnsiTheme="minorEastAsia" w:cstheme="minorEastAsia"/>
          <w:i/>
          <w:snapToGrid w:val="0"/>
          <w:szCs w:val="24"/>
        </w:rPr>
        <w:t>（是否需要由发包人自行确定）</w:t>
      </w:r>
      <w:r>
        <w:rPr>
          <w:rFonts w:hint="eastAsia" w:asciiTheme="minorEastAsia" w:hAnsiTheme="minorEastAsia" w:cstheme="minorEastAsia"/>
          <w:snapToGrid w:val="0"/>
          <w:szCs w:val="24"/>
        </w:rPr>
        <w:t>；</w:t>
      </w:r>
    </w:p>
    <w:p>
      <w:pPr>
        <w:ind w:firstLine="549" w:firstLineChars="229"/>
        <w:rPr>
          <w:rFonts w:asciiTheme="minorEastAsia" w:hAnsiTheme="minorEastAsia" w:cstheme="minorEastAsia"/>
          <w:snapToGrid w:val="0"/>
          <w:szCs w:val="24"/>
        </w:rPr>
      </w:pPr>
      <w:r>
        <w:rPr>
          <w:rFonts w:hint="eastAsia" w:asciiTheme="minorEastAsia" w:hAnsiTheme="minorEastAsia" w:cstheme="minorEastAsia"/>
          <w:snapToGrid w:val="0"/>
          <w:szCs w:val="24"/>
        </w:rPr>
        <w:t>⑹ 必要时对竞包文件中的问题进行询标；</w:t>
      </w:r>
    </w:p>
    <w:p>
      <w:pPr>
        <w:ind w:firstLine="549" w:firstLineChars="229"/>
        <w:rPr>
          <w:rFonts w:asciiTheme="minorEastAsia" w:hAnsiTheme="minorEastAsia" w:cstheme="minorEastAsia"/>
          <w:snapToGrid w:val="0"/>
          <w:szCs w:val="24"/>
        </w:rPr>
      </w:pPr>
      <w:r>
        <w:rPr>
          <w:rFonts w:hint="eastAsia" w:asciiTheme="minorEastAsia" w:hAnsiTheme="minorEastAsia" w:cstheme="minorEastAsia"/>
          <w:snapToGrid w:val="0"/>
          <w:szCs w:val="24"/>
        </w:rPr>
        <w:t>⑺ 根据评审办法对竞包文件进行排序；</w:t>
      </w:r>
    </w:p>
    <w:p>
      <w:pPr>
        <w:ind w:firstLine="549" w:firstLineChars="229"/>
        <w:rPr>
          <w:rFonts w:asciiTheme="minorEastAsia" w:hAnsiTheme="minorEastAsia" w:cstheme="minorEastAsia"/>
          <w:snapToGrid w:val="0"/>
          <w:szCs w:val="24"/>
        </w:rPr>
      </w:pPr>
      <w:r>
        <w:rPr>
          <w:rFonts w:hint="eastAsia" w:asciiTheme="minorEastAsia" w:hAnsiTheme="minorEastAsia" w:cstheme="minorEastAsia"/>
          <w:snapToGrid w:val="0"/>
          <w:szCs w:val="24"/>
        </w:rPr>
        <w:t>⑻ 完成评审报告，推荐承包候选人。</w:t>
      </w:r>
    </w:p>
    <w:p>
      <w:pPr>
        <w:pStyle w:val="7"/>
        <w:rPr>
          <w:rStyle w:val="42"/>
          <w:rFonts w:asciiTheme="minorEastAsia" w:hAnsiTheme="minorEastAsia" w:eastAsiaTheme="minorEastAsia" w:cstheme="minorEastAsia"/>
          <w:b/>
          <w:szCs w:val="24"/>
        </w:rPr>
      </w:pPr>
      <w:r>
        <w:rPr>
          <w:rStyle w:val="42"/>
          <w:rFonts w:hint="eastAsia" w:asciiTheme="minorEastAsia" w:hAnsiTheme="minorEastAsia" w:eastAsiaTheme="minorEastAsia" w:cstheme="minorEastAsia"/>
          <w:b/>
          <w:szCs w:val="24"/>
        </w:rPr>
        <w:t>4.2 竞包文件的符合性审查</w:t>
      </w:r>
    </w:p>
    <w:p>
      <w:pPr>
        <w:ind w:firstLine="549" w:firstLineChars="229"/>
        <w:rPr>
          <w:rFonts w:asciiTheme="minorEastAsia" w:hAnsiTheme="minorEastAsia" w:cstheme="minorEastAsia"/>
          <w:b/>
          <w:snapToGrid w:val="0"/>
          <w:szCs w:val="24"/>
        </w:rPr>
      </w:pPr>
      <w:r>
        <w:rPr>
          <w:rFonts w:hint="eastAsia" w:asciiTheme="minorEastAsia" w:hAnsiTheme="minorEastAsia" w:cstheme="minorEastAsia"/>
          <w:b/>
          <w:snapToGrid w:val="0"/>
          <w:szCs w:val="24"/>
        </w:rPr>
        <w:t xml:space="preserve">4.2.1 </w:t>
      </w:r>
      <w:r>
        <w:rPr>
          <w:rFonts w:hint="eastAsia" w:asciiTheme="minorEastAsia" w:hAnsiTheme="minorEastAsia" w:cstheme="minorEastAsia"/>
          <w:snapToGrid w:val="0"/>
          <w:szCs w:val="24"/>
        </w:rPr>
        <w:t>评审委员会应依照发包文件的要求和规定，首先对竞包人的竞包资格和竞包文件进行符合性审查，符合性审查应包括三个方面内容：竞包人资格审查、竞包文件实质性格式要求响应性审查、竞包文件实质性内容要求响应性审查。符合性审查未通过的竞包文件不再进入后续评审。</w:t>
      </w:r>
    </w:p>
    <w:p>
      <w:pPr>
        <w:pStyle w:val="14"/>
        <w:ind w:firstLine="544" w:firstLineChars="227"/>
        <w:rPr>
          <w:rFonts w:asciiTheme="minorEastAsia" w:hAnsiTheme="minorEastAsia" w:eastAsiaTheme="minorEastAsia" w:cstheme="minorEastAsia"/>
          <w:snapToGrid w:val="0"/>
          <w:kern w:val="0"/>
          <w:sz w:val="24"/>
          <w:szCs w:val="24"/>
        </w:rPr>
      </w:pPr>
      <w:r>
        <w:rPr>
          <w:rFonts w:hint="eastAsia" w:asciiTheme="minorEastAsia" w:hAnsiTheme="minorEastAsia" w:eastAsiaTheme="minorEastAsia" w:cstheme="minorEastAsia"/>
          <w:b/>
          <w:snapToGrid w:val="0"/>
          <w:kern w:val="0"/>
          <w:sz w:val="24"/>
          <w:szCs w:val="24"/>
        </w:rPr>
        <w:t xml:space="preserve">4.2.2 </w:t>
      </w:r>
      <w:r>
        <w:rPr>
          <w:rFonts w:hint="eastAsia" w:asciiTheme="minorEastAsia" w:hAnsiTheme="minorEastAsia" w:eastAsiaTheme="minorEastAsia" w:cstheme="minorEastAsia"/>
          <w:snapToGrid w:val="0"/>
          <w:kern w:val="0"/>
          <w:sz w:val="24"/>
          <w:szCs w:val="24"/>
        </w:rPr>
        <w:t>竞包人不得通过补充、修改或撤销竞包文件中的内容使其成为实质性响应的竞包。竞包人在竞包截止以后不得提交任何资料作为评审依据。</w:t>
      </w:r>
    </w:p>
    <w:p>
      <w:pPr>
        <w:ind w:firstLine="540"/>
        <w:rPr>
          <w:rFonts w:asciiTheme="minorEastAsia" w:hAnsiTheme="minorEastAsia" w:cstheme="minorEastAsia"/>
          <w:snapToGrid w:val="0"/>
          <w:szCs w:val="24"/>
        </w:rPr>
      </w:pPr>
      <w:r>
        <w:rPr>
          <w:rFonts w:hint="eastAsia" w:asciiTheme="minorEastAsia" w:hAnsiTheme="minorEastAsia" w:cstheme="minorEastAsia"/>
          <w:b/>
          <w:snapToGrid w:val="0"/>
          <w:szCs w:val="24"/>
        </w:rPr>
        <w:t xml:space="preserve">4.2.3 </w:t>
      </w:r>
      <w:r>
        <w:rPr>
          <w:rFonts w:hint="eastAsia" w:asciiTheme="minorEastAsia" w:hAnsiTheme="minorEastAsia" w:cstheme="minorEastAsia"/>
          <w:snapToGrid w:val="0"/>
          <w:szCs w:val="24"/>
        </w:rPr>
        <w:t>竞包文件如存在以下情况之一的，由评审委员会全体成员按照少数服从多数的原则记名投票（不得弃权）认定，作为符合性审查未通过予以否决其竞包，不再进行技术和商务的评审：</w:t>
      </w:r>
    </w:p>
    <w:p>
      <w:pPr>
        <w:ind w:firstLine="549" w:firstLineChars="229"/>
        <w:rPr>
          <w:rFonts w:asciiTheme="minorEastAsia" w:hAnsiTheme="minorEastAsia" w:cstheme="minorEastAsia"/>
          <w:snapToGrid w:val="0"/>
          <w:szCs w:val="24"/>
        </w:rPr>
      </w:pPr>
      <w:r>
        <w:rPr>
          <w:rFonts w:hint="eastAsia" w:asciiTheme="minorEastAsia" w:hAnsiTheme="minorEastAsia" w:cstheme="minorEastAsia"/>
          <w:snapToGrid w:val="0"/>
          <w:szCs w:val="24"/>
        </w:rPr>
        <w:t>（一）技术文件符合性审查未通过的情形：</w:t>
      </w:r>
    </w:p>
    <w:p>
      <w:pPr>
        <w:ind w:firstLine="549" w:firstLineChars="229"/>
        <w:rPr>
          <w:rFonts w:asciiTheme="minorEastAsia" w:hAnsiTheme="minorEastAsia" w:cstheme="minorEastAsia"/>
          <w:snapToGrid w:val="0"/>
          <w:szCs w:val="24"/>
        </w:rPr>
      </w:pPr>
      <w:r>
        <w:rPr>
          <w:rFonts w:hint="eastAsia" w:asciiTheme="minorEastAsia" w:hAnsiTheme="minorEastAsia" w:cstheme="minorEastAsia"/>
          <w:snapToGrid w:val="0"/>
          <w:szCs w:val="24"/>
        </w:rPr>
        <w:t>⑴ 竞包人未按发包文件要求加盖单位印章或竞包人的法定代表人（或其委托代理人）未按发包文件要求签字或盖章（含电子签章）的；</w:t>
      </w:r>
    </w:p>
    <w:p>
      <w:pPr>
        <w:ind w:firstLine="549" w:firstLineChars="229"/>
        <w:rPr>
          <w:rFonts w:asciiTheme="minorEastAsia" w:hAnsiTheme="minorEastAsia" w:cstheme="minorEastAsia"/>
          <w:snapToGrid w:val="0"/>
          <w:szCs w:val="24"/>
        </w:rPr>
      </w:pPr>
      <w:r>
        <w:rPr>
          <w:rFonts w:hint="eastAsia" w:asciiTheme="minorEastAsia" w:hAnsiTheme="minorEastAsia" w:cstheme="minorEastAsia"/>
          <w:snapToGrid w:val="0"/>
          <w:szCs w:val="24"/>
        </w:rPr>
        <w:t>⑵竞包人的竞包资格不满足国家有关规定或者发包文件载明的强制性要求的；</w:t>
      </w:r>
    </w:p>
    <w:p>
      <w:pPr>
        <w:ind w:firstLine="549" w:firstLineChars="229"/>
        <w:rPr>
          <w:rFonts w:asciiTheme="minorEastAsia" w:hAnsiTheme="minorEastAsia" w:cstheme="minorEastAsia"/>
          <w:snapToGrid w:val="0"/>
          <w:szCs w:val="24"/>
        </w:rPr>
      </w:pPr>
      <w:r>
        <w:rPr>
          <w:rFonts w:hint="eastAsia" w:asciiTheme="minorEastAsia" w:hAnsiTheme="minorEastAsia" w:cstheme="minorEastAsia"/>
          <w:snapToGrid w:val="0"/>
          <w:szCs w:val="24"/>
        </w:rPr>
        <w:t>⑶拟实行分包的，其分包的工作、分包人的资质条件等要求不满足发包文件载明的强制性要求的；</w:t>
      </w:r>
    </w:p>
    <w:p>
      <w:pPr>
        <w:ind w:firstLine="549" w:firstLineChars="229"/>
        <w:rPr>
          <w:rFonts w:asciiTheme="minorEastAsia" w:hAnsiTheme="minorEastAsia" w:cstheme="minorEastAsia"/>
          <w:snapToGrid w:val="0"/>
          <w:szCs w:val="24"/>
        </w:rPr>
      </w:pPr>
      <w:r>
        <w:rPr>
          <w:rFonts w:hint="eastAsia" w:asciiTheme="minorEastAsia" w:hAnsiTheme="minorEastAsia" w:cstheme="minorEastAsia"/>
          <w:snapToGrid w:val="0"/>
          <w:szCs w:val="24"/>
        </w:rPr>
        <w:t>⑷同一竞包人提交两个以上不同的竞包文件未声明哪一个有效的（发包文件要求提交备选竞包的除外）；</w:t>
      </w:r>
    </w:p>
    <w:p>
      <w:pPr>
        <w:ind w:firstLine="549" w:firstLineChars="229"/>
        <w:rPr>
          <w:rFonts w:asciiTheme="minorEastAsia" w:hAnsiTheme="minorEastAsia" w:cstheme="minorEastAsia"/>
          <w:snapToGrid w:val="0"/>
          <w:szCs w:val="24"/>
        </w:rPr>
      </w:pPr>
      <w:r>
        <w:rPr>
          <w:rFonts w:hint="eastAsia" w:asciiTheme="minorEastAsia" w:hAnsiTheme="minorEastAsia" w:cstheme="minorEastAsia"/>
          <w:snapToGrid w:val="0"/>
          <w:szCs w:val="24"/>
        </w:rPr>
        <w:t>⑸不响应发包文件规定的实质性要求和条件的；</w:t>
      </w:r>
    </w:p>
    <w:p>
      <w:pPr>
        <w:ind w:firstLine="549" w:firstLineChars="229"/>
        <w:rPr>
          <w:rFonts w:asciiTheme="minorEastAsia" w:hAnsiTheme="minorEastAsia" w:cstheme="minorEastAsia"/>
          <w:snapToGrid w:val="0"/>
          <w:szCs w:val="24"/>
        </w:rPr>
      </w:pPr>
      <w:r>
        <w:rPr>
          <w:rFonts w:hint="eastAsia" w:asciiTheme="minorEastAsia" w:hAnsiTheme="minorEastAsia" w:cstheme="minorEastAsia"/>
          <w:snapToGrid w:val="0"/>
          <w:szCs w:val="24"/>
        </w:rPr>
        <w:t>⑹竞包人不以自己的名义或未按发包文件要求提供竞包保证金或提供的竞包保证金有缺陷而不能接受的；</w:t>
      </w:r>
    </w:p>
    <w:p>
      <w:pPr>
        <w:ind w:firstLine="549" w:firstLineChars="229"/>
        <w:rPr>
          <w:rFonts w:asciiTheme="minorEastAsia" w:hAnsiTheme="minorEastAsia" w:cstheme="minorEastAsia"/>
          <w:snapToGrid w:val="0"/>
          <w:szCs w:val="24"/>
        </w:rPr>
      </w:pPr>
      <w:r>
        <w:rPr>
          <w:rFonts w:hint="eastAsia" w:asciiTheme="minorEastAsia" w:hAnsiTheme="minorEastAsia" w:cstheme="minorEastAsia"/>
          <w:snapToGrid w:val="0"/>
          <w:szCs w:val="24"/>
        </w:rPr>
        <w:t>⑺采用的验收标准或主要技术指标达不到国家强制性标准或发包文件要求的；</w:t>
      </w:r>
    </w:p>
    <w:p>
      <w:pPr>
        <w:ind w:firstLine="549" w:firstLineChars="229"/>
        <w:rPr>
          <w:rFonts w:asciiTheme="minorEastAsia" w:hAnsiTheme="minorEastAsia" w:cstheme="minorEastAsia"/>
          <w:snapToGrid w:val="0"/>
          <w:szCs w:val="24"/>
        </w:rPr>
      </w:pPr>
      <w:r>
        <w:rPr>
          <w:rFonts w:hint="eastAsia" w:asciiTheme="minorEastAsia" w:hAnsiTheme="minorEastAsia" w:cstheme="minorEastAsia"/>
          <w:snapToGrid w:val="0"/>
          <w:szCs w:val="24"/>
        </w:rPr>
        <w:t>⑻采用的施工工艺、方法或质量安全管理措施不能满足国家强制性标准或要求的；</w:t>
      </w:r>
    </w:p>
    <w:p>
      <w:pPr>
        <w:ind w:firstLine="480" w:firstLineChars="200"/>
        <w:rPr>
          <w:rFonts w:asciiTheme="minorEastAsia" w:hAnsiTheme="minorEastAsia" w:cstheme="minorEastAsia"/>
          <w:snapToGrid w:val="0"/>
          <w:szCs w:val="24"/>
        </w:rPr>
      </w:pPr>
      <w:r>
        <w:rPr>
          <w:rFonts w:hint="eastAsia" w:asciiTheme="minorEastAsia" w:hAnsiTheme="minorEastAsia" w:cstheme="minorEastAsia"/>
          <w:snapToGrid w:val="0"/>
          <w:szCs w:val="24"/>
        </w:rPr>
        <w:t>（9）竞包人未按发包文件要求提供资格审查资料齐全；</w:t>
      </w:r>
    </w:p>
    <w:p>
      <w:pPr>
        <w:ind w:firstLine="480" w:firstLineChars="200"/>
        <w:rPr>
          <w:rFonts w:asciiTheme="minorEastAsia" w:hAnsiTheme="minorEastAsia" w:cstheme="minorEastAsia"/>
          <w:snapToGrid w:val="0"/>
          <w:szCs w:val="24"/>
        </w:rPr>
      </w:pPr>
      <w:r>
        <w:rPr>
          <w:rFonts w:hint="eastAsia" w:asciiTheme="minorEastAsia" w:hAnsiTheme="minorEastAsia" w:cstheme="minorEastAsia"/>
          <w:snapToGrid w:val="0"/>
          <w:szCs w:val="24"/>
        </w:rPr>
        <w:t>（10）竞包文件未按规定的格式填写，内容不全或关键字迹模糊、无法辨认的；</w:t>
      </w:r>
    </w:p>
    <w:p>
      <w:pPr>
        <w:ind w:firstLine="480" w:firstLineChars="200"/>
        <w:rPr>
          <w:rFonts w:asciiTheme="minorEastAsia" w:hAnsiTheme="minorEastAsia" w:cstheme="minorEastAsia"/>
          <w:snapToGrid w:val="0"/>
          <w:szCs w:val="24"/>
        </w:rPr>
      </w:pPr>
      <w:r>
        <w:rPr>
          <w:rFonts w:hint="eastAsia" w:asciiTheme="minorEastAsia" w:hAnsiTheme="minorEastAsia" w:cstheme="minorEastAsia"/>
          <w:snapToGrid w:val="0"/>
          <w:szCs w:val="24"/>
        </w:rPr>
        <w:t>（11）竞包人及拟派项目负责人（总监）信用信息情况表未如实填写的或未按要求填写的；</w:t>
      </w:r>
    </w:p>
    <w:p>
      <w:pPr>
        <w:ind w:firstLine="480" w:firstLineChars="200"/>
        <w:rPr>
          <w:rFonts w:asciiTheme="minorEastAsia" w:hAnsiTheme="minorEastAsia" w:cstheme="minorEastAsia"/>
          <w:snapToGrid w:val="0"/>
          <w:szCs w:val="24"/>
        </w:rPr>
      </w:pPr>
      <w:r>
        <w:rPr>
          <w:rFonts w:hint="eastAsia" w:asciiTheme="minorEastAsia" w:hAnsiTheme="minorEastAsia" w:cstheme="minorEastAsia"/>
          <w:snapToGrid w:val="0"/>
          <w:szCs w:val="24"/>
        </w:rPr>
        <w:t>（12）存在法律、法规、规章规定的其它无效竞包情况的；</w:t>
      </w:r>
    </w:p>
    <w:p>
      <w:pPr>
        <w:ind w:firstLine="480" w:firstLineChars="200"/>
        <w:rPr>
          <w:rFonts w:asciiTheme="minorEastAsia" w:hAnsiTheme="minorEastAsia" w:cstheme="minorEastAsia"/>
          <w:snapToGrid w:val="0"/>
          <w:szCs w:val="24"/>
        </w:rPr>
      </w:pPr>
      <w:r>
        <w:rPr>
          <w:rFonts w:hint="eastAsia" w:asciiTheme="minorEastAsia" w:hAnsiTheme="minorEastAsia" w:cstheme="minorEastAsia"/>
          <w:snapToGrid w:val="0"/>
          <w:szCs w:val="24"/>
        </w:rPr>
        <w:t>（13）不同竞包人使用同一台电脑制作竞包文件；</w:t>
      </w:r>
    </w:p>
    <w:p>
      <w:pPr>
        <w:ind w:firstLine="480" w:firstLineChars="200"/>
        <w:rPr>
          <w:rFonts w:asciiTheme="minorEastAsia" w:hAnsiTheme="minorEastAsia" w:cstheme="minorEastAsia"/>
          <w:snapToGrid w:val="0"/>
          <w:szCs w:val="24"/>
        </w:rPr>
      </w:pPr>
      <w:r>
        <w:rPr>
          <w:rFonts w:hint="eastAsia" w:asciiTheme="minorEastAsia" w:hAnsiTheme="minorEastAsia" w:cstheme="minorEastAsia"/>
          <w:snapToGrid w:val="0"/>
          <w:szCs w:val="24"/>
        </w:rPr>
        <w:t>（14）竞包文件未附有发包人不能接受的条件。</w:t>
      </w:r>
    </w:p>
    <w:p>
      <w:pPr>
        <w:ind w:firstLine="549" w:firstLineChars="229"/>
        <w:rPr>
          <w:rFonts w:asciiTheme="minorEastAsia" w:hAnsiTheme="minorEastAsia" w:cstheme="minorEastAsia"/>
          <w:snapToGrid w:val="0"/>
          <w:szCs w:val="24"/>
        </w:rPr>
      </w:pPr>
      <w:r>
        <w:rPr>
          <w:rFonts w:hint="eastAsia" w:asciiTheme="minorEastAsia" w:hAnsiTheme="minorEastAsia" w:cstheme="minorEastAsia"/>
          <w:snapToGrid w:val="0"/>
          <w:szCs w:val="24"/>
        </w:rPr>
        <w:t>（二）商务文件符合性审查未通过的情形：</w:t>
      </w:r>
    </w:p>
    <w:p>
      <w:pPr>
        <w:ind w:firstLine="549" w:firstLineChars="229"/>
        <w:rPr>
          <w:rFonts w:asciiTheme="minorEastAsia" w:hAnsiTheme="minorEastAsia" w:cstheme="minorEastAsia"/>
          <w:snapToGrid w:val="0"/>
          <w:szCs w:val="24"/>
        </w:rPr>
      </w:pPr>
      <w:r>
        <w:rPr>
          <w:rFonts w:hint="eastAsia" w:asciiTheme="minorEastAsia" w:hAnsiTheme="minorEastAsia" w:cstheme="minorEastAsia"/>
          <w:snapToGrid w:val="0"/>
          <w:szCs w:val="24"/>
        </w:rPr>
        <w:t>⑴ 竞包人未按发包文件要求加盖单位印章或竞包人的法定代表人（或其委托代理人）未按发包文件要求签字或盖章（含电子签章）的；</w:t>
      </w:r>
    </w:p>
    <w:p>
      <w:pPr>
        <w:ind w:firstLine="549" w:firstLineChars="229"/>
        <w:rPr>
          <w:rFonts w:asciiTheme="minorEastAsia" w:hAnsiTheme="minorEastAsia" w:cstheme="minorEastAsia"/>
          <w:snapToGrid w:val="0"/>
          <w:szCs w:val="24"/>
        </w:rPr>
      </w:pPr>
      <w:r>
        <w:rPr>
          <w:rFonts w:hint="eastAsia" w:asciiTheme="minorEastAsia" w:hAnsiTheme="minorEastAsia" w:cstheme="minorEastAsia"/>
          <w:snapToGrid w:val="0"/>
          <w:szCs w:val="24"/>
        </w:rPr>
        <w:t>⑵ 同一竞包人提交两个以上不同的竞包报价且未声明哪一个有效的（发包文件要求提交备选竞包的除外）；</w:t>
      </w:r>
    </w:p>
    <w:p>
      <w:pPr>
        <w:ind w:firstLine="549" w:firstLineChars="229"/>
        <w:rPr>
          <w:rFonts w:asciiTheme="minorEastAsia" w:hAnsiTheme="minorEastAsia" w:cstheme="minorEastAsia"/>
          <w:snapToGrid w:val="0"/>
          <w:szCs w:val="24"/>
        </w:rPr>
      </w:pPr>
      <w:r>
        <w:rPr>
          <w:rFonts w:hint="eastAsia" w:asciiTheme="minorEastAsia" w:hAnsiTheme="minorEastAsia" w:cstheme="minorEastAsia"/>
          <w:snapToGrid w:val="0"/>
          <w:szCs w:val="24"/>
        </w:rPr>
        <w:t>⑶ 竞包报价高于或等于发包文件设定的最高限价的；</w:t>
      </w:r>
    </w:p>
    <w:p>
      <w:pPr>
        <w:ind w:firstLine="549" w:firstLineChars="229"/>
        <w:rPr>
          <w:rFonts w:asciiTheme="minorEastAsia" w:hAnsiTheme="minorEastAsia" w:cstheme="minorEastAsia"/>
          <w:snapToGrid w:val="0"/>
          <w:szCs w:val="24"/>
        </w:rPr>
      </w:pPr>
      <w:r>
        <w:rPr>
          <w:rFonts w:hint="eastAsia" w:asciiTheme="minorEastAsia" w:hAnsiTheme="minorEastAsia" w:cstheme="minorEastAsia"/>
          <w:snapToGrid w:val="0"/>
          <w:szCs w:val="24"/>
        </w:rPr>
        <w:t>⑷ 改变发包人提供的工程量清单中的项目编码、项目名称、项目主要特征、计量单位、工程数量、主要技术条款编码、金额等内容的（但按照国家规范所作的修改和发包文件规定的除外）；</w:t>
      </w:r>
    </w:p>
    <w:p>
      <w:pPr>
        <w:ind w:firstLine="549" w:firstLineChars="229"/>
        <w:rPr>
          <w:rFonts w:asciiTheme="minorEastAsia" w:hAnsiTheme="minorEastAsia" w:cstheme="minorEastAsia"/>
          <w:snapToGrid w:val="0"/>
          <w:szCs w:val="24"/>
        </w:rPr>
      </w:pPr>
      <w:r>
        <w:rPr>
          <w:rFonts w:hint="eastAsia" w:asciiTheme="minorEastAsia" w:hAnsiTheme="minorEastAsia" w:cstheme="minorEastAsia"/>
          <w:snapToGrid w:val="0"/>
          <w:szCs w:val="24"/>
        </w:rPr>
        <w:t>⑸ 存在法律、法规、规章规定的其它无效竞包情况的。</w:t>
      </w:r>
    </w:p>
    <w:p>
      <w:pPr>
        <w:pStyle w:val="7"/>
        <w:rPr>
          <w:rStyle w:val="42"/>
          <w:rFonts w:asciiTheme="minorEastAsia" w:hAnsiTheme="minorEastAsia" w:eastAsiaTheme="minorEastAsia" w:cstheme="minorEastAsia"/>
          <w:b/>
          <w:szCs w:val="24"/>
        </w:rPr>
      </w:pPr>
      <w:r>
        <w:rPr>
          <w:rStyle w:val="42"/>
          <w:rFonts w:hint="eastAsia" w:asciiTheme="minorEastAsia" w:hAnsiTheme="minorEastAsia" w:eastAsiaTheme="minorEastAsia" w:cstheme="minorEastAsia"/>
          <w:b/>
          <w:szCs w:val="24"/>
        </w:rPr>
        <w:t>4.3 竞包文件的技术评审</w:t>
      </w:r>
    </w:p>
    <w:p>
      <w:pPr>
        <w:pStyle w:val="14"/>
        <w:ind w:firstLine="544" w:firstLineChars="227"/>
        <w:rPr>
          <w:rFonts w:asciiTheme="minorEastAsia" w:hAnsiTheme="minorEastAsia" w:eastAsiaTheme="minorEastAsia" w:cstheme="minorEastAsia"/>
          <w:snapToGrid w:val="0"/>
          <w:kern w:val="0"/>
          <w:sz w:val="24"/>
          <w:szCs w:val="24"/>
        </w:rPr>
      </w:pPr>
      <w:r>
        <w:rPr>
          <w:rFonts w:hint="eastAsia" w:asciiTheme="minorEastAsia" w:hAnsiTheme="minorEastAsia" w:eastAsiaTheme="minorEastAsia" w:cstheme="minorEastAsia"/>
          <w:b/>
          <w:snapToGrid w:val="0"/>
          <w:kern w:val="0"/>
          <w:sz w:val="24"/>
          <w:szCs w:val="24"/>
        </w:rPr>
        <w:t>4.3.1</w:t>
      </w:r>
      <w:r>
        <w:rPr>
          <w:rFonts w:hint="eastAsia" w:asciiTheme="minorEastAsia" w:hAnsiTheme="minorEastAsia" w:eastAsiaTheme="minorEastAsia" w:cstheme="minorEastAsia"/>
          <w:snapToGrid w:val="0"/>
          <w:kern w:val="0"/>
          <w:sz w:val="24"/>
          <w:szCs w:val="24"/>
        </w:rPr>
        <w:t>评审委员会的技术专家应对通过符合性审查的竞包文件进行技术评审。专家评审采用集体评议、记名表决、少数服从多数的方法进行。</w:t>
      </w:r>
    </w:p>
    <w:p>
      <w:pPr>
        <w:pStyle w:val="14"/>
        <w:ind w:firstLine="544" w:firstLineChars="227"/>
        <w:rPr>
          <w:rFonts w:asciiTheme="minorEastAsia" w:hAnsiTheme="minorEastAsia" w:eastAsiaTheme="minorEastAsia" w:cstheme="minorEastAsia"/>
          <w:snapToGrid w:val="0"/>
          <w:kern w:val="0"/>
          <w:sz w:val="24"/>
          <w:szCs w:val="24"/>
        </w:rPr>
      </w:pPr>
      <w:r>
        <w:rPr>
          <w:rFonts w:hint="eastAsia" w:asciiTheme="minorEastAsia" w:hAnsiTheme="minorEastAsia" w:eastAsiaTheme="minorEastAsia" w:cstheme="minorEastAsia"/>
          <w:b/>
          <w:snapToGrid w:val="0"/>
          <w:kern w:val="0"/>
          <w:sz w:val="24"/>
          <w:szCs w:val="24"/>
        </w:rPr>
        <w:t xml:space="preserve">4.3.2 </w:t>
      </w:r>
      <w:r>
        <w:rPr>
          <w:rFonts w:hint="eastAsia" w:asciiTheme="minorEastAsia" w:hAnsiTheme="minorEastAsia" w:eastAsiaTheme="minorEastAsia" w:cstheme="minorEastAsia"/>
          <w:snapToGrid w:val="0"/>
          <w:kern w:val="0"/>
          <w:sz w:val="24"/>
          <w:szCs w:val="24"/>
        </w:rPr>
        <w:t>如竞包文件有以下情况之一的，按技术评审不通过处理：</w:t>
      </w:r>
    </w:p>
    <w:p>
      <w:pPr>
        <w:ind w:firstLine="540"/>
        <w:rPr>
          <w:rFonts w:asciiTheme="minorEastAsia" w:hAnsiTheme="minorEastAsia" w:cstheme="minorEastAsia"/>
          <w:snapToGrid w:val="0"/>
          <w:szCs w:val="24"/>
        </w:rPr>
      </w:pPr>
      <w:r>
        <w:rPr>
          <w:rFonts w:hint="eastAsia" w:asciiTheme="minorEastAsia" w:hAnsiTheme="minorEastAsia" w:cstheme="minorEastAsia"/>
          <w:snapToGrid w:val="0"/>
          <w:szCs w:val="24"/>
        </w:rPr>
        <w:t>⑴ 项目负责人、技术负责人不明确的；</w:t>
      </w:r>
    </w:p>
    <w:p>
      <w:pPr>
        <w:ind w:firstLine="540"/>
        <w:rPr>
          <w:rFonts w:asciiTheme="minorEastAsia" w:hAnsiTheme="minorEastAsia" w:cstheme="minorEastAsia"/>
          <w:snapToGrid w:val="0"/>
          <w:szCs w:val="24"/>
        </w:rPr>
      </w:pPr>
      <w:r>
        <w:rPr>
          <w:rFonts w:hint="eastAsia" w:asciiTheme="minorEastAsia" w:hAnsiTheme="minorEastAsia" w:cstheme="minorEastAsia"/>
          <w:snapToGrid w:val="0"/>
          <w:szCs w:val="24"/>
        </w:rPr>
        <w:t>⑵ 主要的施工技术方案或安全保障措施不可行的；</w:t>
      </w:r>
    </w:p>
    <w:p>
      <w:pPr>
        <w:ind w:firstLine="540"/>
        <w:rPr>
          <w:rFonts w:asciiTheme="minorEastAsia" w:hAnsiTheme="minorEastAsia" w:cstheme="minorEastAsia"/>
          <w:snapToGrid w:val="0"/>
          <w:szCs w:val="24"/>
        </w:rPr>
      </w:pPr>
      <w:r>
        <w:rPr>
          <w:rFonts w:hint="eastAsia" w:asciiTheme="minorEastAsia" w:hAnsiTheme="minorEastAsia" w:cstheme="minorEastAsia"/>
          <w:snapToGrid w:val="0"/>
          <w:szCs w:val="24"/>
        </w:rPr>
        <w:t>⑶ 主要施工机械设备不能满足施工需要的；</w:t>
      </w:r>
    </w:p>
    <w:p>
      <w:pPr>
        <w:ind w:firstLine="540"/>
        <w:rPr>
          <w:rFonts w:asciiTheme="minorEastAsia" w:hAnsiTheme="minorEastAsia" w:cstheme="minorEastAsia"/>
          <w:snapToGrid w:val="0"/>
          <w:szCs w:val="24"/>
        </w:rPr>
      </w:pPr>
      <w:r>
        <w:rPr>
          <w:rFonts w:hint="eastAsia" w:asciiTheme="minorEastAsia" w:hAnsiTheme="minorEastAsia" w:cstheme="minorEastAsia"/>
          <w:snapToGrid w:val="0"/>
          <w:szCs w:val="24"/>
        </w:rPr>
        <w:t>⑷ 附有工程无法适用的其他技术和管理条款的。</w:t>
      </w:r>
    </w:p>
    <w:p>
      <w:pPr>
        <w:pStyle w:val="14"/>
        <w:ind w:firstLine="544" w:firstLineChars="227"/>
        <w:rPr>
          <w:rFonts w:asciiTheme="minorEastAsia" w:hAnsiTheme="minorEastAsia" w:eastAsiaTheme="minorEastAsia" w:cstheme="minorEastAsia"/>
          <w:snapToGrid w:val="0"/>
          <w:kern w:val="0"/>
          <w:sz w:val="24"/>
          <w:szCs w:val="24"/>
        </w:rPr>
      </w:pPr>
      <w:r>
        <w:rPr>
          <w:rFonts w:hint="eastAsia" w:asciiTheme="minorEastAsia" w:hAnsiTheme="minorEastAsia" w:eastAsiaTheme="minorEastAsia" w:cstheme="minorEastAsia"/>
          <w:b/>
          <w:snapToGrid w:val="0"/>
          <w:kern w:val="0"/>
          <w:sz w:val="24"/>
          <w:szCs w:val="24"/>
        </w:rPr>
        <w:t xml:space="preserve">4.3.3 </w:t>
      </w:r>
      <w:r>
        <w:rPr>
          <w:rFonts w:hint="eastAsia" w:asciiTheme="minorEastAsia" w:hAnsiTheme="minorEastAsia" w:eastAsiaTheme="minorEastAsia" w:cstheme="minorEastAsia"/>
          <w:snapToGrid w:val="0"/>
          <w:kern w:val="0"/>
          <w:sz w:val="24"/>
          <w:szCs w:val="24"/>
        </w:rPr>
        <w:t>技术评审不通过的竞包文件不再进入后续评审。</w:t>
      </w:r>
    </w:p>
    <w:p>
      <w:pPr>
        <w:pStyle w:val="7"/>
        <w:rPr>
          <w:rStyle w:val="42"/>
          <w:rFonts w:asciiTheme="minorEastAsia" w:hAnsiTheme="minorEastAsia" w:eastAsiaTheme="minorEastAsia" w:cstheme="minorEastAsia"/>
          <w:b/>
          <w:szCs w:val="24"/>
        </w:rPr>
      </w:pPr>
      <w:r>
        <w:rPr>
          <w:rStyle w:val="42"/>
          <w:rFonts w:hint="eastAsia" w:asciiTheme="minorEastAsia" w:hAnsiTheme="minorEastAsia" w:eastAsiaTheme="minorEastAsia" w:cstheme="minorEastAsia"/>
          <w:b/>
          <w:szCs w:val="24"/>
        </w:rPr>
        <w:t>4.4 竞包文件的商务评审</w:t>
      </w:r>
    </w:p>
    <w:p>
      <w:pPr>
        <w:ind w:firstLine="480" w:firstLineChars="200"/>
        <w:rPr>
          <w:rFonts w:asciiTheme="minorEastAsia" w:hAnsiTheme="minorEastAsia" w:cstheme="minorEastAsia"/>
          <w:snapToGrid w:val="0"/>
          <w:szCs w:val="24"/>
        </w:rPr>
      </w:pPr>
      <w:r>
        <w:rPr>
          <w:rFonts w:hint="eastAsia" w:asciiTheme="minorEastAsia" w:hAnsiTheme="minorEastAsia" w:cstheme="minorEastAsia"/>
          <w:b/>
          <w:snapToGrid w:val="0"/>
          <w:szCs w:val="24"/>
        </w:rPr>
        <w:t>4.4.1</w:t>
      </w:r>
      <w:r>
        <w:rPr>
          <w:rFonts w:hint="eastAsia" w:asciiTheme="minorEastAsia" w:hAnsiTheme="minorEastAsia" w:cstheme="minorEastAsia"/>
          <w:snapToGrid w:val="0"/>
          <w:szCs w:val="24"/>
        </w:rPr>
        <w:t>评审委员会对通过符合性评审、技术评审的竞包文件进行商务评审。评审委员会的商务专家应对商务报价的范围、数量、单价、费用组成和总价等进行全面审阅和对比分析，找出报价差异的原因及存在的问题。</w:t>
      </w:r>
    </w:p>
    <w:p>
      <w:pPr>
        <w:ind w:firstLine="480" w:firstLineChars="200"/>
        <w:rPr>
          <w:rFonts w:asciiTheme="minorEastAsia" w:hAnsiTheme="minorEastAsia" w:cstheme="minorEastAsia"/>
          <w:snapToGrid w:val="0"/>
          <w:szCs w:val="24"/>
        </w:rPr>
      </w:pPr>
      <w:r>
        <w:rPr>
          <w:rFonts w:hint="eastAsia" w:asciiTheme="minorEastAsia" w:hAnsiTheme="minorEastAsia" w:cstheme="minorEastAsia"/>
          <w:b/>
          <w:snapToGrid w:val="0"/>
          <w:szCs w:val="24"/>
        </w:rPr>
        <w:t>4.4.2</w:t>
      </w:r>
      <w:r>
        <w:rPr>
          <w:rFonts w:hint="eastAsia" w:asciiTheme="minorEastAsia" w:hAnsiTheme="minorEastAsia" w:cstheme="minorEastAsia"/>
          <w:snapToGrid w:val="0"/>
          <w:szCs w:val="24"/>
        </w:rPr>
        <w:t xml:space="preserve"> 商务评审应以报价口径范围一致的竞包评审价为依据。竞包评审价应在最终报价的基础上，按照发包文件约定的因素和方法进行计算。凡属发包文件的原因造成报价口径范围不一致的，应调整竞包报价。其中算术错误的调整原则为：</w:t>
      </w:r>
    </w:p>
    <w:p>
      <w:pPr>
        <w:ind w:firstLine="540"/>
        <w:rPr>
          <w:rFonts w:asciiTheme="minorEastAsia" w:hAnsiTheme="minorEastAsia" w:cstheme="minorEastAsia"/>
          <w:snapToGrid w:val="0"/>
          <w:szCs w:val="24"/>
        </w:rPr>
      </w:pPr>
      <w:r>
        <w:rPr>
          <w:rFonts w:hint="eastAsia" w:asciiTheme="minorEastAsia" w:hAnsiTheme="minorEastAsia" w:cstheme="minorEastAsia"/>
          <w:snapToGrid w:val="0"/>
          <w:szCs w:val="24"/>
        </w:rPr>
        <w:t>⑴ 用数字表示的金额与文字表示的数额不一致时，以文字数额为准；</w:t>
      </w:r>
    </w:p>
    <w:p>
      <w:pPr>
        <w:ind w:firstLine="540"/>
        <w:rPr>
          <w:rFonts w:asciiTheme="minorEastAsia" w:hAnsiTheme="minorEastAsia" w:cstheme="minorEastAsia"/>
          <w:snapToGrid w:val="0"/>
          <w:szCs w:val="24"/>
        </w:rPr>
      </w:pPr>
      <w:r>
        <w:rPr>
          <w:rFonts w:hint="eastAsia" w:asciiTheme="minorEastAsia" w:hAnsiTheme="minorEastAsia" w:cstheme="minorEastAsia"/>
          <w:snapToGrid w:val="0"/>
          <w:szCs w:val="24"/>
        </w:rPr>
        <w:t>⑵ 凡属竞包人自身失误造成多算、少算、漏算的，不调整竞包报价。若有算术性差错，均在竞包报价不变的前提下按发包人要求调整单价及有关费用，调整后的单价及有关费用对竞包人起约束作用，如果竞包人不接受修正后的单价及有关费用，则按商务评审不合格处理。</w:t>
      </w:r>
    </w:p>
    <w:p>
      <w:pPr>
        <w:ind w:firstLine="540"/>
        <w:rPr>
          <w:rFonts w:asciiTheme="minorEastAsia" w:hAnsiTheme="minorEastAsia" w:cstheme="minorEastAsia"/>
          <w:snapToGrid w:val="0"/>
          <w:szCs w:val="24"/>
        </w:rPr>
      </w:pPr>
      <w:r>
        <w:rPr>
          <w:rFonts w:hint="eastAsia" w:asciiTheme="minorEastAsia" w:hAnsiTheme="minorEastAsia" w:cstheme="minorEastAsia"/>
          <w:snapToGrid w:val="0"/>
          <w:szCs w:val="24"/>
        </w:rPr>
        <w:t>竞包报价中，如有以下情况之一的，按商务评审不合格处理：</w:t>
      </w:r>
    </w:p>
    <w:p>
      <w:pPr>
        <w:ind w:firstLine="540"/>
        <w:rPr>
          <w:rFonts w:asciiTheme="minorEastAsia" w:hAnsiTheme="minorEastAsia" w:cstheme="minorEastAsia"/>
          <w:snapToGrid w:val="0"/>
          <w:szCs w:val="24"/>
        </w:rPr>
      </w:pPr>
      <w:r>
        <w:rPr>
          <w:rFonts w:hint="eastAsia" w:asciiTheme="minorEastAsia" w:hAnsiTheme="minorEastAsia" w:cstheme="minorEastAsia"/>
          <w:snapToGrid w:val="0"/>
          <w:szCs w:val="24"/>
        </w:rPr>
        <w:t>⑴ 竞包人未按发包文件实质性规定要求进行报价，拒绝修正不平衡报价，拒绝提供报价分析说明和证明材料的；</w:t>
      </w:r>
    </w:p>
    <w:p>
      <w:pPr>
        <w:ind w:firstLine="540"/>
        <w:rPr>
          <w:rFonts w:asciiTheme="minorEastAsia" w:hAnsiTheme="minorEastAsia" w:cstheme="minorEastAsia"/>
          <w:snapToGrid w:val="0"/>
          <w:szCs w:val="24"/>
        </w:rPr>
      </w:pPr>
      <w:bookmarkStart w:id="145" w:name="OLE_LINK9"/>
      <w:r>
        <w:rPr>
          <w:rFonts w:hint="eastAsia" w:asciiTheme="minorEastAsia" w:hAnsiTheme="minorEastAsia" w:cstheme="minorEastAsia"/>
          <w:snapToGrid w:val="0"/>
          <w:szCs w:val="24"/>
        </w:rPr>
        <w:t>⑵ 因竞包人自身多算、少算、错算、漏算而造成的错误金额超过竞包总价的3%的；</w:t>
      </w:r>
    </w:p>
    <w:p>
      <w:pPr>
        <w:ind w:firstLine="540"/>
        <w:rPr>
          <w:rFonts w:asciiTheme="minorEastAsia" w:hAnsiTheme="minorEastAsia" w:cstheme="minorEastAsia"/>
          <w:snapToGrid w:val="0"/>
          <w:szCs w:val="24"/>
        </w:rPr>
      </w:pPr>
      <w:r>
        <w:rPr>
          <w:rFonts w:hint="eastAsia" w:asciiTheme="minorEastAsia" w:hAnsiTheme="minorEastAsia" w:cstheme="minorEastAsia"/>
          <w:snapToGrid w:val="0"/>
          <w:szCs w:val="24"/>
        </w:rPr>
        <w:t>⑶安全施工费不符发包文件规定的；</w:t>
      </w:r>
    </w:p>
    <w:p>
      <w:pPr>
        <w:ind w:firstLine="540"/>
        <w:rPr>
          <w:rFonts w:asciiTheme="minorEastAsia" w:hAnsiTheme="minorEastAsia" w:cstheme="minorEastAsia"/>
          <w:snapToGrid w:val="0"/>
          <w:szCs w:val="24"/>
        </w:rPr>
      </w:pPr>
      <w:r>
        <w:rPr>
          <w:rFonts w:hint="eastAsia" w:asciiTheme="minorEastAsia" w:hAnsiTheme="minorEastAsia" w:cstheme="minorEastAsia"/>
          <w:snapToGrid w:val="0"/>
          <w:szCs w:val="24"/>
        </w:rPr>
        <w:t>⑷ 通过符合性审查、技术评审的最低竞包评审价低于通过符合性审查和技术评审的次低竞包评审价8%，且经询标竞包人对其报价不能充分说明理由，或提供的相关材料无法证明报价不低于其成本价的；</w:t>
      </w:r>
    </w:p>
    <w:p>
      <w:pPr>
        <w:ind w:firstLine="540"/>
        <w:rPr>
          <w:rFonts w:asciiTheme="minorEastAsia" w:hAnsiTheme="minorEastAsia" w:cstheme="minorEastAsia"/>
          <w:snapToGrid w:val="0"/>
          <w:szCs w:val="24"/>
        </w:rPr>
      </w:pPr>
      <w:r>
        <w:rPr>
          <w:rFonts w:hint="eastAsia" w:asciiTheme="minorEastAsia" w:hAnsiTheme="minorEastAsia" w:cstheme="minorEastAsia"/>
          <w:snapToGrid w:val="0"/>
          <w:szCs w:val="24"/>
        </w:rPr>
        <w:t>⑸ 评审委员会认定属竞包人自身原因有重大漏项的。</w:t>
      </w:r>
      <w:bookmarkEnd w:id="145"/>
    </w:p>
    <w:p>
      <w:pPr>
        <w:ind w:firstLine="480" w:firstLineChars="200"/>
        <w:rPr>
          <w:rFonts w:asciiTheme="minorEastAsia" w:hAnsiTheme="minorEastAsia" w:cstheme="minorEastAsia"/>
          <w:snapToGrid w:val="0"/>
          <w:szCs w:val="24"/>
        </w:rPr>
      </w:pPr>
      <w:r>
        <w:rPr>
          <w:rFonts w:hint="eastAsia" w:ascii="仿宋" w:hAnsi="仿宋" w:eastAsia="仿宋" w:cs="仿宋"/>
          <w:b/>
          <w:bCs/>
          <w:snapToGrid w:val="0"/>
        </w:rPr>
        <w:t>4.4.3 商务评审不通过的竞包文件不再进入后续评分</w:t>
      </w:r>
      <w:r>
        <w:rPr>
          <w:rFonts w:hint="eastAsia" w:ascii="仿宋" w:hAnsi="仿宋" w:eastAsia="仿宋" w:cs="仿宋"/>
          <w:snapToGrid w:val="0"/>
        </w:rPr>
        <w:t>。</w:t>
      </w:r>
    </w:p>
    <w:p>
      <w:pPr>
        <w:pStyle w:val="4"/>
        <w:rPr>
          <w:rFonts w:asciiTheme="minorEastAsia" w:hAnsiTheme="minorEastAsia" w:eastAsiaTheme="minorEastAsia" w:cstheme="minorEastAsia"/>
          <w:szCs w:val="24"/>
        </w:rPr>
      </w:pPr>
      <w:r>
        <w:rPr>
          <w:rFonts w:hint="eastAsia" w:asciiTheme="minorEastAsia" w:hAnsiTheme="minorEastAsia" w:eastAsiaTheme="minorEastAsia" w:cstheme="minorEastAsia"/>
          <w:b/>
          <w:snapToGrid w:val="0"/>
          <w:szCs w:val="24"/>
        </w:rPr>
        <w:t xml:space="preserve">4.4.4 </w:t>
      </w:r>
      <w:r>
        <w:rPr>
          <w:rFonts w:hint="eastAsia" w:asciiTheme="minorEastAsia" w:hAnsiTheme="minorEastAsia" w:eastAsiaTheme="minorEastAsia" w:cstheme="minorEastAsia"/>
          <w:snapToGrid w:val="0"/>
          <w:szCs w:val="24"/>
        </w:rPr>
        <w:t>商务评分计算办法</w:t>
      </w:r>
    </w:p>
    <w:p>
      <w:pPr>
        <w:snapToGrid w:val="0"/>
        <w:spacing w:line="380" w:lineRule="exact"/>
        <w:ind w:firstLine="480" w:firstLineChars="200"/>
        <w:rPr>
          <w:rFonts w:asciiTheme="minorEastAsia" w:hAnsiTheme="minorEastAsia" w:cstheme="minorEastAsia"/>
          <w:szCs w:val="24"/>
        </w:rPr>
      </w:pPr>
      <w:r>
        <w:rPr>
          <w:rFonts w:hint="eastAsia" w:asciiTheme="minorEastAsia" w:hAnsiTheme="minorEastAsia" w:cstheme="minorEastAsia"/>
          <w:szCs w:val="24"/>
        </w:rPr>
        <w:t xml:space="preserve">最佳报价值：如有效竞包报价在7个及以上时，去掉一个最高竞包报价和最低竞包报价的竞包人后，其余所有竞包人的评审价的算术平均值下浮A%所得值为最佳报价值；如有效竞包报价在7个以下（不含7个）时，以所有有效竞包报价的竞包人的评审价的算术平均值下浮A%所得值为最佳报价值。A为下浮系数（在商务报价开启前从1、1.5、2、2.5、3五个值中随机抽取一个值）。 </w:t>
      </w:r>
    </w:p>
    <w:p>
      <w:pPr>
        <w:snapToGrid w:val="0"/>
        <w:spacing w:line="380" w:lineRule="exact"/>
        <w:ind w:firstLine="480" w:firstLineChars="200"/>
        <w:rPr>
          <w:rFonts w:asciiTheme="minorEastAsia" w:hAnsiTheme="minorEastAsia" w:cstheme="minorEastAsia"/>
          <w:szCs w:val="24"/>
        </w:rPr>
      </w:pPr>
      <w:r>
        <w:rPr>
          <w:rFonts w:hint="eastAsia" w:asciiTheme="minorEastAsia" w:hAnsiTheme="minorEastAsia" w:cstheme="minorEastAsia"/>
          <w:szCs w:val="24"/>
        </w:rPr>
        <w:t>3)报价评分值的计算</w:t>
      </w:r>
    </w:p>
    <w:p>
      <w:pPr>
        <w:snapToGrid w:val="0"/>
        <w:spacing w:line="380" w:lineRule="exact"/>
        <w:ind w:firstLine="480" w:firstLineChars="200"/>
        <w:rPr>
          <w:rFonts w:asciiTheme="minorEastAsia" w:hAnsiTheme="minorEastAsia" w:cstheme="minorEastAsia"/>
          <w:szCs w:val="24"/>
        </w:rPr>
      </w:pPr>
      <w:r>
        <w:rPr>
          <w:rFonts w:hint="eastAsia" w:asciiTheme="minorEastAsia" w:hAnsiTheme="minorEastAsia" w:cstheme="minorEastAsia"/>
          <w:szCs w:val="24"/>
        </w:rPr>
        <w:t xml:space="preserve">（1）每个进入评分范围的竞包评审价与最佳报价值对比，计算评分值，即：  </w:t>
      </w:r>
      <w:r>
        <w:rPr>
          <w:rFonts w:hint="eastAsia" w:asciiTheme="minorEastAsia" w:hAnsiTheme="minorEastAsia" w:cstheme="minorEastAsia"/>
          <w:szCs w:val="24"/>
        </w:rPr>
        <w:br w:type="textWrapping"/>
      </w:r>
      <w:r>
        <w:rPr>
          <w:rFonts w:hint="eastAsia" w:asciiTheme="minorEastAsia" w:hAnsiTheme="minorEastAsia" w:cstheme="minorEastAsia"/>
          <w:szCs w:val="24"/>
        </w:rPr>
        <w:t>　　a、竞包评审价等于最佳报价值时，得满分100分；</w:t>
      </w:r>
      <w:r>
        <w:rPr>
          <w:rFonts w:hint="eastAsia" w:asciiTheme="minorEastAsia" w:hAnsiTheme="minorEastAsia" w:cstheme="minorEastAsia"/>
          <w:szCs w:val="24"/>
        </w:rPr>
        <w:br w:type="textWrapping"/>
      </w:r>
      <w:r>
        <w:rPr>
          <w:rFonts w:hint="eastAsia" w:asciiTheme="minorEastAsia" w:hAnsiTheme="minorEastAsia" w:cstheme="minorEastAsia"/>
          <w:szCs w:val="24"/>
        </w:rPr>
        <w:t>　　b、竞包评审价每低于最佳报价值1个百分点，扣0.5分；</w:t>
      </w:r>
    </w:p>
    <w:p>
      <w:pPr>
        <w:snapToGrid w:val="0"/>
        <w:spacing w:line="380" w:lineRule="exact"/>
        <w:ind w:firstLine="480" w:firstLineChars="200"/>
        <w:rPr>
          <w:rFonts w:asciiTheme="minorEastAsia" w:hAnsiTheme="minorEastAsia" w:cstheme="minorEastAsia"/>
          <w:szCs w:val="24"/>
        </w:rPr>
      </w:pPr>
      <w:r>
        <w:rPr>
          <w:rFonts w:hint="eastAsia" w:asciiTheme="minorEastAsia" w:hAnsiTheme="minorEastAsia" w:cstheme="minorEastAsia"/>
          <w:szCs w:val="24"/>
          <w:lang w:val="en-US" w:eastAsia="zh-CN"/>
        </w:rPr>
        <w:t>c</w:t>
      </w:r>
      <w:r>
        <w:rPr>
          <w:rFonts w:hint="eastAsia" w:asciiTheme="minorEastAsia" w:hAnsiTheme="minorEastAsia" w:cstheme="minorEastAsia"/>
          <w:szCs w:val="24"/>
        </w:rPr>
        <w:t>、竞包评审价每高于最佳报价值1个百分点，扣1分。</w:t>
      </w:r>
    </w:p>
    <w:p>
      <w:pPr>
        <w:snapToGrid w:val="0"/>
        <w:spacing w:line="380" w:lineRule="exact"/>
        <w:ind w:firstLine="480" w:firstLineChars="200"/>
        <w:rPr>
          <w:rFonts w:asciiTheme="minorEastAsia" w:hAnsiTheme="minorEastAsia" w:cstheme="minorEastAsia"/>
          <w:szCs w:val="24"/>
        </w:rPr>
      </w:pPr>
      <w:r>
        <w:rPr>
          <w:rFonts w:hint="eastAsia" w:asciiTheme="minorEastAsia" w:hAnsiTheme="minorEastAsia" w:cstheme="minorEastAsia"/>
          <w:szCs w:val="24"/>
        </w:rPr>
        <w:t>（2）以上评分保留小数2位，评分不足一个百分点时，使用直线插入法计算。</w:t>
      </w:r>
    </w:p>
    <w:p>
      <w:pPr>
        <w:ind w:firstLine="480" w:firstLineChars="200"/>
        <w:rPr>
          <w:rFonts w:hint="eastAsia" w:ascii="宋体" w:hAnsi="宋体" w:cs="宋体" w:eastAsiaTheme="minorEastAsia"/>
          <w:b/>
          <w:bCs/>
          <w:snapToGrid w:val="0"/>
          <w:lang w:eastAsia="zh-CN"/>
        </w:rPr>
      </w:pPr>
      <w:r>
        <w:rPr>
          <w:rFonts w:ascii="宋体" w:hAnsi="宋体" w:cs="宋体"/>
          <w:b/>
          <w:bCs/>
          <w:snapToGrid w:val="0"/>
        </w:rPr>
        <w:t>4.</w:t>
      </w:r>
      <w:r>
        <w:rPr>
          <w:rFonts w:hint="eastAsia" w:ascii="宋体" w:hAnsi="宋体" w:cs="宋体"/>
          <w:b/>
          <w:bCs/>
          <w:snapToGrid w:val="0"/>
        </w:rPr>
        <w:t>5竞包人</w:t>
      </w:r>
      <w:r>
        <w:rPr>
          <w:rFonts w:ascii="宋体" w:hAnsi="宋体" w:cs="宋体"/>
          <w:b/>
          <w:bCs/>
          <w:snapToGrid w:val="0"/>
        </w:rPr>
        <w:t>的信用评分</w:t>
      </w:r>
      <w:r>
        <w:rPr>
          <w:rFonts w:hint="eastAsia" w:ascii="宋体" w:hAnsi="宋体" w:cs="宋体"/>
          <w:b/>
          <w:bCs/>
          <w:snapToGrid w:val="0"/>
          <w:lang w:eastAsia="zh-CN"/>
        </w:rPr>
        <w:t>（本项目不使用）</w:t>
      </w:r>
    </w:p>
    <w:tbl>
      <w:tblPr>
        <w:tblStyle w:val="24"/>
        <w:tblW w:w="940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91"/>
        <w:gridCol w:w="6834"/>
        <w:gridCol w:w="137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025" w:type="dxa"/>
            <w:gridSpan w:val="2"/>
            <w:vAlign w:val="center"/>
          </w:tcPr>
          <w:p>
            <w:pPr>
              <w:spacing w:line="240" w:lineRule="atLeast"/>
              <w:ind w:firstLine="420" w:firstLineChars="200"/>
              <w:rPr>
                <w:bCs/>
                <w:kern w:val="2"/>
                <w:sz w:val="21"/>
                <w:szCs w:val="21"/>
                <w:shd w:val="clear" w:color="auto" w:fill="FFFFFF"/>
              </w:rPr>
            </w:pPr>
            <w:r>
              <w:rPr>
                <w:rFonts w:hint="eastAsia"/>
                <w:bCs/>
                <w:kern w:val="2"/>
                <w:sz w:val="21"/>
                <w:szCs w:val="21"/>
                <w:shd w:val="clear" w:color="auto" w:fill="FFFFFF"/>
              </w:rPr>
              <w:t>信用评分内容</w:t>
            </w:r>
          </w:p>
        </w:tc>
        <w:tc>
          <w:tcPr>
            <w:tcW w:w="1375" w:type="dxa"/>
            <w:vAlign w:val="center"/>
          </w:tcPr>
          <w:p>
            <w:pPr>
              <w:spacing w:line="240" w:lineRule="atLeast"/>
              <w:ind w:firstLine="420" w:firstLineChars="200"/>
              <w:rPr>
                <w:bCs/>
                <w:kern w:val="2"/>
                <w:sz w:val="21"/>
                <w:szCs w:val="21"/>
                <w:shd w:val="clear" w:color="auto" w:fill="FFFFFF"/>
              </w:rPr>
            </w:pPr>
            <w:r>
              <w:rPr>
                <w:rFonts w:hint="eastAsia"/>
                <w:bCs/>
                <w:kern w:val="2"/>
                <w:sz w:val="21"/>
                <w:szCs w:val="21"/>
                <w:shd w:val="clear" w:color="auto" w:fill="FFFFFF"/>
              </w:rPr>
              <w:t>得分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79" w:hRule="atLeast"/>
        </w:trPr>
        <w:tc>
          <w:tcPr>
            <w:tcW w:w="1191" w:type="dxa"/>
            <w:vMerge w:val="restart"/>
            <w:vAlign w:val="center"/>
          </w:tcPr>
          <w:p>
            <w:pPr>
              <w:spacing w:line="240" w:lineRule="atLeast"/>
              <w:rPr>
                <w:bCs/>
                <w:kern w:val="2"/>
                <w:sz w:val="21"/>
                <w:szCs w:val="21"/>
                <w:shd w:val="clear" w:color="auto" w:fill="FFFFFF"/>
              </w:rPr>
            </w:pPr>
            <w:bookmarkStart w:id="146" w:name="OLE_LINK4" w:colFirst="0" w:colLast="2"/>
            <w:r>
              <w:rPr>
                <w:rFonts w:hint="eastAsia"/>
                <w:bCs/>
                <w:kern w:val="2"/>
                <w:sz w:val="21"/>
                <w:szCs w:val="21"/>
                <w:shd w:val="clear" w:color="auto" w:fill="FFFFFF"/>
              </w:rPr>
              <w:t>竞包人信用信息情况</w:t>
            </w:r>
          </w:p>
          <w:p>
            <w:pPr>
              <w:spacing w:line="240" w:lineRule="atLeast"/>
              <w:ind w:firstLine="420" w:firstLineChars="200"/>
              <w:rPr>
                <w:bCs/>
                <w:kern w:val="2"/>
                <w:sz w:val="21"/>
                <w:szCs w:val="21"/>
                <w:shd w:val="clear" w:color="auto" w:fill="FFFFFF"/>
              </w:rPr>
            </w:pPr>
          </w:p>
        </w:tc>
        <w:tc>
          <w:tcPr>
            <w:tcW w:w="6834" w:type="dxa"/>
            <w:vAlign w:val="center"/>
          </w:tcPr>
          <w:p>
            <w:pPr>
              <w:spacing w:line="240" w:lineRule="atLeast"/>
              <w:ind w:firstLine="420" w:firstLineChars="200"/>
              <w:rPr>
                <w:bCs/>
                <w:kern w:val="2"/>
                <w:sz w:val="21"/>
                <w:szCs w:val="21"/>
                <w:shd w:val="clear" w:color="auto" w:fill="FFFFFF"/>
              </w:rPr>
            </w:pPr>
            <w:r>
              <w:rPr>
                <w:rFonts w:hint="eastAsia"/>
                <w:bCs/>
                <w:kern w:val="2"/>
                <w:sz w:val="21"/>
                <w:szCs w:val="21"/>
                <w:shd w:val="clear" w:color="auto" w:fill="FFFFFF"/>
              </w:rPr>
              <w:t>竞包人有正在被公示与工程建设相关的不良行为记录〔不包括被项目所（吴兴区或湖州市或浙江省〕水利建设市场限制竞包的〕。</w:t>
            </w:r>
          </w:p>
        </w:tc>
        <w:tc>
          <w:tcPr>
            <w:tcW w:w="1375" w:type="dxa"/>
            <w:vAlign w:val="center"/>
          </w:tcPr>
          <w:p>
            <w:pPr>
              <w:spacing w:line="240" w:lineRule="atLeast"/>
              <w:ind w:firstLine="420" w:firstLineChars="200"/>
              <w:rPr>
                <w:bCs/>
                <w:kern w:val="2"/>
                <w:sz w:val="21"/>
                <w:szCs w:val="21"/>
                <w:shd w:val="clear" w:color="auto" w:fill="FFFFFF"/>
              </w:rPr>
            </w:pPr>
            <w:r>
              <w:rPr>
                <w:rFonts w:hint="eastAsia"/>
                <w:bCs/>
                <w:kern w:val="2"/>
                <w:sz w:val="21"/>
                <w:szCs w:val="21"/>
                <w:shd w:val="clear" w:color="auto" w:fill="FFFFFF"/>
              </w:rPr>
              <w:t>-0.01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91" w:type="dxa"/>
            <w:vMerge w:val="continue"/>
            <w:vAlign w:val="center"/>
          </w:tcPr>
          <w:p>
            <w:pPr>
              <w:spacing w:line="240" w:lineRule="atLeast"/>
              <w:ind w:firstLine="420" w:firstLineChars="200"/>
              <w:rPr>
                <w:bCs/>
                <w:kern w:val="2"/>
                <w:sz w:val="21"/>
                <w:szCs w:val="21"/>
                <w:shd w:val="clear" w:color="auto" w:fill="FFFFFF"/>
              </w:rPr>
            </w:pPr>
          </w:p>
        </w:tc>
        <w:tc>
          <w:tcPr>
            <w:tcW w:w="6834" w:type="dxa"/>
            <w:vAlign w:val="center"/>
          </w:tcPr>
          <w:p>
            <w:pPr>
              <w:spacing w:line="240" w:lineRule="atLeast"/>
              <w:ind w:firstLine="420" w:firstLineChars="200"/>
              <w:rPr>
                <w:bCs/>
                <w:kern w:val="2"/>
                <w:sz w:val="21"/>
                <w:szCs w:val="21"/>
                <w:shd w:val="clear" w:color="auto" w:fill="FFFFFF"/>
              </w:rPr>
            </w:pPr>
            <w:r>
              <w:rPr>
                <w:rFonts w:hint="eastAsia"/>
                <w:bCs/>
                <w:kern w:val="2"/>
                <w:sz w:val="21"/>
                <w:szCs w:val="21"/>
                <w:shd w:val="clear" w:color="auto" w:fill="FFFFFF"/>
              </w:rPr>
              <w:t>竞包截止日前一年内有与工程建设相关的受到行政机关罚款及以上的行政处罚。</w:t>
            </w:r>
          </w:p>
        </w:tc>
        <w:tc>
          <w:tcPr>
            <w:tcW w:w="1375" w:type="dxa"/>
            <w:vAlign w:val="center"/>
          </w:tcPr>
          <w:p>
            <w:pPr>
              <w:spacing w:line="240" w:lineRule="atLeast"/>
              <w:ind w:firstLine="420" w:firstLineChars="200"/>
              <w:rPr>
                <w:bCs/>
                <w:kern w:val="2"/>
                <w:sz w:val="21"/>
                <w:szCs w:val="21"/>
                <w:shd w:val="clear" w:color="auto" w:fill="FFFFFF"/>
              </w:rPr>
            </w:pPr>
            <w:r>
              <w:rPr>
                <w:rFonts w:hint="eastAsia"/>
                <w:bCs/>
                <w:kern w:val="2"/>
                <w:sz w:val="21"/>
                <w:szCs w:val="21"/>
                <w:shd w:val="clear" w:color="auto" w:fill="FFFFFF"/>
              </w:rPr>
              <w:t>-0.01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91" w:type="dxa"/>
            <w:vMerge w:val="restart"/>
            <w:vAlign w:val="center"/>
          </w:tcPr>
          <w:p>
            <w:pPr>
              <w:spacing w:line="240" w:lineRule="atLeast"/>
              <w:rPr>
                <w:bCs/>
                <w:kern w:val="2"/>
                <w:sz w:val="21"/>
                <w:szCs w:val="21"/>
                <w:shd w:val="clear" w:color="auto" w:fill="FFFFFF"/>
              </w:rPr>
            </w:pPr>
            <w:r>
              <w:rPr>
                <w:rFonts w:hint="eastAsia"/>
                <w:bCs/>
                <w:kern w:val="2"/>
                <w:sz w:val="21"/>
                <w:szCs w:val="21"/>
                <w:shd w:val="clear" w:color="auto" w:fill="FFFFFF"/>
              </w:rPr>
              <w:t>拟派项目负责人（总监）信用信息情况</w:t>
            </w:r>
          </w:p>
        </w:tc>
        <w:tc>
          <w:tcPr>
            <w:tcW w:w="6834" w:type="dxa"/>
            <w:vAlign w:val="center"/>
          </w:tcPr>
          <w:p>
            <w:pPr>
              <w:spacing w:line="240" w:lineRule="atLeast"/>
              <w:ind w:firstLine="420" w:firstLineChars="200"/>
              <w:rPr>
                <w:bCs/>
                <w:kern w:val="2"/>
                <w:sz w:val="21"/>
                <w:szCs w:val="21"/>
                <w:shd w:val="clear" w:color="auto" w:fill="FFFFFF"/>
              </w:rPr>
            </w:pPr>
            <w:r>
              <w:rPr>
                <w:rFonts w:hint="eastAsia"/>
                <w:bCs/>
                <w:kern w:val="2"/>
                <w:sz w:val="21"/>
                <w:szCs w:val="21"/>
                <w:shd w:val="clear" w:color="auto" w:fill="FFFFFF"/>
              </w:rPr>
              <w:t xml:space="preserve">拟派项目负责人（总监）有正在被公示的与工程建设相关的不良行为记录〔不包括被项目所在地区（吴兴区或湖州市）水利建设市场限制竞包的〕。       </w:t>
            </w:r>
          </w:p>
        </w:tc>
        <w:tc>
          <w:tcPr>
            <w:tcW w:w="1375" w:type="dxa"/>
            <w:vAlign w:val="center"/>
          </w:tcPr>
          <w:p>
            <w:pPr>
              <w:spacing w:line="240" w:lineRule="atLeast"/>
              <w:ind w:firstLine="420" w:firstLineChars="200"/>
              <w:rPr>
                <w:bCs/>
                <w:kern w:val="2"/>
                <w:sz w:val="21"/>
                <w:szCs w:val="21"/>
                <w:shd w:val="clear" w:color="auto" w:fill="FFFFFF"/>
              </w:rPr>
            </w:pPr>
            <w:r>
              <w:rPr>
                <w:rFonts w:hint="eastAsia"/>
                <w:bCs/>
                <w:kern w:val="2"/>
                <w:sz w:val="21"/>
                <w:szCs w:val="21"/>
                <w:shd w:val="clear" w:color="auto" w:fill="FFFFFF"/>
              </w:rPr>
              <w:t>-0.02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91" w:type="dxa"/>
            <w:vMerge w:val="continue"/>
            <w:vAlign w:val="center"/>
          </w:tcPr>
          <w:p>
            <w:pPr>
              <w:spacing w:line="240" w:lineRule="atLeast"/>
              <w:ind w:firstLine="420" w:firstLineChars="200"/>
              <w:rPr>
                <w:bCs/>
                <w:kern w:val="2"/>
                <w:sz w:val="21"/>
                <w:szCs w:val="21"/>
                <w:shd w:val="clear" w:color="auto" w:fill="FFFFFF"/>
              </w:rPr>
            </w:pPr>
          </w:p>
        </w:tc>
        <w:tc>
          <w:tcPr>
            <w:tcW w:w="6834" w:type="dxa"/>
            <w:vAlign w:val="center"/>
          </w:tcPr>
          <w:p>
            <w:pPr>
              <w:spacing w:line="240" w:lineRule="atLeast"/>
              <w:ind w:firstLine="420" w:firstLineChars="200"/>
              <w:rPr>
                <w:bCs/>
                <w:kern w:val="2"/>
                <w:sz w:val="21"/>
                <w:szCs w:val="21"/>
                <w:shd w:val="clear" w:color="auto" w:fill="FFFFFF"/>
              </w:rPr>
            </w:pPr>
            <w:r>
              <w:rPr>
                <w:rFonts w:hint="eastAsia"/>
                <w:bCs/>
                <w:kern w:val="2"/>
                <w:sz w:val="21"/>
                <w:szCs w:val="21"/>
                <w:shd w:val="clear" w:color="auto" w:fill="FFFFFF"/>
              </w:rPr>
              <w:t>拟派项目负责人（总监）竞包截止日前一年内有与工程建设相关的受到行政机关罚款及以上的行政处罚。</w:t>
            </w:r>
          </w:p>
        </w:tc>
        <w:tc>
          <w:tcPr>
            <w:tcW w:w="1375" w:type="dxa"/>
            <w:vAlign w:val="center"/>
          </w:tcPr>
          <w:p>
            <w:pPr>
              <w:spacing w:line="240" w:lineRule="atLeast"/>
              <w:ind w:firstLine="420" w:firstLineChars="200"/>
              <w:rPr>
                <w:bCs/>
                <w:kern w:val="2"/>
                <w:sz w:val="21"/>
                <w:szCs w:val="21"/>
                <w:shd w:val="clear" w:color="auto" w:fill="FFFFFF"/>
              </w:rPr>
            </w:pPr>
            <w:r>
              <w:rPr>
                <w:rFonts w:hint="eastAsia"/>
                <w:bCs/>
                <w:kern w:val="2"/>
                <w:sz w:val="21"/>
                <w:szCs w:val="21"/>
                <w:shd w:val="clear" w:color="auto" w:fill="FFFFFF"/>
              </w:rPr>
              <w:t>-0.02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025" w:type="dxa"/>
            <w:gridSpan w:val="2"/>
            <w:vAlign w:val="center"/>
          </w:tcPr>
          <w:p>
            <w:pPr>
              <w:spacing w:line="240" w:lineRule="atLeast"/>
              <w:ind w:firstLine="420" w:firstLineChars="200"/>
              <w:rPr>
                <w:bCs/>
                <w:kern w:val="2"/>
                <w:sz w:val="21"/>
                <w:szCs w:val="21"/>
                <w:shd w:val="clear" w:color="auto" w:fill="FFFFFF"/>
              </w:rPr>
            </w:pPr>
            <w:r>
              <w:rPr>
                <w:rFonts w:hint="eastAsia"/>
                <w:bCs/>
                <w:kern w:val="2"/>
                <w:sz w:val="21"/>
                <w:szCs w:val="21"/>
                <w:shd w:val="clear" w:color="auto" w:fill="FFFFFF"/>
              </w:rPr>
              <w:t>合  计</w:t>
            </w:r>
          </w:p>
        </w:tc>
        <w:tc>
          <w:tcPr>
            <w:tcW w:w="1375" w:type="dxa"/>
            <w:vAlign w:val="center"/>
          </w:tcPr>
          <w:p>
            <w:pPr>
              <w:spacing w:line="240" w:lineRule="atLeast"/>
              <w:ind w:firstLine="420" w:firstLineChars="200"/>
              <w:rPr>
                <w:bCs/>
                <w:kern w:val="2"/>
                <w:sz w:val="21"/>
                <w:szCs w:val="21"/>
                <w:shd w:val="clear" w:color="auto" w:fill="FFFFFF"/>
              </w:rPr>
            </w:pPr>
            <w:r>
              <w:rPr>
                <w:rFonts w:hint="eastAsia"/>
                <w:bCs/>
                <w:kern w:val="2"/>
                <w:sz w:val="21"/>
                <w:szCs w:val="21"/>
                <w:shd w:val="clear" w:color="auto" w:fill="FFFFFF"/>
              </w:rPr>
              <w:t>-0.06</w:t>
            </w:r>
          </w:p>
        </w:tc>
      </w:tr>
      <w:bookmarkEnd w:id="146"/>
    </w:tbl>
    <w:p>
      <w:pPr>
        <w:ind w:firstLine="420" w:firstLineChars="200"/>
        <w:rPr>
          <w:b/>
          <w:sz w:val="21"/>
          <w:shd w:val="clear" w:color="auto" w:fill="FFFFFF"/>
        </w:rPr>
      </w:pPr>
      <w:r>
        <w:rPr>
          <w:rFonts w:hint="eastAsia"/>
          <w:b/>
          <w:sz w:val="21"/>
          <w:shd w:val="clear" w:color="auto" w:fill="FFFFFF"/>
        </w:rPr>
        <w:t>注：信用信息查询以“湖州市公共资源交易信用信息查询平台”为主，不限于其他渠道经查证属实的信用信息。</w:t>
      </w:r>
    </w:p>
    <w:p>
      <w:pPr>
        <w:pStyle w:val="7"/>
        <w:rPr>
          <w:rStyle w:val="42"/>
          <w:rFonts w:asciiTheme="minorEastAsia" w:hAnsiTheme="minorEastAsia" w:eastAsiaTheme="minorEastAsia" w:cstheme="minorEastAsia"/>
          <w:b/>
          <w:szCs w:val="24"/>
        </w:rPr>
      </w:pPr>
      <w:r>
        <w:rPr>
          <w:rStyle w:val="42"/>
          <w:rFonts w:hint="eastAsia" w:asciiTheme="minorEastAsia" w:hAnsiTheme="minorEastAsia" w:eastAsiaTheme="minorEastAsia" w:cstheme="minorEastAsia"/>
          <w:b/>
          <w:szCs w:val="24"/>
        </w:rPr>
        <w:t>4.6 竞包文件的综合评分</w:t>
      </w:r>
    </w:p>
    <w:p>
      <w:pPr>
        <w:ind w:firstLine="540" w:firstLineChars="225"/>
        <w:rPr>
          <w:rFonts w:asciiTheme="minorEastAsia" w:hAnsiTheme="minorEastAsia" w:cstheme="minorEastAsia"/>
          <w:snapToGrid w:val="0"/>
          <w:szCs w:val="24"/>
        </w:rPr>
      </w:pPr>
      <w:r>
        <w:rPr>
          <w:rFonts w:hint="eastAsia" w:asciiTheme="minorEastAsia" w:hAnsiTheme="minorEastAsia" w:cstheme="minorEastAsia"/>
          <w:snapToGrid w:val="0"/>
          <w:szCs w:val="24"/>
        </w:rPr>
        <w:t>竞包文件的综合评分为竞包文件商务评分，满分为100分。</w:t>
      </w:r>
    </w:p>
    <w:p>
      <w:pPr>
        <w:pStyle w:val="7"/>
        <w:rPr>
          <w:rStyle w:val="42"/>
          <w:rFonts w:asciiTheme="minorEastAsia" w:hAnsiTheme="minorEastAsia" w:eastAsiaTheme="minorEastAsia" w:cstheme="minorEastAsia"/>
          <w:b/>
          <w:szCs w:val="24"/>
        </w:rPr>
      </w:pPr>
      <w:r>
        <w:rPr>
          <w:rStyle w:val="42"/>
          <w:rFonts w:hint="eastAsia" w:asciiTheme="minorEastAsia" w:hAnsiTheme="minorEastAsia" w:eastAsiaTheme="minorEastAsia" w:cstheme="minorEastAsia"/>
          <w:b/>
          <w:szCs w:val="24"/>
        </w:rPr>
        <w:t>4.7 推荐承包候选人</w:t>
      </w:r>
    </w:p>
    <w:p>
      <w:pPr>
        <w:ind w:firstLine="540" w:firstLineChars="225"/>
        <w:rPr>
          <w:rFonts w:asciiTheme="minorEastAsia" w:hAnsiTheme="minorEastAsia" w:cstheme="minorEastAsia"/>
          <w:snapToGrid w:val="0"/>
          <w:szCs w:val="24"/>
        </w:rPr>
      </w:pPr>
      <w:r>
        <w:rPr>
          <w:rFonts w:hint="eastAsia" w:asciiTheme="minorEastAsia" w:hAnsiTheme="minorEastAsia" w:cstheme="minorEastAsia"/>
          <w:snapToGrid w:val="0"/>
          <w:szCs w:val="24"/>
        </w:rPr>
        <w:t>评审委员会根据综合评分对通过商务评审的竞包文件按照由高到低的顺序进行排序，依次推荐承包候选人。评分相同时，报价低者优先。评分、报价均相同时，由评审委员会全体成员按照少数服从多数的原则记名投票（不得弃权）决定排序。</w:t>
      </w:r>
    </w:p>
    <w:p>
      <w:pPr>
        <w:ind w:firstLine="480" w:firstLineChars="200"/>
        <w:rPr>
          <w:rFonts w:asciiTheme="minorEastAsia" w:hAnsiTheme="minorEastAsia" w:cstheme="minorEastAsia"/>
          <w:snapToGrid w:val="0"/>
          <w:szCs w:val="24"/>
        </w:rPr>
      </w:pPr>
      <w:r>
        <w:rPr>
          <w:rFonts w:hint="eastAsia" w:asciiTheme="minorEastAsia" w:hAnsiTheme="minorEastAsia" w:cstheme="minorEastAsia"/>
          <w:snapToGrid w:val="0"/>
          <w:szCs w:val="24"/>
        </w:rPr>
        <w:t>本评审办法未尽事宜由评审委员会集体讨论决定。</w:t>
      </w:r>
    </w:p>
    <w:p>
      <w:pPr>
        <w:pStyle w:val="7"/>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4.8 评审报告</w:t>
      </w:r>
    </w:p>
    <w:p>
      <w:pPr>
        <w:ind w:firstLine="472" w:firstLineChars="197"/>
        <w:rPr>
          <w:rFonts w:asciiTheme="minorEastAsia" w:hAnsiTheme="minorEastAsia" w:cstheme="minorEastAsia"/>
          <w:snapToGrid w:val="0"/>
          <w:szCs w:val="24"/>
        </w:rPr>
      </w:pPr>
      <w:r>
        <w:rPr>
          <w:rFonts w:hint="eastAsia" w:asciiTheme="minorEastAsia" w:hAnsiTheme="minorEastAsia" w:cstheme="minorEastAsia"/>
          <w:b/>
          <w:snapToGrid w:val="0"/>
          <w:szCs w:val="24"/>
        </w:rPr>
        <w:t>4.8.1</w:t>
      </w:r>
      <w:r>
        <w:rPr>
          <w:rFonts w:hint="eastAsia" w:asciiTheme="minorEastAsia" w:hAnsiTheme="minorEastAsia" w:cstheme="minorEastAsia"/>
          <w:snapToGrid w:val="0"/>
          <w:szCs w:val="24"/>
        </w:rPr>
        <w:t>评审委员会对竞包文件作出的评审结论，应当符合有关法律、法规、规章和发包文件的规定。</w:t>
      </w:r>
    </w:p>
    <w:p>
      <w:pPr>
        <w:ind w:firstLine="480" w:firstLineChars="200"/>
        <w:rPr>
          <w:rFonts w:asciiTheme="minorEastAsia" w:hAnsiTheme="minorEastAsia" w:cstheme="minorEastAsia"/>
          <w:snapToGrid w:val="0"/>
          <w:szCs w:val="24"/>
        </w:rPr>
      </w:pPr>
      <w:r>
        <w:rPr>
          <w:rFonts w:hint="eastAsia" w:asciiTheme="minorEastAsia" w:hAnsiTheme="minorEastAsia" w:cstheme="minorEastAsia"/>
          <w:b/>
          <w:snapToGrid w:val="0"/>
          <w:szCs w:val="24"/>
        </w:rPr>
        <w:t>4.8.2</w:t>
      </w:r>
      <w:r>
        <w:rPr>
          <w:rFonts w:hint="eastAsia" w:asciiTheme="minorEastAsia" w:hAnsiTheme="minorEastAsia" w:cstheme="minorEastAsia"/>
          <w:snapToGrid w:val="0"/>
          <w:szCs w:val="24"/>
        </w:rPr>
        <w:t>评审委员会应根据评审情况，推荐</w:t>
      </w:r>
      <w:r>
        <w:rPr>
          <w:rFonts w:hint="eastAsia" w:asciiTheme="minorEastAsia" w:hAnsiTheme="minorEastAsia" w:cstheme="minorEastAsia"/>
          <w:snapToGrid w:val="0"/>
          <w:szCs w:val="24"/>
          <w:u w:val="single"/>
        </w:rPr>
        <w:t>3</w:t>
      </w:r>
      <w:r>
        <w:rPr>
          <w:rFonts w:hint="eastAsia" w:asciiTheme="minorEastAsia" w:hAnsiTheme="minorEastAsia" w:cstheme="minorEastAsia"/>
          <w:snapToGrid w:val="0"/>
          <w:szCs w:val="24"/>
        </w:rPr>
        <w:t>名</w:t>
      </w:r>
      <w:r>
        <w:rPr>
          <w:rFonts w:hint="eastAsia" w:asciiTheme="minorEastAsia" w:hAnsiTheme="minorEastAsia" w:cstheme="minorEastAsia"/>
          <w:i/>
          <w:snapToGrid w:val="0"/>
          <w:szCs w:val="24"/>
        </w:rPr>
        <w:t>（1～3名）</w:t>
      </w:r>
      <w:r>
        <w:rPr>
          <w:rFonts w:hint="eastAsia" w:asciiTheme="minorEastAsia" w:hAnsiTheme="minorEastAsia" w:cstheme="minorEastAsia"/>
          <w:snapToGrid w:val="0"/>
          <w:szCs w:val="24"/>
        </w:rPr>
        <w:t>承包候选人，标明推荐顺序，并向发包人提交评审报告。评审报告由评审委员会成员起草，评审委员会全体成员应在评审报告上签字确认，评审专家如有保留意见可以在评审报告中阐明。</w:t>
      </w:r>
    </w:p>
    <w:p>
      <w:pPr>
        <w:ind w:firstLine="480" w:firstLineChars="200"/>
        <w:rPr>
          <w:rFonts w:asciiTheme="minorEastAsia" w:hAnsiTheme="minorEastAsia" w:cstheme="minorEastAsia"/>
          <w:snapToGrid w:val="0"/>
          <w:szCs w:val="24"/>
        </w:rPr>
      </w:pPr>
      <w:r>
        <w:rPr>
          <w:rFonts w:hint="eastAsia" w:asciiTheme="minorEastAsia" w:hAnsiTheme="minorEastAsia" w:cstheme="minorEastAsia"/>
          <w:b/>
          <w:snapToGrid w:val="0"/>
          <w:szCs w:val="24"/>
        </w:rPr>
        <w:t xml:space="preserve">4.8.3 </w:t>
      </w:r>
      <w:r>
        <w:rPr>
          <w:rFonts w:hint="eastAsia" w:asciiTheme="minorEastAsia" w:hAnsiTheme="minorEastAsia" w:cstheme="minorEastAsia"/>
          <w:snapToGrid w:val="0"/>
          <w:szCs w:val="24"/>
        </w:rPr>
        <w:t>评审报告应包括以下内容：</w:t>
      </w:r>
    </w:p>
    <w:p>
      <w:pPr>
        <w:ind w:firstLine="480" w:firstLineChars="200"/>
        <w:rPr>
          <w:rFonts w:asciiTheme="minorEastAsia" w:hAnsiTheme="minorEastAsia" w:cstheme="minorEastAsia"/>
          <w:snapToGrid w:val="0"/>
          <w:szCs w:val="24"/>
        </w:rPr>
      </w:pPr>
      <w:r>
        <w:rPr>
          <w:rFonts w:hint="eastAsia" w:asciiTheme="minorEastAsia" w:hAnsiTheme="minorEastAsia" w:cstheme="minorEastAsia"/>
          <w:snapToGrid w:val="0"/>
          <w:szCs w:val="24"/>
        </w:rPr>
        <w:t>⑴ 开标记录；</w:t>
      </w:r>
    </w:p>
    <w:p>
      <w:pPr>
        <w:ind w:firstLine="480" w:firstLineChars="200"/>
        <w:rPr>
          <w:rFonts w:asciiTheme="minorEastAsia" w:hAnsiTheme="minorEastAsia" w:cstheme="minorEastAsia"/>
          <w:snapToGrid w:val="0"/>
          <w:szCs w:val="24"/>
        </w:rPr>
      </w:pPr>
      <w:r>
        <w:rPr>
          <w:rFonts w:hint="eastAsia" w:asciiTheme="minorEastAsia" w:hAnsiTheme="minorEastAsia" w:cstheme="minorEastAsia"/>
          <w:snapToGrid w:val="0"/>
          <w:szCs w:val="24"/>
        </w:rPr>
        <w:t>⑵ 评审内容、过程和结果；</w:t>
      </w:r>
    </w:p>
    <w:p>
      <w:pPr>
        <w:ind w:firstLine="480" w:firstLineChars="200"/>
        <w:rPr>
          <w:rFonts w:asciiTheme="minorEastAsia" w:hAnsiTheme="minorEastAsia" w:cstheme="minorEastAsia"/>
          <w:snapToGrid w:val="0"/>
          <w:szCs w:val="24"/>
        </w:rPr>
      </w:pPr>
      <w:r>
        <w:rPr>
          <w:rFonts w:hint="eastAsia" w:asciiTheme="minorEastAsia" w:hAnsiTheme="minorEastAsia" w:cstheme="minorEastAsia"/>
          <w:snapToGrid w:val="0"/>
          <w:szCs w:val="24"/>
        </w:rPr>
        <w:t>⑶ 否决竞包情况说明及依据；</w:t>
      </w:r>
    </w:p>
    <w:p>
      <w:pPr>
        <w:ind w:firstLine="480" w:firstLineChars="200"/>
        <w:rPr>
          <w:rFonts w:asciiTheme="minorEastAsia" w:hAnsiTheme="minorEastAsia" w:cstheme="minorEastAsia"/>
          <w:snapToGrid w:val="0"/>
          <w:szCs w:val="24"/>
        </w:rPr>
      </w:pPr>
      <w:r>
        <w:rPr>
          <w:rFonts w:hint="eastAsia" w:asciiTheme="minorEastAsia" w:hAnsiTheme="minorEastAsia" w:cstheme="minorEastAsia"/>
          <w:snapToGrid w:val="0"/>
          <w:szCs w:val="24"/>
        </w:rPr>
        <w:t>⑷ 询标记录；</w:t>
      </w:r>
    </w:p>
    <w:p>
      <w:pPr>
        <w:ind w:firstLine="480" w:firstLineChars="200"/>
        <w:rPr>
          <w:rFonts w:asciiTheme="minorEastAsia" w:hAnsiTheme="minorEastAsia" w:cstheme="minorEastAsia"/>
          <w:szCs w:val="24"/>
        </w:rPr>
      </w:pPr>
      <w:r>
        <w:rPr>
          <w:rFonts w:hint="eastAsia" w:asciiTheme="minorEastAsia" w:hAnsiTheme="minorEastAsia" w:cstheme="minorEastAsia"/>
          <w:szCs w:val="24"/>
        </w:rPr>
        <w:t>⑸ 承包候选人的优劣对比和存在问题；</w:t>
      </w:r>
    </w:p>
    <w:p>
      <w:pPr>
        <w:ind w:firstLine="480" w:firstLineChars="200"/>
        <w:rPr>
          <w:rFonts w:asciiTheme="minorEastAsia" w:hAnsiTheme="minorEastAsia" w:cstheme="minorEastAsia"/>
          <w:snapToGrid w:val="0"/>
          <w:szCs w:val="24"/>
        </w:rPr>
      </w:pPr>
      <w:r>
        <w:rPr>
          <w:rFonts w:hint="eastAsia" w:asciiTheme="minorEastAsia" w:hAnsiTheme="minorEastAsia" w:cstheme="minorEastAsia"/>
          <w:snapToGrid w:val="0"/>
          <w:szCs w:val="24"/>
        </w:rPr>
        <w:t>⑹ 其他建议。</w:t>
      </w:r>
    </w:p>
    <w:p>
      <w:pPr>
        <w:ind w:firstLine="480" w:firstLineChars="200"/>
        <w:rPr>
          <w:snapToGrid w:val="0"/>
          <w:szCs w:val="24"/>
        </w:rPr>
        <w:sectPr>
          <w:pgSz w:w="11907" w:h="16840"/>
          <w:pgMar w:top="1474" w:right="1474" w:bottom="1474" w:left="1474" w:header="1304" w:footer="1134" w:gutter="0"/>
          <w:pgBorders>
            <w:top w:val="none" w:sz="0" w:space="0"/>
            <w:left w:val="none" w:sz="0" w:space="0"/>
            <w:bottom w:val="none" w:sz="0" w:space="0"/>
            <w:right w:val="none" w:sz="0" w:space="0"/>
          </w:pgBorders>
          <w:pgNumType w:fmt="decimal" w:chapStyle="1" w:chapSep="hyphen"/>
          <w:cols w:space="720" w:num="1"/>
          <w:docGrid w:type="linesAndChars" w:linePitch="457" w:charSpace="0"/>
        </w:sectPr>
      </w:pPr>
    </w:p>
    <w:bookmarkEnd w:id="114"/>
    <w:bookmarkEnd w:id="115"/>
    <w:bookmarkEnd w:id="116"/>
    <w:bookmarkEnd w:id="117"/>
    <w:bookmarkEnd w:id="118"/>
    <w:bookmarkEnd w:id="119"/>
    <w:bookmarkEnd w:id="120"/>
    <w:bookmarkEnd w:id="121"/>
    <w:bookmarkEnd w:id="123"/>
    <w:bookmarkEnd w:id="124"/>
    <w:bookmarkEnd w:id="125"/>
    <w:bookmarkEnd w:id="126"/>
    <w:p>
      <w:pPr>
        <w:pStyle w:val="5"/>
        <w:spacing w:line="240" w:lineRule="atLeast"/>
        <w:jc w:val="center"/>
        <w:rPr>
          <w:rFonts w:ascii="宋体" w:hAnsi="宋体"/>
          <w:szCs w:val="30"/>
        </w:rPr>
      </w:pPr>
      <w:bookmarkStart w:id="147" w:name="_Toc5635"/>
      <w:bookmarkStart w:id="148" w:name="_Toc271220736"/>
      <w:bookmarkStart w:id="149" w:name="_Toc271200570"/>
      <w:r>
        <w:rPr>
          <w:rFonts w:hint="eastAsia" w:ascii="宋体" w:hAnsi="宋体"/>
          <w:szCs w:val="30"/>
        </w:rPr>
        <w:t>第四章 合同条款及格式</w:t>
      </w:r>
      <w:bookmarkEnd w:id="147"/>
    </w:p>
    <w:p>
      <w:pPr>
        <w:spacing w:line="240" w:lineRule="exact"/>
        <w:rPr>
          <w:rFonts w:ascii="宋体" w:hAnsi="宋体"/>
          <w:b/>
          <w:snapToGrid w:val="0"/>
        </w:rPr>
      </w:pPr>
      <w:bookmarkStart w:id="150" w:name="_Toc46722401"/>
      <w:bookmarkStart w:id="151" w:name="_Toc93414134"/>
      <w:bookmarkStart w:id="152" w:name="_Toc100454626"/>
      <w:bookmarkStart w:id="153" w:name="_Toc51981851"/>
      <w:bookmarkStart w:id="154" w:name="_Toc114720131"/>
      <w:bookmarkStart w:id="155" w:name="_Toc212607204"/>
      <w:bookmarkStart w:id="156" w:name="_Toc42486632"/>
      <w:bookmarkStart w:id="157" w:name="_Toc217819036"/>
      <w:bookmarkStart w:id="158" w:name="_Toc140459351"/>
      <w:bookmarkStart w:id="159" w:name="_Toc134275842"/>
      <w:bookmarkStart w:id="160" w:name="_Toc140459437"/>
    </w:p>
    <w:bookmarkEnd w:id="150"/>
    <w:bookmarkEnd w:id="151"/>
    <w:bookmarkEnd w:id="152"/>
    <w:bookmarkEnd w:id="153"/>
    <w:bookmarkEnd w:id="154"/>
    <w:bookmarkEnd w:id="155"/>
    <w:bookmarkEnd w:id="156"/>
    <w:bookmarkEnd w:id="157"/>
    <w:bookmarkEnd w:id="158"/>
    <w:bookmarkEnd w:id="159"/>
    <w:bookmarkEnd w:id="160"/>
    <w:p>
      <w:pPr>
        <w:pStyle w:val="5"/>
        <w:jc w:val="center"/>
      </w:pPr>
      <w:bookmarkStart w:id="161" w:name="_Toc336325278"/>
      <w:bookmarkStart w:id="162" w:name="_Toc24864"/>
      <w:r>
        <w:t>第一节通用合同条款</w:t>
      </w:r>
      <w:bookmarkEnd w:id="161"/>
      <w:bookmarkEnd w:id="162"/>
    </w:p>
    <w:p>
      <w:pPr>
        <w:spacing w:line="240" w:lineRule="exact"/>
        <w:rPr>
          <w:b/>
          <w:snapToGrid w:val="0"/>
        </w:rPr>
      </w:pPr>
    </w:p>
    <w:p>
      <w:pPr>
        <w:jc w:val="center"/>
        <w:rPr>
          <w:b/>
          <w:snapToGrid w:val="0"/>
          <w:sz w:val="28"/>
          <w:szCs w:val="28"/>
        </w:rPr>
      </w:pPr>
    </w:p>
    <w:p>
      <w:pPr>
        <w:spacing w:line="240" w:lineRule="exact"/>
        <w:rPr>
          <w:rFonts w:ascii="宋体" w:hAnsi="宋体"/>
          <w:snapToGrid w:val="0"/>
          <w:sz w:val="21"/>
          <w:szCs w:val="21"/>
        </w:rPr>
      </w:pPr>
      <w:r>
        <w:rPr>
          <w:rFonts w:hint="eastAsia" w:ascii="宋体" w:hAnsi="宋体"/>
          <w:snapToGrid w:val="0"/>
          <w:sz w:val="21"/>
          <w:szCs w:val="21"/>
        </w:rPr>
        <w:t>通用合同条款全文引用《浙江省水利水电工程施工发包文件示范文本》2014年版的通用合同条款。</w:t>
      </w:r>
    </w:p>
    <w:p>
      <w:pPr>
        <w:pStyle w:val="5"/>
        <w:jc w:val="center"/>
        <w:rPr>
          <w:bCs/>
        </w:rPr>
      </w:pPr>
      <w:bookmarkStart w:id="163" w:name="_Toc93414135"/>
      <w:bookmarkStart w:id="164" w:name="_Toc114720132"/>
      <w:bookmarkStart w:id="165" w:name="_Toc140459438"/>
      <w:bookmarkStart w:id="166" w:name="_Toc140459352"/>
      <w:bookmarkStart w:id="167" w:name="_Toc46722402"/>
      <w:bookmarkStart w:id="168" w:name="_Toc212607205"/>
      <w:bookmarkStart w:id="169" w:name="_Toc336325279"/>
      <w:bookmarkStart w:id="170" w:name="_Toc100454627"/>
      <w:bookmarkStart w:id="171" w:name="_Toc42486633"/>
      <w:bookmarkStart w:id="172" w:name="_Toc51981852"/>
      <w:bookmarkStart w:id="173" w:name="_Toc134275843"/>
      <w:bookmarkStart w:id="174" w:name="_Toc217819037"/>
    </w:p>
    <w:p>
      <w:pPr>
        <w:pStyle w:val="5"/>
        <w:jc w:val="center"/>
        <w:rPr>
          <w:bCs/>
        </w:rPr>
      </w:pPr>
      <w:bookmarkStart w:id="175" w:name="_Toc20098"/>
      <w:r>
        <w:rPr>
          <w:bCs/>
        </w:rPr>
        <w:t>第二节专用合同条款</w:t>
      </w:r>
      <w:bookmarkEnd w:id="163"/>
      <w:bookmarkEnd w:id="164"/>
      <w:bookmarkEnd w:id="165"/>
      <w:bookmarkEnd w:id="166"/>
      <w:bookmarkEnd w:id="167"/>
      <w:bookmarkEnd w:id="168"/>
      <w:bookmarkEnd w:id="169"/>
      <w:bookmarkEnd w:id="170"/>
      <w:bookmarkEnd w:id="171"/>
      <w:bookmarkEnd w:id="172"/>
      <w:bookmarkEnd w:id="173"/>
      <w:bookmarkEnd w:id="174"/>
      <w:bookmarkEnd w:id="175"/>
    </w:p>
    <w:p>
      <w:pPr>
        <w:spacing w:line="240" w:lineRule="exact"/>
        <w:rPr>
          <w:b/>
          <w:snapToGrid w:val="0"/>
        </w:rPr>
      </w:pPr>
    </w:p>
    <w:p>
      <w:pPr>
        <w:pStyle w:val="4"/>
        <w:ind w:firstLine="0"/>
        <w:jc w:val="center"/>
        <w:rPr>
          <w:b/>
          <w:snapToGrid w:val="0"/>
        </w:rPr>
      </w:pPr>
      <w:r>
        <w:rPr>
          <w:b/>
          <w:snapToGrid w:val="0"/>
        </w:rPr>
        <w:t>前言</w:t>
      </w:r>
    </w:p>
    <w:p>
      <w:pPr>
        <w:pStyle w:val="6"/>
        <w:snapToGrid w:val="0"/>
        <w:spacing w:line="360" w:lineRule="exact"/>
        <w:rPr>
          <w:rFonts w:ascii="宋体" w:hAnsi="宋体" w:eastAsia="宋体"/>
          <w:snapToGrid w:val="0"/>
          <w:sz w:val="21"/>
          <w:szCs w:val="21"/>
        </w:rPr>
      </w:pPr>
      <w:bookmarkStart w:id="176" w:name="_Toc335853929"/>
      <w:bookmarkStart w:id="177" w:name="_Toc217819038"/>
      <w:bookmarkStart w:id="178" w:name="_Toc311407684"/>
      <w:bookmarkStart w:id="179" w:name="_Toc405378480"/>
      <w:bookmarkStart w:id="180" w:name="_Toc452839279"/>
      <w:bookmarkStart w:id="181" w:name="_Toc336325280"/>
      <w:bookmarkStart w:id="182" w:name="_Toc21278"/>
      <w:bookmarkStart w:id="183" w:name="_Toc184635098"/>
      <w:r>
        <w:rPr>
          <w:rFonts w:ascii="宋体" w:hAnsi="宋体" w:eastAsia="宋体"/>
          <w:snapToGrid w:val="0"/>
          <w:sz w:val="21"/>
          <w:szCs w:val="21"/>
        </w:rPr>
        <w:t>1．一般约定</w:t>
      </w:r>
      <w:bookmarkEnd w:id="176"/>
      <w:bookmarkEnd w:id="177"/>
      <w:bookmarkEnd w:id="178"/>
      <w:bookmarkEnd w:id="179"/>
      <w:bookmarkEnd w:id="180"/>
      <w:bookmarkEnd w:id="181"/>
      <w:bookmarkEnd w:id="182"/>
      <w:bookmarkEnd w:id="183"/>
    </w:p>
    <w:p>
      <w:pPr>
        <w:pStyle w:val="7"/>
        <w:snapToGrid w:val="0"/>
        <w:spacing w:line="360" w:lineRule="exact"/>
        <w:rPr>
          <w:rFonts w:ascii="宋体" w:hAnsi="宋体" w:eastAsia="宋体"/>
          <w:sz w:val="21"/>
          <w:szCs w:val="21"/>
        </w:rPr>
      </w:pPr>
      <w:r>
        <w:rPr>
          <w:rFonts w:ascii="宋体" w:hAnsi="宋体" w:eastAsia="宋体"/>
          <w:sz w:val="21"/>
          <w:szCs w:val="21"/>
        </w:rPr>
        <w:t>1.1 词语定义</w:t>
      </w:r>
    </w:p>
    <w:p>
      <w:pPr>
        <w:pStyle w:val="11"/>
        <w:snapToGrid w:val="0"/>
        <w:spacing w:line="360" w:lineRule="exact"/>
        <w:ind w:firstLine="420" w:firstLineChars="200"/>
        <w:rPr>
          <w:rFonts w:hAnsi="宋体"/>
          <w:snapToGrid w:val="0"/>
          <w:sz w:val="21"/>
          <w:szCs w:val="21"/>
        </w:rPr>
      </w:pPr>
      <w:r>
        <w:rPr>
          <w:rFonts w:hAnsi="宋体"/>
          <w:snapToGrid w:val="0"/>
          <w:sz w:val="21"/>
          <w:szCs w:val="21"/>
        </w:rPr>
        <w:t xml:space="preserve">1.1.2 </w:t>
      </w:r>
      <w:r>
        <w:rPr>
          <w:rFonts w:hint="eastAsia" w:hAnsi="宋体"/>
          <w:snapToGrid w:val="0"/>
          <w:sz w:val="21"/>
          <w:szCs w:val="21"/>
        </w:rPr>
        <w:t>合同当事人和人员</w:t>
      </w:r>
    </w:p>
    <w:p>
      <w:pPr>
        <w:tabs>
          <w:tab w:val="left" w:pos="360"/>
        </w:tabs>
        <w:snapToGrid w:val="0"/>
        <w:spacing w:line="360" w:lineRule="exact"/>
        <w:ind w:firstLine="420" w:firstLineChars="200"/>
        <w:rPr>
          <w:rFonts w:ascii="宋体" w:hAnsi="宋体"/>
          <w:snapToGrid w:val="0"/>
          <w:sz w:val="21"/>
          <w:szCs w:val="21"/>
        </w:rPr>
      </w:pPr>
      <w:r>
        <w:rPr>
          <w:rFonts w:ascii="宋体" w:hAnsi="宋体"/>
          <w:snapToGrid w:val="0"/>
          <w:sz w:val="21"/>
          <w:szCs w:val="21"/>
        </w:rPr>
        <w:t>1.1.2.2 发包人</w:t>
      </w:r>
      <w:r>
        <w:rPr>
          <w:rFonts w:hint="eastAsia" w:ascii="宋体" w:hAnsi="宋体"/>
          <w:snapToGrid w:val="0"/>
          <w:sz w:val="21"/>
          <w:szCs w:val="21"/>
        </w:rPr>
        <w:t>：</w:t>
      </w:r>
      <w:r>
        <w:rPr>
          <w:rFonts w:hint="eastAsia" w:ascii="宋体" w:hAnsi="宋体"/>
          <w:b/>
          <w:bCs/>
          <w:snapToGrid w:val="0"/>
          <w:sz w:val="21"/>
          <w:szCs w:val="21"/>
          <w:u w:val="single"/>
          <w:lang w:eastAsia="zh-CN"/>
        </w:rPr>
        <w:t>湖州南太湖现代农业综合区开发有限公司</w:t>
      </w:r>
      <w:r>
        <w:rPr>
          <w:rFonts w:hint="eastAsia" w:ascii="宋体" w:hAnsi="宋体"/>
          <w:snapToGrid w:val="0"/>
          <w:sz w:val="21"/>
          <w:szCs w:val="21"/>
        </w:rPr>
        <w:t>。</w:t>
      </w:r>
    </w:p>
    <w:p>
      <w:pPr>
        <w:snapToGrid w:val="0"/>
        <w:spacing w:line="360" w:lineRule="exact"/>
        <w:ind w:firstLine="420" w:firstLineChars="200"/>
        <w:rPr>
          <w:rFonts w:ascii="宋体" w:hAnsi="宋体"/>
          <w:snapToGrid w:val="0"/>
          <w:sz w:val="21"/>
          <w:szCs w:val="21"/>
        </w:rPr>
      </w:pPr>
      <w:r>
        <w:rPr>
          <w:rFonts w:hint="eastAsia" w:ascii="宋体" w:hAnsi="宋体"/>
          <w:snapToGrid w:val="0"/>
          <w:sz w:val="21"/>
          <w:szCs w:val="21"/>
        </w:rPr>
        <w:t>1.1.2.3 承包人：______________________________________（签约后填入）。</w:t>
      </w:r>
    </w:p>
    <w:p>
      <w:pPr>
        <w:snapToGrid w:val="0"/>
        <w:spacing w:line="360" w:lineRule="exact"/>
        <w:ind w:firstLine="420" w:firstLineChars="200"/>
        <w:rPr>
          <w:rFonts w:ascii="宋体" w:hAnsi="宋体"/>
          <w:snapToGrid w:val="0"/>
          <w:sz w:val="21"/>
          <w:szCs w:val="21"/>
        </w:rPr>
      </w:pPr>
      <w:r>
        <w:rPr>
          <w:rFonts w:hint="eastAsia" w:ascii="宋体" w:hAnsi="宋体"/>
          <w:snapToGrid w:val="0"/>
          <w:sz w:val="21"/>
          <w:szCs w:val="21"/>
        </w:rPr>
        <w:t>1.1.2.5 分包人：______________________________________（签约后填入）。</w:t>
      </w:r>
    </w:p>
    <w:p>
      <w:pPr>
        <w:snapToGrid w:val="0"/>
        <w:spacing w:line="360" w:lineRule="exact"/>
        <w:ind w:firstLine="420" w:firstLineChars="200"/>
        <w:rPr>
          <w:rFonts w:ascii="宋体" w:hAnsi="宋体"/>
          <w:snapToGrid w:val="0"/>
          <w:sz w:val="21"/>
          <w:szCs w:val="21"/>
        </w:rPr>
      </w:pPr>
      <w:r>
        <w:rPr>
          <w:rFonts w:hint="eastAsia" w:ascii="宋体" w:hAnsi="宋体"/>
          <w:snapToGrid w:val="0"/>
          <w:sz w:val="21"/>
          <w:szCs w:val="21"/>
        </w:rPr>
        <w:t xml:space="preserve">1.1.2.6 </w:t>
      </w:r>
      <w:r>
        <w:rPr>
          <w:rFonts w:ascii="宋体" w:hAnsi="宋体"/>
          <w:snapToGrid w:val="0"/>
          <w:sz w:val="21"/>
          <w:szCs w:val="21"/>
        </w:rPr>
        <w:t>监理人</w:t>
      </w:r>
      <w:r>
        <w:rPr>
          <w:rFonts w:hint="eastAsia" w:ascii="宋体" w:hAnsi="宋体"/>
          <w:snapToGrid w:val="0"/>
          <w:sz w:val="21"/>
          <w:szCs w:val="21"/>
        </w:rPr>
        <w:t>：_____________________________________。</w:t>
      </w:r>
      <w:bookmarkStart w:id="184" w:name="_Toc134275845"/>
      <w:bookmarkStart w:id="185" w:name="_Toc113763821"/>
      <w:bookmarkStart w:id="186" w:name="_Toc212607207"/>
      <w:bookmarkStart w:id="187" w:name="_Toc118022200"/>
      <w:bookmarkStart w:id="188" w:name="_Toc140459354"/>
      <w:bookmarkStart w:id="189" w:name="_Toc140459440"/>
    </w:p>
    <w:p>
      <w:pPr>
        <w:snapToGrid w:val="0"/>
        <w:spacing w:line="360" w:lineRule="exact"/>
        <w:ind w:firstLine="420" w:firstLineChars="200"/>
        <w:rPr>
          <w:rFonts w:ascii="宋体" w:hAnsi="宋体"/>
          <w:snapToGrid w:val="0"/>
          <w:sz w:val="21"/>
          <w:szCs w:val="21"/>
        </w:rPr>
      </w:pPr>
      <w:r>
        <w:rPr>
          <w:rFonts w:hint="eastAsia" w:ascii="宋体" w:hAnsi="宋体"/>
          <w:snapToGrid w:val="0"/>
          <w:sz w:val="21"/>
          <w:szCs w:val="21"/>
        </w:rPr>
        <w:t>1.1.3 工程和设备</w:t>
      </w:r>
    </w:p>
    <w:p>
      <w:pPr>
        <w:pStyle w:val="7"/>
        <w:snapToGrid w:val="0"/>
        <w:spacing w:line="360" w:lineRule="exact"/>
        <w:ind w:firstLine="420" w:firstLineChars="200"/>
        <w:rPr>
          <w:rFonts w:ascii="宋体" w:hAnsi="宋体" w:eastAsia="宋体"/>
          <w:b w:val="0"/>
          <w:sz w:val="21"/>
          <w:szCs w:val="21"/>
        </w:rPr>
      </w:pPr>
      <w:r>
        <w:rPr>
          <w:rFonts w:hint="eastAsia" w:ascii="宋体" w:hAnsi="宋体" w:eastAsia="宋体"/>
          <w:b w:val="0"/>
          <w:sz w:val="21"/>
          <w:szCs w:val="21"/>
        </w:rPr>
        <w:t>1.1.3.4 单位工程：指经工程质量监督机构确认的工程项目划分表中确定的具有独立发挥作用</w:t>
      </w:r>
    </w:p>
    <w:p>
      <w:pPr>
        <w:pStyle w:val="7"/>
        <w:snapToGrid w:val="0"/>
        <w:spacing w:line="360" w:lineRule="exact"/>
        <w:rPr>
          <w:rFonts w:ascii="宋体" w:hAnsi="宋体" w:eastAsia="宋体"/>
          <w:b w:val="0"/>
          <w:sz w:val="21"/>
          <w:szCs w:val="21"/>
        </w:rPr>
      </w:pPr>
      <w:r>
        <w:rPr>
          <w:rFonts w:hint="eastAsia" w:ascii="宋体" w:hAnsi="宋体" w:eastAsia="宋体"/>
          <w:b w:val="0"/>
          <w:sz w:val="21"/>
          <w:szCs w:val="21"/>
        </w:rPr>
        <w:t>或独立施工条件的永久建筑物。</w:t>
      </w:r>
    </w:p>
    <w:p>
      <w:pPr>
        <w:pStyle w:val="7"/>
        <w:snapToGrid w:val="0"/>
        <w:spacing w:line="360" w:lineRule="exact"/>
        <w:ind w:firstLine="420" w:firstLineChars="200"/>
        <w:rPr>
          <w:rFonts w:ascii="宋体" w:hAnsi="宋体" w:eastAsia="宋体"/>
          <w:b w:val="0"/>
          <w:sz w:val="21"/>
          <w:szCs w:val="21"/>
        </w:rPr>
      </w:pPr>
      <w:r>
        <w:rPr>
          <w:rFonts w:hint="eastAsia" w:ascii="宋体" w:hAnsi="宋体" w:eastAsia="宋体"/>
          <w:b w:val="0"/>
          <w:sz w:val="21"/>
          <w:szCs w:val="21"/>
        </w:rPr>
        <w:t>1.1.4 日期</w:t>
      </w:r>
    </w:p>
    <w:p>
      <w:pPr>
        <w:pStyle w:val="7"/>
        <w:snapToGrid w:val="0"/>
        <w:spacing w:line="360" w:lineRule="exact"/>
        <w:ind w:firstLine="420" w:firstLineChars="200"/>
        <w:rPr>
          <w:rFonts w:ascii="宋体" w:hAnsi="宋体" w:eastAsia="宋体"/>
          <w:b w:val="0"/>
          <w:sz w:val="21"/>
          <w:szCs w:val="21"/>
        </w:rPr>
      </w:pPr>
      <w:r>
        <w:rPr>
          <w:rFonts w:hint="eastAsia" w:ascii="宋体" w:hAnsi="宋体" w:eastAsia="宋体"/>
          <w:b w:val="0"/>
          <w:sz w:val="21"/>
          <w:szCs w:val="21"/>
        </w:rPr>
        <w:t>1.1.4.5</w:t>
      </w:r>
      <w:r>
        <w:t>缺陷责任期（工程质量保修期）</w:t>
      </w:r>
      <w:r>
        <w:rPr>
          <w:rFonts w:hint="eastAsia"/>
        </w:rPr>
        <w:t>为：</w:t>
      </w:r>
      <w:r>
        <w:rPr>
          <w:rFonts w:hint="eastAsia" w:ascii="宋体" w:hAnsi="宋体" w:eastAsia="宋体"/>
          <w:b w:val="0"/>
          <w:sz w:val="21"/>
          <w:szCs w:val="21"/>
          <w:u w:val="single"/>
        </w:rPr>
        <w:t xml:space="preserve"> 1 </w:t>
      </w:r>
      <w:r>
        <w:rPr>
          <w:rFonts w:hint="eastAsia" w:ascii="宋体" w:hAnsi="宋体" w:eastAsia="宋体"/>
          <w:b w:val="0"/>
          <w:sz w:val="21"/>
          <w:szCs w:val="21"/>
        </w:rPr>
        <w:t>年。</w:t>
      </w:r>
    </w:p>
    <w:p>
      <w:pPr>
        <w:pStyle w:val="7"/>
        <w:snapToGrid w:val="0"/>
        <w:spacing w:line="360" w:lineRule="exact"/>
        <w:ind w:firstLine="420" w:firstLineChars="200"/>
        <w:rPr>
          <w:rFonts w:ascii="宋体" w:hAnsi="宋体" w:eastAsia="宋体"/>
          <w:b w:val="0"/>
          <w:sz w:val="21"/>
          <w:szCs w:val="21"/>
        </w:rPr>
      </w:pPr>
      <w:r>
        <w:rPr>
          <w:rFonts w:hint="eastAsia" w:ascii="宋体" w:hAnsi="宋体" w:eastAsia="宋体"/>
          <w:b w:val="0"/>
          <w:sz w:val="21"/>
          <w:szCs w:val="21"/>
        </w:rPr>
        <w:t>1.1.6 其他</w:t>
      </w:r>
    </w:p>
    <w:p>
      <w:pPr>
        <w:pStyle w:val="7"/>
        <w:snapToGrid w:val="0"/>
        <w:spacing w:line="360" w:lineRule="exact"/>
        <w:ind w:firstLine="420" w:firstLineChars="200"/>
        <w:rPr>
          <w:rFonts w:ascii="宋体" w:hAnsi="宋体" w:eastAsia="宋体"/>
          <w:b w:val="0"/>
          <w:sz w:val="21"/>
          <w:szCs w:val="21"/>
        </w:rPr>
      </w:pPr>
      <w:r>
        <w:rPr>
          <w:rFonts w:hint="eastAsia" w:ascii="宋体" w:hAnsi="宋体" w:eastAsia="宋体"/>
          <w:b w:val="0"/>
          <w:sz w:val="21"/>
          <w:szCs w:val="21"/>
        </w:rPr>
        <w:t>1.1.6.2 完工验收：指《水利水电建设工程验收规程》中的合同工程完工验收。通用合同条款</w:t>
      </w:r>
    </w:p>
    <w:p>
      <w:pPr>
        <w:pStyle w:val="7"/>
        <w:snapToGrid w:val="0"/>
        <w:spacing w:line="360" w:lineRule="exact"/>
        <w:rPr>
          <w:rFonts w:ascii="宋体" w:hAnsi="宋体" w:eastAsia="宋体"/>
          <w:b w:val="0"/>
          <w:sz w:val="21"/>
          <w:szCs w:val="21"/>
        </w:rPr>
      </w:pPr>
      <w:r>
        <w:rPr>
          <w:rFonts w:hint="eastAsia" w:ascii="宋体" w:hAnsi="宋体" w:eastAsia="宋体"/>
          <w:b w:val="0"/>
          <w:sz w:val="21"/>
          <w:szCs w:val="21"/>
        </w:rPr>
        <w:t>中“竣工验收”一词具有相同含义。</w:t>
      </w:r>
    </w:p>
    <w:p>
      <w:pPr>
        <w:pStyle w:val="7"/>
        <w:snapToGrid w:val="0"/>
        <w:spacing w:line="360" w:lineRule="exact"/>
        <w:rPr>
          <w:rFonts w:ascii="宋体" w:hAnsi="宋体" w:eastAsia="宋体"/>
          <w:sz w:val="21"/>
          <w:szCs w:val="21"/>
        </w:rPr>
      </w:pPr>
      <w:r>
        <w:rPr>
          <w:rFonts w:ascii="宋体" w:hAnsi="宋体" w:eastAsia="宋体"/>
          <w:sz w:val="21"/>
          <w:szCs w:val="21"/>
        </w:rPr>
        <w:t>1.4 合同文件的优先顺序</w:t>
      </w:r>
      <w:bookmarkEnd w:id="184"/>
      <w:bookmarkEnd w:id="185"/>
      <w:bookmarkEnd w:id="186"/>
      <w:bookmarkEnd w:id="187"/>
      <w:bookmarkEnd w:id="188"/>
      <w:bookmarkEnd w:id="189"/>
    </w:p>
    <w:p>
      <w:pPr>
        <w:snapToGrid w:val="0"/>
        <w:spacing w:line="360" w:lineRule="exact"/>
        <w:ind w:firstLine="420" w:firstLineChars="200"/>
        <w:rPr>
          <w:rFonts w:ascii="宋体" w:hAnsi="宋体"/>
          <w:sz w:val="21"/>
          <w:szCs w:val="21"/>
        </w:rPr>
      </w:pPr>
      <w:bookmarkStart w:id="190" w:name="_Toc217819044"/>
      <w:bookmarkStart w:id="191" w:name="_Toc184635099"/>
      <w:r>
        <w:rPr>
          <w:rFonts w:hint="eastAsia" w:ascii="宋体" w:hAnsi="宋体"/>
          <w:sz w:val="21"/>
          <w:szCs w:val="21"/>
        </w:rPr>
        <w:t>除合同另有规定外，解释合同文件的优先顺序如下：</w:t>
      </w:r>
    </w:p>
    <w:p>
      <w:pPr>
        <w:pStyle w:val="11"/>
        <w:snapToGrid w:val="0"/>
        <w:spacing w:line="360" w:lineRule="exact"/>
        <w:ind w:firstLine="325" w:firstLineChars="155"/>
        <w:rPr>
          <w:rFonts w:hAnsi="宋体"/>
          <w:snapToGrid w:val="0"/>
          <w:sz w:val="21"/>
          <w:szCs w:val="21"/>
        </w:rPr>
      </w:pPr>
      <w:r>
        <w:rPr>
          <w:rFonts w:hint="eastAsia" w:hAnsi="宋体"/>
          <w:snapToGrid w:val="0"/>
          <w:sz w:val="21"/>
          <w:szCs w:val="21"/>
        </w:rPr>
        <w:t xml:space="preserve"> (1) 合同协议书（包括补充协议书）；</w:t>
      </w:r>
    </w:p>
    <w:p>
      <w:pPr>
        <w:pStyle w:val="11"/>
        <w:snapToGrid w:val="0"/>
        <w:spacing w:line="360" w:lineRule="exact"/>
        <w:ind w:firstLine="420" w:firstLineChars="200"/>
        <w:rPr>
          <w:rFonts w:hAnsi="宋体"/>
          <w:snapToGrid w:val="0"/>
          <w:sz w:val="21"/>
          <w:szCs w:val="21"/>
        </w:rPr>
      </w:pPr>
      <w:r>
        <w:rPr>
          <w:rFonts w:hint="eastAsia" w:hAnsi="宋体"/>
          <w:snapToGrid w:val="0"/>
          <w:sz w:val="21"/>
          <w:szCs w:val="21"/>
        </w:rPr>
        <w:t>(2) 成交通知书；</w:t>
      </w:r>
    </w:p>
    <w:p>
      <w:pPr>
        <w:pStyle w:val="11"/>
        <w:snapToGrid w:val="0"/>
        <w:spacing w:line="360" w:lineRule="exact"/>
        <w:ind w:firstLine="420" w:firstLineChars="200"/>
        <w:rPr>
          <w:rFonts w:hAnsi="宋体"/>
          <w:snapToGrid w:val="0"/>
          <w:sz w:val="21"/>
          <w:szCs w:val="21"/>
        </w:rPr>
      </w:pPr>
      <w:r>
        <w:rPr>
          <w:rFonts w:hint="eastAsia" w:hAnsi="宋体"/>
          <w:snapToGrid w:val="0"/>
          <w:sz w:val="21"/>
          <w:szCs w:val="21"/>
        </w:rPr>
        <w:t>(3) 竞包函；</w:t>
      </w:r>
    </w:p>
    <w:p>
      <w:pPr>
        <w:pStyle w:val="11"/>
        <w:snapToGrid w:val="0"/>
        <w:spacing w:line="360" w:lineRule="exact"/>
        <w:ind w:firstLine="420" w:firstLineChars="200"/>
        <w:rPr>
          <w:rFonts w:hAnsi="宋体"/>
          <w:snapToGrid w:val="0"/>
          <w:sz w:val="21"/>
          <w:szCs w:val="21"/>
        </w:rPr>
      </w:pPr>
      <w:r>
        <w:rPr>
          <w:rFonts w:hint="eastAsia" w:hAnsi="宋体"/>
          <w:snapToGrid w:val="0"/>
          <w:sz w:val="21"/>
          <w:szCs w:val="21"/>
        </w:rPr>
        <w:t>(4) 发竞包澄清问题、澄清问题的复函、补充通知等相关资料；</w:t>
      </w:r>
    </w:p>
    <w:p>
      <w:pPr>
        <w:pStyle w:val="11"/>
        <w:snapToGrid w:val="0"/>
        <w:spacing w:line="360" w:lineRule="exact"/>
        <w:ind w:firstLine="420" w:firstLineChars="200"/>
        <w:rPr>
          <w:rFonts w:hAnsi="宋体"/>
          <w:snapToGrid w:val="0"/>
          <w:sz w:val="21"/>
          <w:szCs w:val="21"/>
        </w:rPr>
      </w:pPr>
      <w:r>
        <w:rPr>
          <w:rFonts w:hint="eastAsia" w:hAnsi="宋体"/>
          <w:snapToGrid w:val="0"/>
          <w:sz w:val="21"/>
          <w:szCs w:val="21"/>
        </w:rPr>
        <w:t>(5) 专用合同条款；</w:t>
      </w:r>
    </w:p>
    <w:p>
      <w:pPr>
        <w:pStyle w:val="11"/>
        <w:snapToGrid w:val="0"/>
        <w:spacing w:line="360" w:lineRule="exact"/>
        <w:ind w:firstLine="420" w:firstLineChars="200"/>
        <w:rPr>
          <w:rFonts w:hAnsi="宋体"/>
          <w:snapToGrid w:val="0"/>
          <w:sz w:val="21"/>
          <w:szCs w:val="21"/>
        </w:rPr>
      </w:pPr>
      <w:r>
        <w:rPr>
          <w:rFonts w:hint="eastAsia" w:hAnsi="宋体"/>
          <w:snapToGrid w:val="0"/>
          <w:sz w:val="21"/>
          <w:szCs w:val="21"/>
        </w:rPr>
        <w:t>(6) 通用合同条款；</w:t>
      </w:r>
    </w:p>
    <w:p>
      <w:pPr>
        <w:pStyle w:val="11"/>
        <w:snapToGrid w:val="0"/>
        <w:spacing w:line="360" w:lineRule="exact"/>
        <w:ind w:firstLine="420" w:firstLineChars="200"/>
        <w:rPr>
          <w:rFonts w:hAnsi="宋体"/>
          <w:snapToGrid w:val="0"/>
          <w:sz w:val="21"/>
          <w:szCs w:val="21"/>
        </w:rPr>
      </w:pPr>
      <w:r>
        <w:rPr>
          <w:rFonts w:hint="eastAsia" w:hAnsi="宋体"/>
          <w:snapToGrid w:val="0"/>
          <w:sz w:val="21"/>
          <w:szCs w:val="21"/>
        </w:rPr>
        <w:t>(7) 技术标准和要求；</w:t>
      </w:r>
    </w:p>
    <w:p>
      <w:pPr>
        <w:pStyle w:val="11"/>
        <w:snapToGrid w:val="0"/>
        <w:spacing w:line="360" w:lineRule="exact"/>
        <w:ind w:firstLine="420" w:firstLineChars="200"/>
        <w:rPr>
          <w:rFonts w:hAnsi="宋体"/>
          <w:snapToGrid w:val="0"/>
          <w:sz w:val="21"/>
          <w:szCs w:val="21"/>
        </w:rPr>
      </w:pPr>
      <w:r>
        <w:rPr>
          <w:rFonts w:hint="eastAsia" w:hAnsi="宋体"/>
          <w:snapToGrid w:val="0"/>
          <w:sz w:val="21"/>
          <w:szCs w:val="21"/>
        </w:rPr>
        <w:t>(8) 图纸；</w:t>
      </w:r>
    </w:p>
    <w:p>
      <w:pPr>
        <w:pStyle w:val="11"/>
        <w:snapToGrid w:val="0"/>
        <w:spacing w:line="360" w:lineRule="exact"/>
        <w:ind w:firstLine="420" w:firstLineChars="200"/>
        <w:rPr>
          <w:rFonts w:hAnsi="宋体"/>
          <w:snapToGrid w:val="0"/>
          <w:sz w:val="21"/>
          <w:szCs w:val="21"/>
        </w:rPr>
      </w:pPr>
      <w:r>
        <w:rPr>
          <w:rFonts w:hint="eastAsia" w:hAnsi="宋体"/>
          <w:snapToGrid w:val="0"/>
          <w:sz w:val="21"/>
          <w:szCs w:val="21"/>
        </w:rPr>
        <w:t>(9) 已标价的工程量清单</w:t>
      </w:r>
      <w:r>
        <w:rPr>
          <w:rFonts w:hint="eastAsia" w:cs="宋体"/>
          <w:sz w:val="21"/>
          <w:szCs w:val="21"/>
        </w:rPr>
        <w:t>；</w:t>
      </w:r>
    </w:p>
    <w:p>
      <w:pPr>
        <w:snapToGrid w:val="0"/>
        <w:spacing w:line="360" w:lineRule="exact"/>
        <w:ind w:firstLine="420" w:firstLineChars="200"/>
        <w:rPr>
          <w:rFonts w:ascii="宋体" w:hAnsi="宋体"/>
          <w:snapToGrid w:val="0"/>
          <w:sz w:val="21"/>
          <w:szCs w:val="21"/>
        </w:rPr>
      </w:pPr>
      <w:r>
        <w:rPr>
          <w:rFonts w:hint="eastAsia" w:ascii="宋体" w:hAnsi="宋体"/>
          <w:snapToGrid w:val="0"/>
          <w:sz w:val="21"/>
          <w:szCs w:val="21"/>
        </w:rPr>
        <w:t>(10) 经双方确认进入合同的其他文件。</w:t>
      </w:r>
    </w:p>
    <w:p>
      <w:pPr>
        <w:pStyle w:val="11"/>
        <w:snapToGrid w:val="0"/>
        <w:spacing w:line="360" w:lineRule="exact"/>
        <w:rPr>
          <w:rFonts w:hAnsi="宋体"/>
          <w:sz w:val="21"/>
          <w:szCs w:val="21"/>
        </w:rPr>
      </w:pPr>
      <w:r>
        <w:rPr>
          <w:rFonts w:hAnsi="宋体"/>
          <w:sz w:val="21"/>
          <w:szCs w:val="21"/>
        </w:rPr>
        <w:t>1.</w:t>
      </w:r>
      <w:r>
        <w:rPr>
          <w:rFonts w:hint="eastAsia" w:hAnsi="宋体"/>
          <w:sz w:val="21"/>
          <w:szCs w:val="21"/>
        </w:rPr>
        <w:t>7联络</w:t>
      </w:r>
    </w:p>
    <w:p>
      <w:pPr>
        <w:pStyle w:val="11"/>
        <w:snapToGrid w:val="0"/>
        <w:spacing w:line="360" w:lineRule="exact"/>
        <w:ind w:firstLine="420" w:firstLineChars="200"/>
        <w:rPr>
          <w:rFonts w:hAnsi="宋体"/>
          <w:snapToGrid w:val="0"/>
          <w:sz w:val="21"/>
          <w:szCs w:val="21"/>
        </w:rPr>
      </w:pPr>
      <w:r>
        <w:rPr>
          <w:rFonts w:hint="eastAsia" w:hAnsi="宋体"/>
          <w:snapToGrid w:val="0"/>
          <w:sz w:val="21"/>
          <w:szCs w:val="21"/>
        </w:rPr>
        <w:t>1.7.2 来往函件均应按技术标准和要求（合同技术条款）约定的期限送达</w:t>
      </w:r>
      <w:r>
        <w:rPr>
          <w:rFonts w:hint="eastAsia" w:hAnsi="宋体" w:eastAsiaTheme="minorEastAsia"/>
          <w:kern w:val="0"/>
          <w:sz w:val="21"/>
          <w:szCs w:val="21"/>
          <w:u w:val="single"/>
        </w:rPr>
        <w:t>发包单位</w:t>
      </w:r>
      <w:r>
        <w:rPr>
          <w:rFonts w:hint="eastAsia" w:hAnsi="宋体" w:eastAsiaTheme="minorEastAsia"/>
          <w:kern w:val="0"/>
          <w:sz w:val="21"/>
          <w:szCs w:val="21"/>
        </w:rPr>
        <w:t>。</w:t>
      </w:r>
    </w:p>
    <w:p>
      <w:pPr>
        <w:pStyle w:val="6"/>
        <w:snapToGrid w:val="0"/>
        <w:spacing w:line="360" w:lineRule="exact"/>
        <w:rPr>
          <w:rFonts w:ascii="宋体" w:hAnsi="宋体" w:eastAsia="宋体"/>
          <w:snapToGrid w:val="0"/>
          <w:sz w:val="21"/>
          <w:szCs w:val="21"/>
        </w:rPr>
      </w:pPr>
      <w:bookmarkStart w:id="192" w:name="_Toc335853930"/>
      <w:bookmarkStart w:id="193" w:name="_Toc29743"/>
      <w:bookmarkStart w:id="194" w:name="_Toc336325281"/>
      <w:bookmarkStart w:id="195" w:name="_Toc452839280"/>
      <w:bookmarkStart w:id="196" w:name="_Toc405378481"/>
      <w:bookmarkStart w:id="197" w:name="_Toc311407685"/>
      <w:r>
        <w:rPr>
          <w:rFonts w:ascii="宋体" w:hAnsi="宋体" w:eastAsia="宋体"/>
          <w:snapToGrid w:val="0"/>
          <w:sz w:val="21"/>
          <w:szCs w:val="21"/>
        </w:rPr>
        <w:t>2．发包人义务</w:t>
      </w:r>
      <w:bookmarkEnd w:id="190"/>
      <w:bookmarkEnd w:id="191"/>
      <w:bookmarkEnd w:id="192"/>
      <w:bookmarkEnd w:id="193"/>
      <w:bookmarkEnd w:id="194"/>
      <w:bookmarkEnd w:id="195"/>
      <w:bookmarkEnd w:id="196"/>
      <w:bookmarkEnd w:id="197"/>
    </w:p>
    <w:p>
      <w:pPr>
        <w:pStyle w:val="7"/>
        <w:snapToGrid w:val="0"/>
        <w:spacing w:line="360" w:lineRule="exact"/>
        <w:rPr>
          <w:rFonts w:ascii="宋体" w:hAnsi="宋体" w:eastAsia="宋体"/>
          <w:sz w:val="21"/>
          <w:szCs w:val="21"/>
        </w:rPr>
      </w:pPr>
      <w:bookmarkStart w:id="198" w:name="_Toc211414960"/>
      <w:r>
        <w:rPr>
          <w:rFonts w:ascii="宋体" w:hAnsi="宋体" w:eastAsia="宋体"/>
          <w:sz w:val="21"/>
          <w:szCs w:val="21"/>
        </w:rPr>
        <w:t>2.3 提供施工场地</w:t>
      </w:r>
    </w:p>
    <w:bookmarkEnd w:id="198"/>
    <w:p>
      <w:pPr>
        <w:snapToGrid w:val="0"/>
        <w:spacing w:line="360" w:lineRule="exact"/>
        <w:ind w:firstLine="420" w:firstLineChars="200"/>
        <w:rPr>
          <w:rFonts w:ascii="宋体" w:hAnsi="宋体"/>
          <w:snapToGrid w:val="0"/>
          <w:sz w:val="21"/>
          <w:szCs w:val="21"/>
        </w:rPr>
      </w:pPr>
      <w:bookmarkStart w:id="199" w:name="_Toc336325282"/>
      <w:bookmarkStart w:id="200" w:name="_Toc217819045"/>
      <w:bookmarkStart w:id="201" w:name="_Toc311407686"/>
      <w:bookmarkStart w:id="202" w:name="_Toc405378482"/>
      <w:bookmarkStart w:id="203" w:name="_Toc335853931"/>
      <w:r>
        <w:rPr>
          <w:rFonts w:hint="eastAsia" w:ascii="宋体" w:hAnsi="宋体"/>
          <w:snapToGrid w:val="0"/>
          <w:sz w:val="21"/>
          <w:szCs w:val="21"/>
        </w:rPr>
        <w:t>删去本款全文，并代之以：</w:t>
      </w:r>
    </w:p>
    <w:p>
      <w:pPr>
        <w:snapToGrid w:val="0"/>
        <w:spacing w:line="360" w:lineRule="exact"/>
        <w:ind w:firstLine="420" w:firstLineChars="200"/>
        <w:rPr>
          <w:rFonts w:ascii="宋体" w:hAnsi="宋体"/>
          <w:snapToGrid w:val="0"/>
          <w:sz w:val="21"/>
          <w:szCs w:val="21"/>
        </w:rPr>
      </w:pPr>
      <w:r>
        <w:rPr>
          <w:rFonts w:hint="eastAsia" w:ascii="宋体" w:hAnsi="宋体"/>
          <w:snapToGrid w:val="0"/>
          <w:sz w:val="21"/>
          <w:szCs w:val="21"/>
          <w:u w:val="single"/>
        </w:rPr>
        <w:t>发包人向承包人提供施工用地，</w:t>
      </w:r>
      <w:r>
        <w:rPr>
          <w:rFonts w:ascii="宋体" w:hAnsi="宋体"/>
          <w:sz w:val="21"/>
          <w:szCs w:val="21"/>
          <w:u w:val="single"/>
        </w:rPr>
        <w:t>承包人应无条件接受现场条件。超出上述范围需要使用的场地，均由承包人自行解</w:t>
      </w:r>
      <w:r>
        <w:rPr>
          <w:rFonts w:hint="eastAsia" w:ascii="宋体" w:hAnsi="宋体"/>
          <w:sz w:val="21"/>
          <w:szCs w:val="21"/>
          <w:u w:val="single"/>
        </w:rPr>
        <w:t>决。</w:t>
      </w:r>
    </w:p>
    <w:p>
      <w:pPr>
        <w:pStyle w:val="6"/>
        <w:snapToGrid w:val="0"/>
        <w:spacing w:line="360" w:lineRule="exact"/>
        <w:rPr>
          <w:rFonts w:ascii="宋体" w:hAnsi="宋体" w:eastAsia="宋体"/>
          <w:snapToGrid w:val="0"/>
          <w:sz w:val="21"/>
          <w:szCs w:val="21"/>
        </w:rPr>
      </w:pPr>
      <w:bookmarkStart w:id="204" w:name="_Toc1214"/>
      <w:bookmarkStart w:id="205" w:name="_Toc452839281"/>
      <w:r>
        <w:rPr>
          <w:rFonts w:ascii="宋体" w:hAnsi="宋体" w:eastAsia="宋体"/>
          <w:snapToGrid w:val="0"/>
          <w:sz w:val="21"/>
          <w:szCs w:val="21"/>
        </w:rPr>
        <w:t>3监理人</w:t>
      </w:r>
      <w:bookmarkEnd w:id="199"/>
      <w:bookmarkEnd w:id="200"/>
      <w:bookmarkEnd w:id="201"/>
      <w:bookmarkEnd w:id="202"/>
      <w:bookmarkEnd w:id="203"/>
      <w:bookmarkEnd w:id="204"/>
      <w:bookmarkEnd w:id="205"/>
    </w:p>
    <w:p>
      <w:pPr>
        <w:pStyle w:val="7"/>
        <w:snapToGrid w:val="0"/>
        <w:spacing w:line="360" w:lineRule="exact"/>
        <w:rPr>
          <w:rFonts w:ascii="宋体" w:hAnsi="宋体" w:eastAsia="宋体"/>
          <w:sz w:val="21"/>
          <w:szCs w:val="21"/>
        </w:rPr>
      </w:pPr>
      <w:bookmarkStart w:id="206" w:name="_Toc118022205"/>
      <w:bookmarkStart w:id="207" w:name="_Toc211414965"/>
      <w:bookmarkStart w:id="208" w:name="_Toc134275850"/>
      <w:bookmarkStart w:id="209" w:name="_Toc140459445"/>
      <w:bookmarkStart w:id="210" w:name="_Toc140459359"/>
      <w:bookmarkStart w:id="211" w:name="_Toc113763826"/>
      <w:r>
        <w:rPr>
          <w:rFonts w:ascii="宋体" w:hAnsi="宋体" w:eastAsia="宋体"/>
          <w:sz w:val="21"/>
          <w:szCs w:val="21"/>
        </w:rPr>
        <w:t xml:space="preserve">3.1 </w:t>
      </w:r>
      <w:bookmarkEnd w:id="206"/>
      <w:bookmarkEnd w:id="207"/>
      <w:bookmarkEnd w:id="208"/>
      <w:bookmarkEnd w:id="209"/>
      <w:bookmarkEnd w:id="210"/>
      <w:bookmarkEnd w:id="211"/>
      <w:bookmarkStart w:id="212" w:name="_Toc113763827"/>
      <w:bookmarkStart w:id="213" w:name="_Toc118022206"/>
      <w:r>
        <w:rPr>
          <w:rFonts w:ascii="宋体" w:hAnsi="宋体" w:eastAsia="宋体"/>
          <w:sz w:val="21"/>
          <w:szCs w:val="21"/>
        </w:rPr>
        <w:t>监理人的职责和权力</w:t>
      </w:r>
      <w:bookmarkEnd w:id="212"/>
      <w:bookmarkEnd w:id="213"/>
    </w:p>
    <w:p>
      <w:pPr>
        <w:snapToGrid w:val="0"/>
        <w:spacing w:line="360" w:lineRule="exact"/>
        <w:ind w:firstLine="420" w:firstLineChars="200"/>
        <w:rPr>
          <w:rFonts w:ascii="宋体" w:hAnsi="宋体"/>
          <w:snapToGrid w:val="0"/>
          <w:sz w:val="21"/>
          <w:szCs w:val="21"/>
        </w:rPr>
      </w:pPr>
      <w:r>
        <w:rPr>
          <w:rFonts w:hint="eastAsia" w:ascii="宋体" w:hAnsi="宋体"/>
          <w:snapToGrid w:val="0"/>
          <w:sz w:val="21"/>
          <w:szCs w:val="21"/>
        </w:rPr>
        <w:t>3.1.1</w:t>
      </w:r>
      <w:r>
        <w:rPr>
          <w:rFonts w:ascii="宋体" w:cs="宋体"/>
          <w:sz w:val="21"/>
          <w:szCs w:val="21"/>
        </w:rPr>
        <w:t xml:space="preserve"> 3.1.1</w:t>
      </w:r>
      <w:r>
        <w:rPr>
          <w:rFonts w:hint="eastAsia" w:ascii="宋体" w:cs="宋体"/>
          <w:sz w:val="21"/>
          <w:szCs w:val="21"/>
        </w:rPr>
        <w:t>监理人须根据发包人事先批准的权力范围行使权力，发包人批准的权利范围：</w:t>
      </w:r>
    </w:p>
    <w:p>
      <w:pPr>
        <w:pStyle w:val="45"/>
        <w:snapToGrid w:val="0"/>
        <w:spacing w:line="360" w:lineRule="exact"/>
        <w:ind w:left="360" w:firstLine="0" w:firstLineChars="0"/>
        <w:jc w:val="left"/>
        <w:rPr>
          <w:rFonts w:ascii="宋体" w:hAnsi="宋体"/>
          <w:szCs w:val="21"/>
        </w:rPr>
      </w:pPr>
      <w:r>
        <w:rPr>
          <w:rFonts w:hint="eastAsia" w:ascii="宋体" w:hAnsi="宋体"/>
          <w:szCs w:val="21"/>
        </w:rPr>
        <w:t>（1）按第4.3款约定，批准工程的分包；</w:t>
      </w:r>
    </w:p>
    <w:p>
      <w:pPr>
        <w:pStyle w:val="45"/>
        <w:snapToGrid w:val="0"/>
        <w:spacing w:line="360" w:lineRule="exact"/>
        <w:ind w:left="360" w:firstLine="0" w:firstLineChars="0"/>
        <w:jc w:val="left"/>
        <w:rPr>
          <w:rFonts w:ascii="宋体" w:hAnsi="宋体"/>
          <w:szCs w:val="21"/>
        </w:rPr>
      </w:pPr>
      <w:r>
        <w:rPr>
          <w:rFonts w:hint="eastAsia" w:ascii="宋体" w:hAnsi="宋体"/>
          <w:szCs w:val="21"/>
        </w:rPr>
        <w:t>（2）按第11.3款约定，确定延长完工期限；</w:t>
      </w:r>
    </w:p>
    <w:p>
      <w:pPr>
        <w:pStyle w:val="45"/>
        <w:snapToGrid w:val="0"/>
        <w:spacing w:line="360" w:lineRule="exact"/>
        <w:ind w:left="360" w:firstLine="0" w:firstLineChars="0"/>
        <w:jc w:val="left"/>
        <w:rPr>
          <w:rFonts w:ascii="宋体" w:hAnsi="宋体"/>
          <w:szCs w:val="21"/>
        </w:rPr>
      </w:pPr>
      <w:r>
        <w:rPr>
          <w:rFonts w:hint="eastAsia" w:ascii="宋体" w:hAnsi="宋体"/>
          <w:snapToGrid w:val="0"/>
          <w:szCs w:val="21"/>
        </w:rPr>
        <w:t>（3）按第15.4条规定，因变更而变动的单价和合价；</w:t>
      </w:r>
    </w:p>
    <w:p>
      <w:pPr>
        <w:pStyle w:val="45"/>
        <w:snapToGrid w:val="0"/>
        <w:spacing w:line="360" w:lineRule="exact"/>
        <w:ind w:left="360" w:firstLine="0" w:firstLineChars="0"/>
        <w:jc w:val="left"/>
        <w:rPr>
          <w:rFonts w:ascii="宋体" w:hAnsi="宋体"/>
          <w:szCs w:val="21"/>
        </w:rPr>
      </w:pPr>
      <w:r>
        <w:rPr>
          <w:rFonts w:hint="eastAsia" w:ascii="宋体" w:hAnsi="宋体"/>
          <w:szCs w:val="21"/>
        </w:rPr>
        <w:t>（4）按第15.6款约定，批准暂列金额的使用；</w:t>
      </w:r>
    </w:p>
    <w:p>
      <w:pPr>
        <w:pStyle w:val="45"/>
        <w:snapToGrid w:val="0"/>
        <w:spacing w:line="360" w:lineRule="exact"/>
        <w:ind w:left="360" w:firstLine="0" w:firstLineChars="0"/>
        <w:jc w:val="left"/>
        <w:rPr>
          <w:rFonts w:ascii="宋体" w:hAnsi="宋体"/>
          <w:szCs w:val="21"/>
        </w:rPr>
      </w:pPr>
      <w:r>
        <w:rPr>
          <w:rFonts w:hint="eastAsia" w:ascii="宋体" w:hAnsi="宋体"/>
          <w:szCs w:val="21"/>
        </w:rPr>
        <w:t>（5）按第23款约定，索赔的处理；</w:t>
      </w:r>
    </w:p>
    <w:p>
      <w:pPr>
        <w:snapToGrid w:val="0"/>
        <w:spacing w:line="360" w:lineRule="exact"/>
        <w:ind w:firstLine="315" w:firstLineChars="150"/>
        <w:rPr>
          <w:rFonts w:ascii="宋体" w:hAnsi="宋体"/>
          <w:snapToGrid w:val="0"/>
          <w:sz w:val="21"/>
          <w:szCs w:val="21"/>
        </w:rPr>
      </w:pPr>
      <w:r>
        <w:rPr>
          <w:rFonts w:hint="eastAsia" w:ascii="宋体" w:hAnsi="宋体"/>
          <w:snapToGrid w:val="0"/>
          <w:sz w:val="21"/>
          <w:szCs w:val="21"/>
        </w:rPr>
        <w:t>（6）承包人主要管理人员（施工项目负责人、技术负责人、质量负责人、安全负责人、施工员、安全员、质量员等）的流动和重要设备的调迁；</w:t>
      </w:r>
    </w:p>
    <w:p>
      <w:pPr>
        <w:snapToGrid w:val="0"/>
        <w:spacing w:line="360" w:lineRule="exact"/>
        <w:ind w:firstLine="315" w:firstLineChars="150"/>
        <w:rPr>
          <w:rFonts w:ascii="宋体" w:hAnsi="宋体"/>
          <w:snapToGrid w:val="0"/>
          <w:sz w:val="21"/>
          <w:szCs w:val="21"/>
        </w:rPr>
      </w:pPr>
      <w:r>
        <w:rPr>
          <w:rFonts w:hint="eastAsia" w:ascii="宋体" w:hAnsi="宋体"/>
          <w:snapToGrid w:val="0"/>
          <w:sz w:val="21"/>
          <w:szCs w:val="21"/>
        </w:rPr>
        <w:t>（7）影响工期、质量、合同价格等其他重大决定。</w:t>
      </w:r>
    </w:p>
    <w:p>
      <w:pPr>
        <w:pStyle w:val="6"/>
        <w:snapToGrid w:val="0"/>
        <w:spacing w:line="360" w:lineRule="exact"/>
        <w:rPr>
          <w:rFonts w:ascii="宋体" w:hAnsi="宋体" w:eastAsia="宋体"/>
          <w:snapToGrid w:val="0"/>
          <w:sz w:val="21"/>
          <w:szCs w:val="21"/>
        </w:rPr>
      </w:pPr>
      <w:bookmarkStart w:id="214" w:name="_Toc13952"/>
      <w:bookmarkStart w:id="215" w:name="_Toc184635101"/>
      <w:bookmarkStart w:id="216" w:name="_Toc311407687"/>
      <w:bookmarkStart w:id="217" w:name="_Toc405378483"/>
      <w:bookmarkStart w:id="218" w:name="_Toc259451999"/>
      <w:bookmarkStart w:id="219" w:name="_Toc259456738"/>
      <w:bookmarkStart w:id="220" w:name="_Toc335853932"/>
      <w:bookmarkStart w:id="221" w:name="_Toc336325283"/>
      <w:bookmarkStart w:id="222" w:name="_Toc452839282"/>
      <w:r>
        <w:rPr>
          <w:rFonts w:ascii="宋体" w:hAnsi="宋体" w:eastAsia="宋体"/>
          <w:snapToGrid w:val="0"/>
          <w:sz w:val="21"/>
          <w:szCs w:val="21"/>
        </w:rPr>
        <w:t>4承包人</w:t>
      </w:r>
      <w:bookmarkEnd w:id="214"/>
      <w:bookmarkEnd w:id="215"/>
      <w:bookmarkEnd w:id="216"/>
      <w:bookmarkEnd w:id="217"/>
      <w:bookmarkEnd w:id="218"/>
      <w:bookmarkEnd w:id="219"/>
      <w:bookmarkEnd w:id="220"/>
      <w:bookmarkEnd w:id="221"/>
      <w:bookmarkEnd w:id="222"/>
    </w:p>
    <w:p>
      <w:pPr>
        <w:pStyle w:val="7"/>
        <w:snapToGrid w:val="0"/>
        <w:spacing w:line="360" w:lineRule="exact"/>
        <w:rPr>
          <w:rFonts w:ascii="宋体" w:hAnsi="宋体" w:eastAsia="宋体"/>
          <w:sz w:val="21"/>
          <w:szCs w:val="21"/>
        </w:rPr>
      </w:pPr>
      <w:r>
        <w:rPr>
          <w:rFonts w:hint="eastAsia" w:ascii="宋体" w:hAnsi="宋体" w:eastAsia="宋体"/>
          <w:sz w:val="21"/>
          <w:szCs w:val="21"/>
        </w:rPr>
        <w:t>4.1承包人一般义务</w:t>
      </w:r>
    </w:p>
    <w:p>
      <w:pPr>
        <w:snapToGrid w:val="0"/>
        <w:spacing w:line="360" w:lineRule="exact"/>
        <w:ind w:firstLine="420" w:firstLineChars="200"/>
        <w:rPr>
          <w:rFonts w:ascii="宋体" w:hAnsi="宋体"/>
          <w:i/>
          <w:snapToGrid w:val="0"/>
          <w:sz w:val="21"/>
          <w:szCs w:val="21"/>
        </w:rPr>
      </w:pPr>
      <w:r>
        <w:rPr>
          <w:rFonts w:hint="eastAsia" w:ascii="宋体" w:hAnsi="宋体"/>
          <w:snapToGrid w:val="0"/>
          <w:sz w:val="21"/>
          <w:szCs w:val="21"/>
        </w:rPr>
        <w:t>4.1.10 其它义务</w:t>
      </w:r>
    </w:p>
    <w:p>
      <w:pPr>
        <w:snapToGrid w:val="0"/>
        <w:spacing w:line="360" w:lineRule="exact"/>
        <w:ind w:firstLine="420" w:firstLineChars="200"/>
        <w:jc w:val="left"/>
        <w:rPr>
          <w:rFonts w:ascii="宋体" w:hAnsi="宋体"/>
          <w:sz w:val="21"/>
          <w:szCs w:val="21"/>
          <w:u w:val="single"/>
        </w:rPr>
      </w:pPr>
      <w:r>
        <w:rPr>
          <w:rFonts w:hint="eastAsia" w:ascii="宋体" w:hAnsi="宋体"/>
          <w:sz w:val="21"/>
          <w:szCs w:val="21"/>
          <w:u w:val="single"/>
        </w:rPr>
        <w:t>（1）协助发包人承担有关政策处理事宜。</w:t>
      </w:r>
    </w:p>
    <w:p>
      <w:pPr>
        <w:snapToGrid w:val="0"/>
        <w:spacing w:line="360" w:lineRule="exact"/>
        <w:ind w:firstLine="420" w:firstLineChars="200"/>
        <w:jc w:val="left"/>
        <w:rPr>
          <w:rFonts w:ascii="宋体" w:hAnsi="宋体"/>
          <w:sz w:val="21"/>
          <w:szCs w:val="21"/>
          <w:u w:val="single"/>
        </w:rPr>
      </w:pPr>
      <w:r>
        <w:rPr>
          <w:rFonts w:hint="eastAsia" w:ascii="宋体" w:hAnsi="宋体"/>
          <w:sz w:val="21"/>
          <w:szCs w:val="21"/>
          <w:u w:val="single"/>
        </w:rPr>
        <w:t>（2</w:t>
      </w:r>
      <w:r>
        <w:rPr>
          <w:rFonts w:ascii="宋体" w:hAnsi="宋体"/>
          <w:sz w:val="21"/>
          <w:szCs w:val="21"/>
          <w:u w:val="single"/>
        </w:rPr>
        <w:t>) 按时向发包人（或工程师）提交开竣工报告、隐蔽工程验收报告、质量自检记录、交工验收报告及工程事故报告等资料。</w:t>
      </w:r>
    </w:p>
    <w:p>
      <w:pPr>
        <w:widowControl/>
        <w:snapToGrid w:val="0"/>
        <w:spacing w:line="360" w:lineRule="exact"/>
        <w:ind w:firstLine="420" w:firstLineChars="200"/>
        <w:textAlignment w:val="bottom"/>
        <w:rPr>
          <w:rFonts w:ascii="宋体" w:hAnsi="宋体"/>
          <w:sz w:val="21"/>
          <w:szCs w:val="21"/>
          <w:u w:val="single"/>
        </w:rPr>
      </w:pPr>
      <w:r>
        <w:rPr>
          <w:rFonts w:hint="eastAsia" w:ascii="宋体" w:hAnsi="宋体"/>
          <w:sz w:val="21"/>
          <w:szCs w:val="21"/>
          <w:u w:val="single"/>
        </w:rPr>
        <w:t>（3</w:t>
      </w:r>
      <w:r>
        <w:rPr>
          <w:rFonts w:ascii="宋体" w:hAnsi="宋体"/>
          <w:sz w:val="21"/>
          <w:szCs w:val="21"/>
          <w:u w:val="single"/>
        </w:rPr>
        <w:t>) 负责放样、测量。每次测量成果均应有复核记录，并及时将测量成果记录书面送交监理人确认。承包人应对测量成果承担全部责任。</w:t>
      </w:r>
    </w:p>
    <w:p>
      <w:pPr>
        <w:widowControl/>
        <w:snapToGrid w:val="0"/>
        <w:spacing w:line="360" w:lineRule="exact"/>
        <w:ind w:firstLine="420" w:firstLineChars="200"/>
        <w:textAlignment w:val="bottom"/>
        <w:rPr>
          <w:rFonts w:ascii="宋体" w:hAnsi="宋体"/>
          <w:sz w:val="21"/>
          <w:szCs w:val="21"/>
          <w:u w:val="single"/>
        </w:rPr>
      </w:pPr>
      <w:r>
        <w:rPr>
          <w:rFonts w:hint="eastAsia" w:ascii="宋体" w:hAnsi="宋体"/>
          <w:sz w:val="21"/>
          <w:szCs w:val="21"/>
          <w:u w:val="single"/>
        </w:rPr>
        <w:t>（4</w:t>
      </w:r>
      <w:r>
        <w:rPr>
          <w:rFonts w:ascii="宋体" w:hAnsi="宋体"/>
          <w:sz w:val="21"/>
          <w:szCs w:val="21"/>
          <w:u w:val="single"/>
        </w:rPr>
        <w:t>) 必须接受发包人的管理或其委托的监理单位的监理，并为其开展工作和生活提供方便，按照要求提供完整真实的原始记录、检测记录等技术资料及各种报表。</w:t>
      </w:r>
    </w:p>
    <w:p>
      <w:pPr>
        <w:widowControl/>
        <w:snapToGrid w:val="0"/>
        <w:spacing w:line="360" w:lineRule="exact"/>
        <w:ind w:firstLine="420" w:firstLineChars="200"/>
        <w:textAlignment w:val="bottom"/>
        <w:rPr>
          <w:rFonts w:ascii="宋体" w:hAnsi="宋体"/>
          <w:sz w:val="21"/>
          <w:szCs w:val="21"/>
          <w:u w:val="single"/>
        </w:rPr>
      </w:pPr>
      <w:r>
        <w:rPr>
          <w:rFonts w:hint="eastAsia" w:ascii="宋体" w:hAnsi="宋体"/>
          <w:sz w:val="21"/>
          <w:szCs w:val="21"/>
          <w:u w:val="single"/>
        </w:rPr>
        <w:t>（5</w:t>
      </w:r>
      <w:r>
        <w:rPr>
          <w:rFonts w:ascii="宋体" w:hAnsi="宋体"/>
          <w:sz w:val="21"/>
          <w:szCs w:val="21"/>
          <w:u w:val="single"/>
        </w:rPr>
        <w:t>) 承包人必须开展工程施工合同质量管理，密切配合工程师全面质量管理、环境管理和职业安全健康管理等工作的进行。</w:t>
      </w:r>
    </w:p>
    <w:p>
      <w:pPr>
        <w:widowControl/>
        <w:snapToGrid w:val="0"/>
        <w:spacing w:line="360" w:lineRule="exact"/>
        <w:ind w:firstLine="420" w:firstLineChars="200"/>
        <w:textAlignment w:val="bottom"/>
        <w:rPr>
          <w:rFonts w:ascii="宋体" w:hAnsi="宋体"/>
          <w:sz w:val="21"/>
          <w:szCs w:val="21"/>
          <w:u w:val="single"/>
        </w:rPr>
      </w:pPr>
      <w:r>
        <w:rPr>
          <w:rFonts w:hint="eastAsia" w:ascii="宋体" w:hAnsi="宋体"/>
          <w:sz w:val="21"/>
          <w:szCs w:val="21"/>
          <w:u w:val="single"/>
        </w:rPr>
        <w:t>（6</w:t>
      </w:r>
      <w:r>
        <w:rPr>
          <w:rFonts w:ascii="宋体" w:hAnsi="宋体"/>
          <w:sz w:val="21"/>
          <w:szCs w:val="21"/>
          <w:u w:val="single"/>
        </w:rPr>
        <w:t>) 承包人不按合同约定完成以上工作，发包人有权令其停止施工并进行整改，由此引起的损失由承包人承担。</w:t>
      </w:r>
    </w:p>
    <w:p>
      <w:pPr>
        <w:snapToGrid w:val="0"/>
        <w:spacing w:line="360" w:lineRule="exact"/>
        <w:ind w:firstLine="420" w:firstLineChars="200"/>
        <w:textAlignment w:val="bottom"/>
        <w:rPr>
          <w:rFonts w:ascii="宋体" w:hAnsi="宋体"/>
          <w:sz w:val="21"/>
          <w:szCs w:val="21"/>
          <w:u w:val="single"/>
        </w:rPr>
      </w:pPr>
      <w:r>
        <w:rPr>
          <w:rFonts w:hint="eastAsia" w:ascii="宋体" w:hAnsi="宋体"/>
          <w:sz w:val="21"/>
          <w:szCs w:val="21"/>
          <w:u w:val="single"/>
        </w:rPr>
        <w:t>（7）</w:t>
      </w:r>
      <w:r>
        <w:rPr>
          <w:rFonts w:ascii="宋体" w:hAnsi="宋体"/>
          <w:sz w:val="21"/>
          <w:szCs w:val="21"/>
          <w:u w:val="single"/>
        </w:rPr>
        <w:t>承包人应执行发包人对工程管理所制定的各项管理制度。</w:t>
      </w:r>
    </w:p>
    <w:p>
      <w:pPr>
        <w:widowControl/>
        <w:snapToGrid w:val="0"/>
        <w:spacing w:line="360" w:lineRule="exact"/>
        <w:ind w:firstLine="420" w:firstLineChars="200"/>
        <w:textAlignment w:val="bottom"/>
        <w:rPr>
          <w:rFonts w:ascii="宋体" w:hAnsi="宋体"/>
          <w:sz w:val="21"/>
          <w:szCs w:val="21"/>
          <w:u w:val="single"/>
        </w:rPr>
      </w:pPr>
      <w:r>
        <w:rPr>
          <w:rFonts w:hint="eastAsia" w:ascii="宋体" w:hAnsi="宋体"/>
          <w:sz w:val="21"/>
          <w:szCs w:val="21"/>
          <w:u w:val="single"/>
        </w:rPr>
        <w:t>（8</w:t>
      </w:r>
      <w:r>
        <w:rPr>
          <w:rFonts w:ascii="宋体" w:hAnsi="宋体"/>
          <w:sz w:val="21"/>
          <w:szCs w:val="21"/>
          <w:u w:val="single"/>
        </w:rPr>
        <w:t>) 参加发包人召开的与本工程相关的会议，并作好会前有关资料的准备。在保修期内要及时做好回访工作，属保修责任范围的事项应及时按质检标准修好。</w:t>
      </w:r>
    </w:p>
    <w:p>
      <w:pPr>
        <w:widowControl/>
        <w:snapToGrid w:val="0"/>
        <w:spacing w:line="360" w:lineRule="exact"/>
        <w:ind w:firstLine="420" w:firstLineChars="200"/>
        <w:textAlignment w:val="bottom"/>
        <w:rPr>
          <w:rFonts w:ascii="宋体" w:hAnsi="宋体"/>
          <w:i/>
          <w:sz w:val="21"/>
          <w:szCs w:val="21"/>
          <w:u w:val="single"/>
        </w:rPr>
      </w:pPr>
      <w:r>
        <w:rPr>
          <w:rFonts w:hint="eastAsia" w:ascii="宋体" w:hAnsi="宋体"/>
          <w:sz w:val="21"/>
          <w:szCs w:val="21"/>
          <w:u w:val="single"/>
        </w:rPr>
        <w:t>（9）根据发包人要求配合做好其他承包商供货现场附助工作，必要时免费提供吊机、仓库及人力配合。</w:t>
      </w:r>
    </w:p>
    <w:p>
      <w:pPr>
        <w:widowControl/>
        <w:snapToGrid w:val="0"/>
        <w:spacing w:line="360" w:lineRule="exact"/>
        <w:ind w:firstLine="420" w:firstLineChars="200"/>
        <w:textAlignment w:val="bottom"/>
        <w:rPr>
          <w:rFonts w:ascii="宋体" w:hAnsi="宋体"/>
          <w:i/>
          <w:sz w:val="21"/>
          <w:szCs w:val="21"/>
          <w:u w:val="single"/>
        </w:rPr>
      </w:pPr>
      <w:r>
        <w:rPr>
          <w:rFonts w:hint="eastAsia" w:ascii="宋体" w:cs="宋体"/>
          <w:sz w:val="21"/>
          <w:szCs w:val="21"/>
        </w:rPr>
        <w:t>（</w:t>
      </w:r>
      <w:r>
        <w:rPr>
          <w:rFonts w:ascii="宋体" w:cs="宋体"/>
          <w:sz w:val="21"/>
          <w:szCs w:val="21"/>
        </w:rPr>
        <w:t>10</w:t>
      </w:r>
      <w:r>
        <w:rPr>
          <w:rFonts w:hint="eastAsia" w:ascii="宋体" w:cs="宋体"/>
          <w:sz w:val="21"/>
          <w:szCs w:val="21"/>
        </w:rPr>
        <w:t>）</w:t>
      </w:r>
      <w:r>
        <w:rPr>
          <w:rFonts w:hint="eastAsia" w:ascii="宋体" w:cs="宋体"/>
          <w:sz w:val="21"/>
          <w:szCs w:val="21"/>
          <w:u w:val="single"/>
        </w:rPr>
        <w:t>承包人应在工程实施过程中为其他相关标段施工提供便利，并做好水、电等配合工作。</w:t>
      </w:r>
    </w:p>
    <w:p>
      <w:pPr>
        <w:pStyle w:val="7"/>
        <w:snapToGrid w:val="0"/>
        <w:spacing w:line="360" w:lineRule="exact"/>
        <w:rPr>
          <w:rFonts w:ascii="宋体" w:hAnsi="宋体" w:eastAsia="宋体"/>
          <w:sz w:val="21"/>
          <w:szCs w:val="21"/>
        </w:rPr>
      </w:pPr>
      <w:r>
        <w:rPr>
          <w:rFonts w:ascii="宋体" w:hAnsi="宋体" w:eastAsia="宋体"/>
          <w:sz w:val="21"/>
          <w:szCs w:val="21"/>
        </w:rPr>
        <w:t>4.</w:t>
      </w:r>
      <w:r>
        <w:rPr>
          <w:rFonts w:hint="eastAsia" w:ascii="宋体" w:hAnsi="宋体" w:eastAsia="宋体"/>
          <w:sz w:val="21"/>
          <w:szCs w:val="21"/>
        </w:rPr>
        <w:t>3分包</w:t>
      </w:r>
    </w:p>
    <w:p>
      <w:pPr>
        <w:snapToGrid w:val="0"/>
        <w:spacing w:line="360" w:lineRule="exact"/>
        <w:ind w:firstLine="420" w:firstLineChars="200"/>
        <w:rPr>
          <w:rFonts w:ascii="宋体" w:hAnsi="宋体"/>
          <w:snapToGrid w:val="0"/>
          <w:sz w:val="21"/>
          <w:szCs w:val="21"/>
        </w:rPr>
      </w:pPr>
      <w:r>
        <w:rPr>
          <w:rFonts w:hint="eastAsia" w:ascii="宋体" w:hAnsi="宋体"/>
          <w:snapToGrid w:val="0"/>
          <w:sz w:val="21"/>
          <w:szCs w:val="21"/>
        </w:rPr>
        <w:t>4.3.2 允许承包人分包的工程项目、工作内容与分包金额为：</w:t>
      </w:r>
    </w:p>
    <w:p>
      <w:pPr>
        <w:snapToGrid w:val="0"/>
        <w:spacing w:line="360" w:lineRule="exact"/>
        <w:ind w:firstLine="420" w:firstLineChars="200"/>
        <w:rPr>
          <w:rFonts w:ascii="宋体" w:hAnsi="宋体"/>
          <w:snapToGrid w:val="0"/>
          <w:sz w:val="21"/>
          <w:szCs w:val="21"/>
        </w:rPr>
      </w:pPr>
      <w:r>
        <w:rPr>
          <w:rFonts w:hint="eastAsia" w:ascii="宋体" w:hAnsi="宋体"/>
          <w:snapToGrid w:val="0"/>
          <w:sz w:val="21"/>
          <w:szCs w:val="21"/>
        </w:rPr>
        <w:t>(1) 工程项目：</w:t>
      </w:r>
      <w:r>
        <w:rPr>
          <w:rFonts w:hint="eastAsia" w:ascii="宋体" w:hAnsi="宋体"/>
          <w:snapToGrid w:val="0"/>
          <w:sz w:val="21"/>
          <w:szCs w:val="21"/>
          <w:u w:val="single"/>
        </w:rPr>
        <w:t xml:space="preserve">  /   </w:t>
      </w:r>
      <w:r>
        <w:rPr>
          <w:rFonts w:hint="eastAsia" w:ascii="宋体" w:hAnsi="宋体"/>
          <w:snapToGrid w:val="0"/>
          <w:sz w:val="21"/>
          <w:szCs w:val="21"/>
        </w:rPr>
        <w:t>。</w:t>
      </w:r>
    </w:p>
    <w:p>
      <w:pPr>
        <w:snapToGrid w:val="0"/>
        <w:spacing w:line="360" w:lineRule="exact"/>
        <w:ind w:firstLine="420" w:firstLineChars="200"/>
        <w:rPr>
          <w:rFonts w:ascii="宋体" w:hAnsi="宋体"/>
          <w:snapToGrid w:val="0"/>
          <w:sz w:val="21"/>
          <w:szCs w:val="21"/>
        </w:rPr>
      </w:pPr>
      <w:r>
        <w:rPr>
          <w:rFonts w:hint="eastAsia" w:ascii="宋体" w:hAnsi="宋体"/>
          <w:snapToGrid w:val="0"/>
          <w:sz w:val="21"/>
          <w:szCs w:val="21"/>
        </w:rPr>
        <w:t>(2) 工作内容：</w:t>
      </w:r>
      <w:r>
        <w:rPr>
          <w:rFonts w:hint="eastAsia" w:ascii="宋体" w:hAnsi="宋体"/>
          <w:snapToGrid w:val="0"/>
          <w:sz w:val="21"/>
          <w:szCs w:val="21"/>
          <w:u w:val="single"/>
        </w:rPr>
        <w:t xml:space="preserve">  /   </w:t>
      </w:r>
      <w:r>
        <w:rPr>
          <w:rFonts w:hint="eastAsia" w:ascii="宋体" w:hAnsi="宋体"/>
          <w:snapToGrid w:val="0"/>
          <w:sz w:val="21"/>
          <w:szCs w:val="21"/>
        </w:rPr>
        <w:t>。</w:t>
      </w:r>
    </w:p>
    <w:p>
      <w:pPr>
        <w:snapToGrid w:val="0"/>
        <w:spacing w:line="360" w:lineRule="exact"/>
        <w:ind w:firstLine="420" w:firstLineChars="200"/>
        <w:rPr>
          <w:rFonts w:ascii="宋体" w:hAnsi="宋体"/>
          <w:snapToGrid w:val="0"/>
          <w:sz w:val="21"/>
          <w:szCs w:val="21"/>
        </w:rPr>
      </w:pPr>
      <w:r>
        <w:rPr>
          <w:rFonts w:hint="eastAsia" w:ascii="宋体" w:hAnsi="宋体"/>
          <w:snapToGrid w:val="0"/>
          <w:sz w:val="21"/>
          <w:szCs w:val="21"/>
        </w:rPr>
        <w:t>(3) 分包金额：</w:t>
      </w:r>
      <w:r>
        <w:rPr>
          <w:rFonts w:hint="eastAsia" w:ascii="宋体" w:hAnsi="宋体"/>
          <w:snapToGrid w:val="0"/>
          <w:sz w:val="21"/>
          <w:szCs w:val="21"/>
          <w:u w:val="single"/>
        </w:rPr>
        <w:t xml:space="preserve">  /   </w:t>
      </w:r>
      <w:r>
        <w:rPr>
          <w:rFonts w:hint="eastAsia" w:ascii="宋体" w:hAnsi="宋体"/>
          <w:snapToGrid w:val="0"/>
          <w:sz w:val="21"/>
          <w:szCs w:val="21"/>
        </w:rPr>
        <w:t>。</w:t>
      </w:r>
    </w:p>
    <w:p>
      <w:pPr>
        <w:snapToGrid w:val="0"/>
        <w:spacing w:line="360" w:lineRule="exact"/>
        <w:ind w:firstLine="420" w:firstLineChars="200"/>
        <w:rPr>
          <w:rFonts w:ascii="宋体" w:hAnsi="宋体"/>
          <w:snapToGrid w:val="0"/>
          <w:sz w:val="21"/>
          <w:szCs w:val="21"/>
        </w:rPr>
      </w:pPr>
      <w:r>
        <w:rPr>
          <w:rFonts w:hint="eastAsia" w:ascii="宋体" w:hAnsi="宋体"/>
          <w:snapToGrid w:val="0"/>
          <w:sz w:val="21"/>
          <w:szCs w:val="21"/>
        </w:rPr>
        <w:t>4.3.10 分包人项目管理机构的设立：</w:t>
      </w:r>
      <w:r>
        <w:rPr>
          <w:rFonts w:hint="eastAsia" w:ascii="宋体" w:hAnsi="宋体"/>
          <w:snapToGrid w:val="0"/>
          <w:sz w:val="21"/>
          <w:szCs w:val="21"/>
          <w:u w:val="single"/>
        </w:rPr>
        <w:t xml:space="preserve">  /   </w:t>
      </w:r>
      <w:r>
        <w:rPr>
          <w:rFonts w:hint="eastAsia" w:ascii="宋体" w:hAnsi="宋体"/>
          <w:snapToGrid w:val="0"/>
          <w:sz w:val="21"/>
          <w:szCs w:val="21"/>
        </w:rPr>
        <w:t>。</w:t>
      </w:r>
    </w:p>
    <w:p>
      <w:pPr>
        <w:pStyle w:val="7"/>
        <w:snapToGrid w:val="0"/>
        <w:spacing w:line="360" w:lineRule="exact"/>
        <w:rPr>
          <w:rFonts w:ascii="宋体" w:hAnsi="宋体" w:eastAsia="宋体"/>
          <w:sz w:val="21"/>
          <w:szCs w:val="21"/>
        </w:rPr>
      </w:pPr>
      <w:r>
        <w:rPr>
          <w:rFonts w:ascii="宋体" w:hAnsi="宋体" w:eastAsia="宋体"/>
          <w:sz w:val="21"/>
          <w:szCs w:val="21"/>
        </w:rPr>
        <w:t>4.5 承包人项目负责人</w:t>
      </w:r>
    </w:p>
    <w:p>
      <w:pPr>
        <w:pStyle w:val="7"/>
        <w:snapToGrid w:val="0"/>
        <w:spacing w:line="360" w:lineRule="exact"/>
        <w:rPr>
          <w:rFonts w:ascii="宋体" w:hAnsi="宋体" w:eastAsia="宋体"/>
          <w:b w:val="0"/>
          <w:sz w:val="21"/>
          <w:szCs w:val="21"/>
        </w:rPr>
      </w:pPr>
      <w:r>
        <w:rPr>
          <w:rFonts w:hint="eastAsia" w:ascii="宋体" w:hAnsi="宋体" w:eastAsia="宋体"/>
          <w:b w:val="0"/>
          <w:sz w:val="21"/>
          <w:szCs w:val="21"/>
        </w:rPr>
        <w:t>本章</w:t>
      </w:r>
      <w:r>
        <w:rPr>
          <w:rFonts w:ascii="宋体" w:hAnsi="宋体" w:eastAsia="宋体"/>
          <w:b w:val="0"/>
          <w:sz w:val="21"/>
          <w:szCs w:val="21"/>
        </w:rPr>
        <w:t>4.5.5</w:t>
      </w:r>
      <w:r>
        <w:rPr>
          <w:rFonts w:hint="eastAsia" w:ascii="宋体" w:hAnsi="宋体" w:eastAsia="宋体"/>
          <w:b w:val="0"/>
          <w:sz w:val="21"/>
          <w:szCs w:val="21"/>
        </w:rPr>
        <w:t>款补充：</w:t>
      </w:r>
    </w:p>
    <w:p>
      <w:pPr>
        <w:pStyle w:val="7"/>
        <w:snapToGrid w:val="0"/>
        <w:spacing w:line="360" w:lineRule="exact"/>
        <w:ind w:firstLine="420" w:firstLineChars="200"/>
        <w:rPr>
          <w:rFonts w:ascii="宋体" w:hAnsi="宋体" w:eastAsia="宋体"/>
          <w:b w:val="0"/>
          <w:sz w:val="21"/>
          <w:szCs w:val="21"/>
        </w:rPr>
      </w:pPr>
      <w:r>
        <w:rPr>
          <w:rFonts w:hint="eastAsia" w:ascii="宋体" w:hAnsi="宋体" w:eastAsia="宋体"/>
          <w:b w:val="0"/>
          <w:sz w:val="21"/>
          <w:szCs w:val="21"/>
        </w:rPr>
        <w:t>项目负责人每月驻工地的天数不少于</w:t>
      </w:r>
      <w:r>
        <w:rPr>
          <w:rFonts w:ascii="宋体" w:hAnsi="宋体" w:eastAsia="宋体"/>
          <w:b w:val="0"/>
          <w:sz w:val="21"/>
          <w:szCs w:val="21"/>
        </w:rPr>
        <w:t>22</w:t>
      </w:r>
      <w:r>
        <w:rPr>
          <w:rFonts w:hint="eastAsia" w:ascii="宋体" w:hAnsi="宋体" w:eastAsia="宋体"/>
          <w:b w:val="0"/>
          <w:sz w:val="21"/>
          <w:szCs w:val="21"/>
        </w:rPr>
        <w:t>天，每少一天支付违约金</w:t>
      </w:r>
      <w:r>
        <w:rPr>
          <w:rFonts w:ascii="宋体" w:hAnsi="宋体" w:eastAsia="宋体"/>
          <w:b w:val="0"/>
          <w:sz w:val="21"/>
          <w:szCs w:val="21"/>
          <w:u w:val="single"/>
        </w:rPr>
        <w:t xml:space="preserve">2000 </w:t>
      </w:r>
      <w:r>
        <w:rPr>
          <w:rFonts w:hint="eastAsia" w:ascii="宋体" w:hAnsi="宋体" w:eastAsia="宋体"/>
          <w:b w:val="0"/>
          <w:sz w:val="21"/>
          <w:szCs w:val="21"/>
        </w:rPr>
        <w:t>元，但扣款最终的累计</w:t>
      </w:r>
    </w:p>
    <w:p>
      <w:pPr>
        <w:pStyle w:val="7"/>
        <w:snapToGrid w:val="0"/>
        <w:spacing w:line="360" w:lineRule="exact"/>
        <w:ind w:firstLine="420" w:firstLineChars="200"/>
        <w:rPr>
          <w:rFonts w:ascii="宋体" w:hAnsi="宋体" w:eastAsia="宋体"/>
          <w:b w:val="0"/>
          <w:sz w:val="21"/>
          <w:szCs w:val="21"/>
        </w:rPr>
      </w:pPr>
      <w:r>
        <w:rPr>
          <w:rFonts w:hint="eastAsia" w:ascii="宋体" w:hAnsi="宋体" w:eastAsia="宋体"/>
          <w:b w:val="0"/>
          <w:sz w:val="21"/>
          <w:szCs w:val="21"/>
        </w:rPr>
        <w:t>总金额不应超过</w:t>
      </w:r>
      <w:r>
        <w:rPr>
          <w:rFonts w:ascii="宋体" w:hAnsi="宋体" w:eastAsia="宋体"/>
          <w:b w:val="0"/>
          <w:sz w:val="21"/>
          <w:szCs w:val="21"/>
          <w:u w:val="single"/>
        </w:rPr>
        <w:t xml:space="preserve">10 </w:t>
      </w:r>
      <w:r>
        <w:rPr>
          <w:rFonts w:hint="eastAsia" w:ascii="宋体" w:hAnsi="宋体" w:eastAsia="宋体"/>
          <w:b w:val="0"/>
          <w:sz w:val="21"/>
          <w:szCs w:val="21"/>
        </w:rPr>
        <w:t>万元。</w:t>
      </w:r>
    </w:p>
    <w:p>
      <w:pPr>
        <w:pStyle w:val="7"/>
        <w:snapToGrid w:val="0"/>
        <w:spacing w:line="360" w:lineRule="exact"/>
        <w:ind w:firstLine="420" w:firstLineChars="200"/>
        <w:rPr>
          <w:rFonts w:ascii="宋体" w:hAnsi="宋体" w:eastAsia="宋体"/>
          <w:b w:val="0"/>
          <w:sz w:val="21"/>
          <w:szCs w:val="21"/>
        </w:rPr>
      </w:pPr>
      <w:r>
        <w:rPr>
          <w:rFonts w:hint="eastAsia" w:ascii="宋体" w:hAnsi="宋体" w:eastAsia="宋体"/>
          <w:b w:val="0"/>
          <w:sz w:val="21"/>
          <w:szCs w:val="21"/>
        </w:rPr>
        <w:t>上述违约金在当月工程进度款中直接扣除，在工地工作天数按监理人实际考勤记录为准。</w:t>
      </w:r>
    </w:p>
    <w:p>
      <w:pPr>
        <w:pStyle w:val="7"/>
        <w:snapToGrid w:val="0"/>
        <w:spacing w:line="360" w:lineRule="exact"/>
        <w:ind w:firstLine="420" w:firstLineChars="200"/>
        <w:rPr>
          <w:rFonts w:ascii="宋体" w:hAnsi="宋体" w:eastAsia="宋体"/>
          <w:b w:val="0"/>
          <w:sz w:val="21"/>
          <w:szCs w:val="21"/>
        </w:rPr>
      </w:pPr>
      <w:r>
        <w:rPr>
          <w:rFonts w:hint="eastAsia" w:ascii="宋体" w:hAnsi="宋体" w:eastAsia="宋体"/>
          <w:b w:val="0"/>
          <w:sz w:val="21"/>
          <w:szCs w:val="21"/>
        </w:rPr>
        <w:t>承包人的项目负责人连续</w:t>
      </w:r>
      <w:r>
        <w:rPr>
          <w:rFonts w:ascii="宋体" w:hAnsi="宋体" w:eastAsia="宋体"/>
          <w:b w:val="0"/>
          <w:sz w:val="21"/>
          <w:szCs w:val="21"/>
          <w:u w:val="single"/>
        </w:rPr>
        <w:t xml:space="preserve">3 </w:t>
      </w:r>
      <w:r>
        <w:rPr>
          <w:rFonts w:hint="eastAsia" w:ascii="宋体" w:hAnsi="宋体" w:eastAsia="宋体"/>
          <w:b w:val="0"/>
          <w:sz w:val="21"/>
          <w:szCs w:val="21"/>
          <w:u w:val="single"/>
        </w:rPr>
        <w:t>个</w:t>
      </w:r>
      <w:r>
        <w:rPr>
          <w:rFonts w:hint="eastAsia" w:ascii="宋体" w:hAnsi="宋体" w:eastAsia="宋体"/>
          <w:b w:val="0"/>
          <w:sz w:val="21"/>
          <w:szCs w:val="21"/>
        </w:rPr>
        <w:t>月及以上每月驻工地的天数少于</w:t>
      </w:r>
      <w:r>
        <w:rPr>
          <w:rFonts w:ascii="宋体" w:hAnsi="宋体" w:eastAsia="宋体"/>
          <w:b w:val="0"/>
          <w:sz w:val="21"/>
          <w:szCs w:val="21"/>
          <w:u w:val="single"/>
        </w:rPr>
        <w:t xml:space="preserve">15 </w:t>
      </w:r>
      <w:r>
        <w:rPr>
          <w:rFonts w:hint="eastAsia" w:ascii="宋体" w:hAnsi="宋体" w:eastAsia="宋体"/>
          <w:b w:val="0"/>
          <w:sz w:val="21"/>
          <w:szCs w:val="21"/>
        </w:rPr>
        <w:t>天，发包人有权解除合同。</w:t>
      </w:r>
    </w:p>
    <w:p>
      <w:pPr>
        <w:pStyle w:val="7"/>
        <w:snapToGrid w:val="0"/>
        <w:spacing w:line="360" w:lineRule="exact"/>
        <w:rPr>
          <w:rFonts w:ascii="宋体" w:hAnsi="宋体" w:eastAsia="宋体"/>
          <w:sz w:val="21"/>
          <w:szCs w:val="21"/>
        </w:rPr>
      </w:pPr>
      <w:r>
        <w:rPr>
          <w:rFonts w:ascii="宋体" w:hAnsi="宋体" w:eastAsia="宋体"/>
          <w:sz w:val="21"/>
          <w:szCs w:val="21"/>
        </w:rPr>
        <w:t>4.</w:t>
      </w:r>
      <w:r>
        <w:rPr>
          <w:rFonts w:hint="eastAsia" w:ascii="宋体" w:hAnsi="宋体" w:eastAsia="宋体"/>
          <w:sz w:val="21"/>
          <w:szCs w:val="21"/>
        </w:rPr>
        <w:t>6</w:t>
      </w:r>
      <w:r>
        <w:rPr>
          <w:rFonts w:ascii="宋体" w:hAnsi="宋体" w:eastAsia="宋体"/>
          <w:sz w:val="21"/>
          <w:szCs w:val="21"/>
        </w:rPr>
        <w:t xml:space="preserve"> 承包人</w:t>
      </w:r>
      <w:r>
        <w:rPr>
          <w:rFonts w:hint="eastAsia" w:ascii="宋体" w:hAnsi="宋体" w:eastAsia="宋体"/>
          <w:sz w:val="21"/>
          <w:szCs w:val="21"/>
        </w:rPr>
        <w:t>人员的管理</w:t>
      </w:r>
    </w:p>
    <w:p>
      <w:pPr>
        <w:pStyle w:val="4"/>
        <w:snapToGrid w:val="0"/>
        <w:spacing w:line="360" w:lineRule="exact"/>
        <w:ind w:firstLine="420" w:firstLineChars="200"/>
        <w:rPr>
          <w:rFonts w:ascii="宋体" w:hAnsi="宋体"/>
          <w:b/>
          <w:snapToGrid w:val="0"/>
          <w:sz w:val="21"/>
          <w:szCs w:val="21"/>
        </w:rPr>
      </w:pPr>
      <w:r>
        <w:rPr>
          <w:rFonts w:hint="eastAsia" w:ascii="宋体" w:hAnsi="宋体"/>
          <w:b/>
          <w:snapToGrid w:val="0"/>
          <w:sz w:val="21"/>
          <w:szCs w:val="21"/>
        </w:rPr>
        <w:t>本款</w:t>
      </w:r>
      <w:r>
        <w:rPr>
          <w:rFonts w:ascii="宋体" w:hAnsi="宋体"/>
          <w:b/>
          <w:snapToGrid w:val="0"/>
          <w:sz w:val="21"/>
          <w:szCs w:val="21"/>
        </w:rPr>
        <w:t>补充：</w:t>
      </w:r>
    </w:p>
    <w:p>
      <w:pPr>
        <w:pStyle w:val="7"/>
        <w:snapToGrid w:val="0"/>
        <w:spacing w:line="360" w:lineRule="exact"/>
        <w:rPr>
          <w:rFonts w:ascii="宋体" w:hAnsi="宋体" w:eastAsia="宋体"/>
          <w:b w:val="0"/>
          <w:sz w:val="21"/>
          <w:szCs w:val="21"/>
        </w:rPr>
      </w:pPr>
      <w:r>
        <w:rPr>
          <w:rFonts w:hint="eastAsia" w:ascii="宋体" w:hAnsi="宋体" w:eastAsia="宋体"/>
          <w:b w:val="0"/>
          <w:sz w:val="21"/>
          <w:szCs w:val="21"/>
        </w:rPr>
        <w:t>本章</w:t>
      </w:r>
      <w:r>
        <w:rPr>
          <w:rFonts w:ascii="宋体" w:hAnsi="宋体" w:eastAsia="宋体"/>
          <w:b w:val="0"/>
          <w:sz w:val="21"/>
          <w:szCs w:val="21"/>
        </w:rPr>
        <w:t>4.6.3</w:t>
      </w:r>
      <w:r>
        <w:rPr>
          <w:rFonts w:hint="eastAsia" w:ascii="宋体" w:hAnsi="宋体" w:eastAsia="宋体"/>
          <w:b w:val="0"/>
          <w:sz w:val="21"/>
          <w:szCs w:val="21"/>
        </w:rPr>
        <w:t>款补充：</w:t>
      </w:r>
    </w:p>
    <w:p>
      <w:pPr>
        <w:pStyle w:val="7"/>
        <w:snapToGrid w:val="0"/>
        <w:spacing w:line="360" w:lineRule="exact"/>
        <w:ind w:firstLine="420" w:firstLineChars="200"/>
        <w:rPr>
          <w:rFonts w:ascii="宋体" w:hAnsi="宋体" w:eastAsia="宋体"/>
          <w:b w:val="0"/>
          <w:sz w:val="21"/>
          <w:szCs w:val="21"/>
        </w:rPr>
      </w:pPr>
      <w:r>
        <w:rPr>
          <w:rFonts w:hint="eastAsia" w:ascii="宋体" w:hAnsi="宋体" w:eastAsia="宋体"/>
          <w:b w:val="0"/>
          <w:sz w:val="21"/>
          <w:szCs w:val="21"/>
        </w:rPr>
        <w:t>项目技术负责人每月驻工地时间不得少于</w:t>
      </w:r>
      <w:r>
        <w:rPr>
          <w:rFonts w:ascii="宋体" w:hAnsi="宋体" w:eastAsia="宋体"/>
          <w:b w:val="0"/>
          <w:sz w:val="21"/>
          <w:szCs w:val="21"/>
          <w:u w:val="single"/>
        </w:rPr>
        <w:t>2</w:t>
      </w:r>
      <w:r>
        <w:rPr>
          <w:rFonts w:hint="eastAsia" w:ascii="宋体" w:hAnsi="宋体" w:eastAsia="宋体"/>
          <w:b w:val="0"/>
          <w:sz w:val="21"/>
          <w:szCs w:val="21"/>
          <w:u w:val="single"/>
        </w:rPr>
        <w:t>6</w:t>
      </w:r>
      <w:r>
        <w:rPr>
          <w:rFonts w:hint="eastAsia" w:ascii="宋体" w:hAnsi="宋体" w:eastAsia="宋体"/>
          <w:b w:val="0"/>
          <w:sz w:val="21"/>
          <w:szCs w:val="21"/>
        </w:rPr>
        <w:t>天，每少一天支付违约金</w:t>
      </w:r>
      <w:r>
        <w:rPr>
          <w:rFonts w:ascii="宋体" w:hAnsi="宋体" w:eastAsia="宋体"/>
          <w:b w:val="0"/>
          <w:sz w:val="21"/>
          <w:szCs w:val="21"/>
          <w:u w:val="single"/>
        </w:rPr>
        <w:t xml:space="preserve">1500 </w:t>
      </w:r>
      <w:r>
        <w:rPr>
          <w:rFonts w:hint="eastAsia" w:ascii="宋体" w:hAnsi="宋体" w:eastAsia="宋体"/>
          <w:b w:val="0"/>
          <w:sz w:val="21"/>
          <w:szCs w:val="21"/>
        </w:rPr>
        <w:t>元，但扣款最终</w:t>
      </w:r>
    </w:p>
    <w:p>
      <w:pPr>
        <w:pStyle w:val="7"/>
        <w:snapToGrid w:val="0"/>
        <w:spacing w:line="360" w:lineRule="exact"/>
        <w:jc w:val="both"/>
        <w:rPr>
          <w:rFonts w:ascii="宋体" w:hAnsi="宋体" w:eastAsia="宋体"/>
          <w:b w:val="0"/>
          <w:sz w:val="21"/>
          <w:szCs w:val="21"/>
        </w:rPr>
      </w:pPr>
      <w:r>
        <w:rPr>
          <w:rFonts w:hint="eastAsia" w:ascii="宋体" w:hAnsi="宋体" w:eastAsia="宋体"/>
          <w:b w:val="0"/>
          <w:sz w:val="21"/>
          <w:szCs w:val="21"/>
        </w:rPr>
        <w:t>的累计总金额不应超过</w:t>
      </w:r>
      <w:r>
        <w:rPr>
          <w:rFonts w:ascii="宋体" w:hAnsi="宋体" w:eastAsia="宋体"/>
          <w:b w:val="0"/>
          <w:sz w:val="21"/>
          <w:szCs w:val="21"/>
          <w:u w:val="single"/>
        </w:rPr>
        <w:t xml:space="preserve">8 </w:t>
      </w:r>
      <w:r>
        <w:rPr>
          <w:rFonts w:hint="eastAsia" w:ascii="宋体" w:hAnsi="宋体" w:eastAsia="宋体"/>
          <w:b w:val="0"/>
          <w:sz w:val="21"/>
          <w:szCs w:val="21"/>
        </w:rPr>
        <w:t>万元。</w:t>
      </w:r>
    </w:p>
    <w:p>
      <w:pPr>
        <w:pStyle w:val="7"/>
        <w:snapToGrid w:val="0"/>
        <w:spacing w:line="360" w:lineRule="exact"/>
        <w:ind w:firstLine="420" w:firstLineChars="200"/>
        <w:rPr>
          <w:rFonts w:ascii="宋体" w:hAnsi="宋体" w:eastAsia="宋体"/>
          <w:b w:val="0"/>
          <w:sz w:val="21"/>
          <w:szCs w:val="21"/>
        </w:rPr>
      </w:pPr>
      <w:r>
        <w:rPr>
          <w:rFonts w:hint="eastAsia" w:ascii="宋体" w:hAnsi="宋体" w:eastAsia="宋体"/>
          <w:b w:val="0"/>
          <w:sz w:val="21"/>
          <w:szCs w:val="21"/>
        </w:rPr>
        <w:t>上述违约金在当月工程进度款中直接扣除，在工地工作天数按监理人实际考勤记录为准。</w:t>
      </w:r>
      <w:r>
        <w:rPr>
          <w:rFonts w:hint="eastAsia" w:ascii="宋体" w:hAnsi="宋体" w:eastAsia="宋体"/>
          <w:b w:val="0"/>
          <w:sz w:val="21"/>
          <w:szCs w:val="21"/>
        </w:rPr>
        <w:br w:type="textWrapping"/>
      </w:r>
      <w:r>
        <w:rPr>
          <w:rFonts w:ascii="宋体" w:hAnsi="宋体" w:eastAsia="宋体"/>
          <w:sz w:val="21"/>
          <w:szCs w:val="21"/>
        </w:rPr>
        <w:t xml:space="preserve">4.7 </w:t>
      </w:r>
      <w:r>
        <w:rPr>
          <w:rFonts w:hint="eastAsia" w:ascii="宋体" w:hAnsi="宋体" w:eastAsia="宋体"/>
          <w:sz w:val="21"/>
          <w:szCs w:val="21"/>
        </w:rPr>
        <w:t>撤换承包人项目负责人和其他人员</w:t>
      </w:r>
    </w:p>
    <w:p>
      <w:pPr>
        <w:jc w:val="left"/>
        <w:textAlignment w:val="auto"/>
        <w:rPr>
          <w:rFonts w:ascii="宋体" w:hAnsi="宋体"/>
          <w:b/>
          <w:snapToGrid w:val="0"/>
          <w:sz w:val="21"/>
          <w:szCs w:val="21"/>
        </w:rPr>
      </w:pPr>
      <w:r>
        <w:rPr>
          <w:rFonts w:hint="eastAsia" w:ascii="宋体" w:hAnsi="宋体"/>
          <w:b/>
          <w:snapToGrid w:val="0"/>
          <w:sz w:val="21"/>
          <w:szCs w:val="21"/>
        </w:rPr>
        <w:t>本款补充：</w:t>
      </w:r>
    </w:p>
    <w:p>
      <w:pPr>
        <w:pStyle w:val="7"/>
        <w:snapToGrid w:val="0"/>
        <w:spacing w:line="360" w:lineRule="exact"/>
        <w:ind w:firstLine="420" w:firstLineChars="200"/>
        <w:rPr>
          <w:rFonts w:ascii="宋体" w:hAnsi="宋体" w:eastAsia="宋体"/>
          <w:b w:val="0"/>
          <w:sz w:val="21"/>
          <w:szCs w:val="21"/>
        </w:rPr>
      </w:pPr>
      <w:r>
        <w:rPr>
          <w:rFonts w:hint="eastAsia" w:ascii="宋体" w:hAnsi="宋体" w:eastAsia="宋体"/>
          <w:b w:val="0"/>
          <w:sz w:val="21"/>
          <w:szCs w:val="21"/>
        </w:rPr>
        <w:t>项目负责人、技术负责人不得擅自更换。若承包人擅自更换的，除每人次需支付</w:t>
      </w:r>
      <w:r>
        <w:rPr>
          <w:rFonts w:ascii="宋体" w:hAnsi="宋体" w:eastAsia="宋体"/>
          <w:b w:val="0"/>
          <w:sz w:val="21"/>
          <w:szCs w:val="21"/>
          <w:u w:val="single"/>
        </w:rPr>
        <w:t xml:space="preserve">10 </w:t>
      </w:r>
      <w:r>
        <w:rPr>
          <w:rFonts w:hint="eastAsia" w:ascii="宋体" w:hAnsi="宋体" w:eastAsia="宋体"/>
          <w:b w:val="0"/>
          <w:sz w:val="21"/>
          <w:szCs w:val="21"/>
        </w:rPr>
        <w:t>万元的违约金外，发包人有权将其作为不良行为记录上报水行政主管部门；情节特别严重的，发包人有权中止合同。项目负责人、技术负责人确需更换的，应征得发包人、原项目负责人备案主管部门同意，且更换后的人员不得低于原竞包承诺人员所具有的资格和业绩条件。</w:t>
      </w:r>
    </w:p>
    <w:p>
      <w:pPr>
        <w:pStyle w:val="7"/>
        <w:snapToGrid w:val="0"/>
        <w:spacing w:line="360" w:lineRule="exact"/>
        <w:ind w:firstLine="420" w:firstLineChars="200"/>
        <w:rPr>
          <w:rFonts w:ascii="宋体" w:hAnsi="宋体" w:eastAsia="宋体"/>
          <w:b w:val="0"/>
          <w:sz w:val="21"/>
          <w:szCs w:val="21"/>
        </w:rPr>
      </w:pPr>
      <w:r>
        <w:rPr>
          <w:rFonts w:hint="eastAsia" w:ascii="宋体" w:hAnsi="宋体" w:eastAsia="宋体"/>
          <w:b w:val="0"/>
          <w:sz w:val="21"/>
          <w:szCs w:val="21"/>
        </w:rPr>
        <w:t>承包人的安全员、质量员、施工员等人员擅自调换每一人次需支付违约金</w:t>
      </w:r>
      <w:r>
        <w:rPr>
          <w:rFonts w:ascii="宋体" w:hAnsi="宋体" w:eastAsia="宋体"/>
          <w:b w:val="0"/>
          <w:sz w:val="21"/>
          <w:szCs w:val="21"/>
          <w:u w:val="single"/>
        </w:rPr>
        <w:t xml:space="preserve">5 </w:t>
      </w:r>
      <w:r>
        <w:rPr>
          <w:rFonts w:hint="eastAsia" w:ascii="宋体" w:hAnsi="宋体" w:eastAsia="宋体"/>
          <w:b w:val="0"/>
          <w:sz w:val="21"/>
          <w:szCs w:val="21"/>
        </w:rPr>
        <w:t>万元。</w:t>
      </w:r>
    </w:p>
    <w:p>
      <w:pPr>
        <w:pStyle w:val="7"/>
        <w:snapToGrid w:val="0"/>
        <w:spacing w:line="360" w:lineRule="exact"/>
        <w:ind w:firstLine="420" w:firstLineChars="200"/>
        <w:rPr>
          <w:rFonts w:ascii="宋体" w:hAnsi="宋体" w:eastAsia="宋体"/>
          <w:b w:val="0"/>
          <w:sz w:val="21"/>
          <w:szCs w:val="21"/>
        </w:rPr>
      </w:pPr>
      <w:r>
        <w:rPr>
          <w:rFonts w:hint="eastAsia" w:ascii="宋体" w:hAnsi="宋体" w:eastAsia="宋体"/>
          <w:b w:val="0"/>
          <w:sz w:val="21"/>
          <w:szCs w:val="21"/>
        </w:rPr>
        <w:t>违约金在工程进度付款中扣除。</w:t>
      </w:r>
    </w:p>
    <w:p>
      <w:pPr>
        <w:pStyle w:val="7"/>
        <w:snapToGrid w:val="0"/>
        <w:spacing w:line="360" w:lineRule="exact"/>
        <w:rPr>
          <w:rFonts w:ascii="宋体" w:hAnsi="宋体" w:eastAsia="宋体"/>
          <w:sz w:val="21"/>
          <w:szCs w:val="21"/>
        </w:rPr>
      </w:pPr>
      <w:r>
        <w:rPr>
          <w:rFonts w:ascii="宋体" w:hAnsi="宋体" w:eastAsia="宋体"/>
          <w:sz w:val="21"/>
          <w:szCs w:val="21"/>
        </w:rPr>
        <w:t>4.</w:t>
      </w:r>
      <w:r>
        <w:rPr>
          <w:rFonts w:hint="eastAsia" w:ascii="宋体" w:hAnsi="宋体" w:eastAsia="宋体"/>
          <w:sz w:val="21"/>
          <w:szCs w:val="21"/>
        </w:rPr>
        <w:t>11不利物质条件</w:t>
      </w:r>
    </w:p>
    <w:p>
      <w:pPr>
        <w:snapToGrid w:val="0"/>
        <w:spacing w:line="360" w:lineRule="exact"/>
        <w:ind w:firstLine="420" w:firstLineChars="200"/>
        <w:rPr>
          <w:rFonts w:ascii="宋体" w:hAnsi="宋体"/>
          <w:snapToGrid w:val="0"/>
          <w:sz w:val="21"/>
          <w:szCs w:val="21"/>
        </w:rPr>
      </w:pPr>
      <w:r>
        <w:rPr>
          <w:rFonts w:hint="eastAsia" w:ascii="宋体" w:hAnsi="宋体"/>
          <w:snapToGrid w:val="0"/>
          <w:sz w:val="21"/>
          <w:szCs w:val="21"/>
        </w:rPr>
        <w:t>4.11.1 不利物质条件的范围：</w:t>
      </w:r>
      <w:r>
        <w:rPr>
          <w:rFonts w:hint="eastAsia" w:ascii="宋体" w:hAnsi="宋体"/>
          <w:iCs/>
          <w:snapToGrid w:val="0"/>
          <w:sz w:val="21"/>
          <w:szCs w:val="21"/>
          <w:u w:val="single"/>
        </w:rPr>
        <w:t>施工中遇到文物或古迹</w:t>
      </w:r>
      <w:r>
        <w:rPr>
          <w:rFonts w:ascii="宋体" w:hAnsi="宋体"/>
          <w:snapToGrid w:val="0"/>
          <w:sz w:val="21"/>
          <w:szCs w:val="21"/>
        </w:rPr>
        <w:t>。</w:t>
      </w:r>
    </w:p>
    <w:p>
      <w:pPr>
        <w:pStyle w:val="6"/>
        <w:snapToGrid w:val="0"/>
        <w:spacing w:line="360" w:lineRule="exact"/>
        <w:rPr>
          <w:rFonts w:ascii="宋体" w:hAnsi="宋体" w:eastAsia="宋体"/>
          <w:snapToGrid w:val="0"/>
          <w:sz w:val="21"/>
          <w:szCs w:val="21"/>
        </w:rPr>
      </w:pPr>
      <w:bookmarkStart w:id="223" w:name="_Toc217819047"/>
      <w:bookmarkStart w:id="224" w:name="_Toc31448"/>
      <w:bookmarkStart w:id="225" w:name="_Toc452839283"/>
      <w:bookmarkStart w:id="226" w:name="_Toc405378484"/>
      <w:bookmarkStart w:id="227" w:name="_Toc335853933"/>
      <w:bookmarkStart w:id="228" w:name="_Toc336325284"/>
      <w:bookmarkStart w:id="229" w:name="_Toc311407688"/>
      <w:r>
        <w:rPr>
          <w:rFonts w:ascii="宋体" w:hAnsi="宋体" w:eastAsia="宋体"/>
          <w:snapToGrid w:val="0"/>
          <w:sz w:val="21"/>
          <w:szCs w:val="21"/>
        </w:rPr>
        <w:t>5材料和工程设备</w:t>
      </w:r>
      <w:bookmarkEnd w:id="223"/>
      <w:bookmarkEnd w:id="224"/>
      <w:bookmarkEnd w:id="225"/>
      <w:bookmarkEnd w:id="226"/>
      <w:bookmarkEnd w:id="227"/>
      <w:bookmarkEnd w:id="228"/>
      <w:bookmarkEnd w:id="229"/>
    </w:p>
    <w:p>
      <w:pPr>
        <w:pStyle w:val="7"/>
        <w:snapToGrid w:val="0"/>
        <w:spacing w:line="360" w:lineRule="exact"/>
        <w:rPr>
          <w:rFonts w:ascii="宋体" w:hAnsi="宋体" w:eastAsia="宋体"/>
          <w:sz w:val="21"/>
          <w:szCs w:val="21"/>
        </w:rPr>
      </w:pPr>
      <w:r>
        <w:rPr>
          <w:rFonts w:ascii="宋体" w:hAnsi="宋体" w:eastAsia="宋体"/>
          <w:sz w:val="21"/>
          <w:szCs w:val="21"/>
        </w:rPr>
        <w:t>5.2 发包人提供的材料和工程设备</w:t>
      </w:r>
    </w:p>
    <w:p>
      <w:pPr>
        <w:pStyle w:val="4"/>
        <w:snapToGrid w:val="0"/>
        <w:spacing w:line="360" w:lineRule="exact"/>
        <w:rPr>
          <w:rFonts w:ascii="宋体" w:hAnsi="宋体"/>
          <w:snapToGrid w:val="0"/>
          <w:sz w:val="21"/>
          <w:szCs w:val="21"/>
        </w:rPr>
      </w:pPr>
      <w:bookmarkStart w:id="230" w:name="_Toc241374751"/>
      <w:bookmarkStart w:id="231" w:name="_Toc184635103"/>
      <w:r>
        <w:rPr>
          <w:rFonts w:hint="eastAsia" w:ascii="宋体" w:hAnsi="宋体"/>
          <w:snapToGrid w:val="0"/>
          <w:sz w:val="21"/>
          <w:szCs w:val="21"/>
        </w:rPr>
        <w:t>本合同发包人无材料和工程设备提供。</w:t>
      </w:r>
    </w:p>
    <w:p>
      <w:pPr>
        <w:pStyle w:val="6"/>
        <w:snapToGrid w:val="0"/>
        <w:spacing w:line="360" w:lineRule="exact"/>
        <w:rPr>
          <w:rFonts w:ascii="宋体" w:hAnsi="宋体" w:eastAsia="宋体"/>
          <w:snapToGrid w:val="0"/>
          <w:sz w:val="21"/>
          <w:szCs w:val="21"/>
        </w:rPr>
      </w:pPr>
      <w:bookmarkStart w:id="232" w:name="_Toc336325285"/>
      <w:bookmarkStart w:id="233" w:name="_Toc452839284"/>
      <w:bookmarkStart w:id="234" w:name="_Toc405378485"/>
      <w:bookmarkStart w:id="235" w:name="_Toc21794"/>
      <w:bookmarkStart w:id="236" w:name="_Toc335853934"/>
      <w:bookmarkStart w:id="237" w:name="_Toc311407689"/>
      <w:r>
        <w:rPr>
          <w:rFonts w:ascii="宋体" w:hAnsi="宋体" w:eastAsia="宋体"/>
          <w:snapToGrid w:val="0"/>
          <w:sz w:val="21"/>
          <w:szCs w:val="21"/>
        </w:rPr>
        <w:t>6施工设备和临时设施</w:t>
      </w:r>
      <w:bookmarkEnd w:id="230"/>
      <w:bookmarkEnd w:id="231"/>
      <w:bookmarkEnd w:id="232"/>
      <w:bookmarkEnd w:id="233"/>
      <w:bookmarkEnd w:id="234"/>
      <w:bookmarkEnd w:id="235"/>
      <w:bookmarkEnd w:id="236"/>
      <w:bookmarkEnd w:id="237"/>
    </w:p>
    <w:p>
      <w:pPr>
        <w:pStyle w:val="7"/>
        <w:snapToGrid w:val="0"/>
        <w:spacing w:line="360" w:lineRule="exact"/>
        <w:rPr>
          <w:rFonts w:ascii="宋体" w:hAnsi="宋体" w:eastAsia="宋体"/>
          <w:sz w:val="21"/>
          <w:szCs w:val="21"/>
        </w:rPr>
      </w:pPr>
      <w:r>
        <w:rPr>
          <w:rFonts w:ascii="宋体" w:hAnsi="宋体" w:eastAsia="宋体"/>
          <w:sz w:val="21"/>
          <w:szCs w:val="21"/>
        </w:rPr>
        <w:t>6.2 发包人提供的施工设备和临时设施</w:t>
      </w:r>
    </w:p>
    <w:p>
      <w:pPr>
        <w:pStyle w:val="4"/>
        <w:snapToGrid w:val="0"/>
        <w:spacing w:line="360" w:lineRule="exact"/>
        <w:ind w:firstLine="0"/>
        <w:rPr>
          <w:rFonts w:ascii="宋体" w:hAnsi="宋体"/>
          <w:snapToGrid w:val="0"/>
          <w:sz w:val="21"/>
          <w:szCs w:val="21"/>
        </w:rPr>
      </w:pPr>
      <w:bookmarkStart w:id="238" w:name="_Toc452839285"/>
      <w:bookmarkStart w:id="239" w:name="_Toc335853935"/>
      <w:bookmarkStart w:id="240" w:name="_Toc336325286"/>
      <w:bookmarkStart w:id="241" w:name="_Toc241374752"/>
      <w:bookmarkStart w:id="242" w:name="_Toc405378486"/>
      <w:bookmarkStart w:id="243" w:name="_Toc311407690"/>
      <w:r>
        <w:rPr>
          <w:rFonts w:hint="eastAsia" w:ascii="宋体" w:hAnsi="宋体"/>
          <w:snapToGrid w:val="0"/>
          <w:sz w:val="21"/>
          <w:szCs w:val="21"/>
        </w:rPr>
        <w:t>（1）发包人无施工设备提供。</w:t>
      </w:r>
      <w:bookmarkEnd w:id="238"/>
    </w:p>
    <w:p>
      <w:pPr>
        <w:pStyle w:val="4"/>
        <w:snapToGrid w:val="0"/>
        <w:spacing w:line="360" w:lineRule="exact"/>
        <w:ind w:firstLine="0"/>
        <w:rPr>
          <w:rFonts w:ascii="宋体" w:hAnsi="宋体"/>
          <w:snapToGrid w:val="0"/>
          <w:sz w:val="21"/>
          <w:szCs w:val="21"/>
        </w:rPr>
      </w:pPr>
      <w:bookmarkStart w:id="244" w:name="_Toc452839286"/>
      <w:r>
        <w:rPr>
          <w:rFonts w:hint="eastAsia" w:ascii="宋体" w:hAnsi="宋体"/>
          <w:snapToGrid w:val="0"/>
          <w:sz w:val="21"/>
          <w:szCs w:val="21"/>
        </w:rPr>
        <w:t>（2）发包人无临时设施提供。</w:t>
      </w:r>
      <w:bookmarkEnd w:id="244"/>
    </w:p>
    <w:p>
      <w:pPr>
        <w:pStyle w:val="6"/>
        <w:snapToGrid w:val="0"/>
        <w:spacing w:line="360" w:lineRule="exact"/>
        <w:rPr>
          <w:rFonts w:ascii="宋体" w:hAnsi="宋体" w:eastAsia="宋体"/>
          <w:snapToGrid w:val="0"/>
          <w:sz w:val="21"/>
          <w:szCs w:val="21"/>
        </w:rPr>
      </w:pPr>
      <w:bookmarkStart w:id="245" w:name="_Toc29630"/>
      <w:bookmarkStart w:id="246" w:name="_Toc452839287"/>
      <w:r>
        <w:rPr>
          <w:rFonts w:ascii="宋体" w:hAnsi="宋体" w:eastAsia="宋体"/>
          <w:snapToGrid w:val="0"/>
          <w:sz w:val="21"/>
          <w:szCs w:val="21"/>
        </w:rPr>
        <w:t>7交通运输</w:t>
      </w:r>
      <w:bookmarkEnd w:id="239"/>
      <w:bookmarkEnd w:id="240"/>
      <w:bookmarkEnd w:id="241"/>
      <w:bookmarkEnd w:id="242"/>
      <w:bookmarkEnd w:id="243"/>
      <w:bookmarkEnd w:id="245"/>
      <w:bookmarkEnd w:id="246"/>
    </w:p>
    <w:p>
      <w:pPr>
        <w:pStyle w:val="7"/>
        <w:snapToGrid w:val="0"/>
        <w:spacing w:line="360" w:lineRule="exact"/>
        <w:rPr>
          <w:rFonts w:ascii="宋体" w:hAnsi="宋体" w:eastAsia="宋体"/>
          <w:sz w:val="21"/>
          <w:szCs w:val="21"/>
        </w:rPr>
      </w:pPr>
      <w:r>
        <w:rPr>
          <w:rFonts w:ascii="宋体" w:hAnsi="宋体" w:eastAsia="宋体"/>
          <w:sz w:val="21"/>
          <w:szCs w:val="21"/>
        </w:rPr>
        <w:t>7.</w:t>
      </w:r>
      <w:r>
        <w:rPr>
          <w:rFonts w:hint="eastAsia" w:ascii="宋体" w:hAnsi="宋体" w:eastAsia="宋体"/>
          <w:sz w:val="21"/>
          <w:szCs w:val="21"/>
        </w:rPr>
        <w:t xml:space="preserve">1道路通行权和场外设施 </w:t>
      </w:r>
    </w:p>
    <w:p>
      <w:pPr>
        <w:pStyle w:val="4"/>
        <w:snapToGrid w:val="0"/>
        <w:spacing w:line="360" w:lineRule="exact"/>
        <w:ind w:firstLine="420" w:firstLineChars="200"/>
        <w:rPr>
          <w:rFonts w:ascii="宋体" w:hAnsi="宋体"/>
          <w:snapToGrid w:val="0"/>
          <w:sz w:val="21"/>
          <w:szCs w:val="21"/>
        </w:rPr>
      </w:pPr>
      <w:r>
        <w:rPr>
          <w:rFonts w:hint="eastAsia" w:ascii="宋体" w:hAnsi="宋体"/>
          <w:snapToGrid w:val="0"/>
          <w:sz w:val="21"/>
          <w:szCs w:val="21"/>
        </w:rPr>
        <w:t>道路通行权和场外设施的约定：</w:t>
      </w:r>
    </w:p>
    <w:p>
      <w:pPr>
        <w:pStyle w:val="4"/>
        <w:snapToGrid w:val="0"/>
        <w:spacing w:line="360" w:lineRule="exact"/>
        <w:ind w:firstLine="420" w:firstLineChars="200"/>
        <w:rPr>
          <w:rFonts w:ascii="宋体" w:hAnsi="宋体"/>
          <w:snapToGrid w:val="0"/>
          <w:sz w:val="21"/>
          <w:szCs w:val="21"/>
          <w:u w:val="single"/>
        </w:rPr>
      </w:pPr>
      <w:r>
        <w:rPr>
          <w:rFonts w:hint="eastAsia" w:ascii="宋体" w:hAnsi="宋体"/>
          <w:snapToGrid w:val="0"/>
          <w:sz w:val="21"/>
          <w:szCs w:val="21"/>
        </w:rPr>
        <w:t>1</w:t>
      </w:r>
      <w:r>
        <w:rPr>
          <w:rFonts w:hint="eastAsia" w:ascii="宋体" w:hAnsi="宋体"/>
          <w:snapToGrid w:val="0"/>
          <w:sz w:val="21"/>
          <w:szCs w:val="21"/>
          <w:u w:val="single"/>
        </w:rPr>
        <w:t>、承包人自行协调场外道路及设施，并负责由于承包人原因造成的道路破损的维修；</w:t>
      </w:r>
    </w:p>
    <w:p>
      <w:pPr>
        <w:pStyle w:val="4"/>
        <w:snapToGrid w:val="0"/>
        <w:spacing w:line="360" w:lineRule="exact"/>
        <w:ind w:firstLine="420" w:firstLineChars="200"/>
        <w:rPr>
          <w:rFonts w:ascii="宋体" w:hAnsi="宋体"/>
          <w:snapToGrid w:val="0"/>
          <w:sz w:val="21"/>
          <w:szCs w:val="21"/>
          <w:u w:val="single"/>
        </w:rPr>
      </w:pPr>
      <w:r>
        <w:rPr>
          <w:rFonts w:hint="eastAsia" w:ascii="宋体" w:hAnsi="宋体"/>
          <w:snapToGrid w:val="0"/>
          <w:sz w:val="21"/>
          <w:szCs w:val="21"/>
          <w:u w:val="single"/>
        </w:rPr>
        <w:t>2、承包方负责场内过境车辆的协调和分流工作；</w:t>
      </w:r>
    </w:p>
    <w:p>
      <w:pPr>
        <w:pStyle w:val="4"/>
        <w:snapToGrid w:val="0"/>
        <w:spacing w:line="360" w:lineRule="exact"/>
        <w:ind w:firstLine="420" w:firstLineChars="200"/>
        <w:rPr>
          <w:rFonts w:ascii="宋体" w:hAnsi="宋体"/>
          <w:snapToGrid w:val="0"/>
          <w:sz w:val="21"/>
          <w:szCs w:val="21"/>
          <w:u w:val="single"/>
        </w:rPr>
      </w:pPr>
      <w:r>
        <w:rPr>
          <w:rFonts w:hint="eastAsia" w:ascii="宋体" w:hAnsi="宋体"/>
          <w:snapToGrid w:val="0"/>
          <w:sz w:val="21"/>
          <w:szCs w:val="21"/>
          <w:u w:val="single"/>
        </w:rPr>
        <w:t>3、本条1～2款相关费用计入其他临时工程费，不再另行计费。</w:t>
      </w:r>
    </w:p>
    <w:p>
      <w:pPr>
        <w:pStyle w:val="6"/>
        <w:snapToGrid w:val="0"/>
        <w:spacing w:line="360" w:lineRule="exact"/>
        <w:rPr>
          <w:rFonts w:ascii="宋体" w:hAnsi="宋体" w:eastAsia="宋体"/>
          <w:snapToGrid w:val="0"/>
          <w:sz w:val="21"/>
          <w:szCs w:val="21"/>
        </w:rPr>
      </w:pPr>
      <w:bookmarkStart w:id="247" w:name="_Toc140637786"/>
      <w:bookmarkStart w:id="248" w:name="_Toc211414973"/>
      <w:bookmarkStart w:id="249" w:name="_Toc180571570"/>
      <w:bookmarkStart w:id="250" w:name="_Toc139938722"/>
      <w:bookmarkStart w:id="251" w:name="_Toc335853936"/>
      <w:bookmarkStart w:id="252" w:name="_Toc452839288"/>
      <w:bookmarkStart w:id="253" w:name="_Toc405378487"/>
      <w:bookmarkStart w:id="254" w:name="_Toc42486664"/>
      <w:bookmarkStart w:id="255" w:name="_Toc217819050"/>
      <w:bookmarkStart w:id="256" w:name="_Toc336325287"/>
      <w:bookmarkStart w:id="257" w:name="_Toc205630997"/>
      <w:bookmarkStart w:id="258" w:name="_Toc45083852"/>
      <w:bookmarkStart w:id="259" w:name="_Toc25901"/>
      <w:bookmarkStart w:id="260" w:name="_Toc311407691"/>
      <w:r>
        <w:rPr>
          <w:rFonts w:ascii="宋体" w:hAnsi="宋体" w:eastAsia="宋体"/>
          <w:snapToGrid w:val="0"/>
          <w:sz w:val="21"/>
          <w:szCs w:val="21"/>
        </w:rPr>
        <w:t>8测量放线</w:t>
      </w:r>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p>
    <w:p>
      <w:pPr>
        <w:pStyle w:val="7"/>
        <w:snapToGrid w:val="0"/>
        <w:spacing w:line="360" w:lineRule="exact"/>
        <w:rPr>
          <w:rFonts w:ascii="宋体" w:hAnsi="宋体" w:eastAsia="宋体"/>
          <w:sz w:val="21"/>
          <w:szCs w:val="21"/>
        </w:rPr>
      </w:pPr>
      <w:bookmarkStart w:id="261" w:name="_Toc45083853"/>
      <w:bookmarkStart w:id="262" w:name="_Toc140637787"/>
      <w:bookmarkStart w:id="263" w:name="_Toc42486665"/>
      <w:bookmarkStart w:id="264" w:name="_Toc180571571"/>
      <w:bookmarkStart w:id="265" w:name="_Toc139938723"/>
      <w:r>
        <w:rPr>
          <w:rFonts w:ascii="宋体" w:hAnsi="宋体" w:eastAsia="宋体"/>
          <w:sz w:val="21"/>
          <w:szCs w:val="21"/>
        </w:rPr>
        <w:t>8.1 施工控制网</w:t>
      </w:r>
      <w:bookmarkEnd w:id="261"/>
      <w:bookmarkEnd w:id="262"/>
      <w:bookmarkEnd w:id="263"/>
      <w:bookmarkEnd w:id="264"/>
      <w:bookmarkEnd w:id="265"/>
    </w:p>
    <w:p>
      <w:pPr>
        <w:snapToGrid w:val="0"/>
        <w:spacing w:line="360" w:lineRule="exact"/>
        <w:ind w:firstLine="420" w:firstLineChars="200"/>
        <w:rPr>
          <w:rFonts w:ascii="宋体" w:hAnsi="宋体"/>
          <w:snapToGrid w:val="0"/>
          <w:sz w:val="21"/>
          <w:szCs w:val="21"/>
        </w:rPr>
      </w:pPr>
      <w:r>
        <w:rPr>
          <w:rFonts w:ascii="宋体" w:hAnsi="宋体"/>
          <w:snapToGrid w:val="0"/>
          <w:sz w:val="21"/>
          <w:szCs w:val="21"/>
        </w:rPr>
        <w:t>8.1.1施工控制网</w:t>
      </w:r>
      <w:r>
        <w:rPr>
          <w:rFonts w:hint="eastAsia" w:ascii="宋体" w:hAnsi="宋体"/>
          <w:snapToGrid w:val="0"/>
          <w:sz w:val="21"/>
          <w:szCs w:val="21"/>
        </w:rPr>
        <w:t>的约定：</w:t>
      </w:r>
      <w:r>
        <w:rPr>
          <w:rFonts w:ascii="宋体" w:hAnsi="宋体"/>
          <w:snapToGrid w:val="0"/>
          <w:sz w:val="21"/>
          <w:szCs w:val="21"/>
        </w:rPr>
        <w:t>发包人应在开工日期前</w:t>
      </w:r>
      <w:r>
        <w:rPr>
          <w:rFonts w:ascii="宋体" w:hAnsi="宋体"/>
          <w:snapToGrid w:val="0"/>
          <w:sz w:val="21"/>
          <w:szCs w:val="21"/>
          <w:u w:val="single"/>
        </w:rPr>
        <w:t>14</w:t>
      </w:r>
      <w:r>
        <w:rPr>
          <w:rFonts w:ascii="宋体" w:hAnsi="宋体"/>
          <w:snapToGrid w:val="0"/>
          <w:sz w:val="21"/>
          <w:szCs w:val="21"/>
        </w:rPr>
        <w:t>天内，发包人通过监理人向承包人提供测量基准点布置图、基准线和水准点及其书面资料。承包人在接到测量基准点布置图后</w:t>
      </w:r>
      <w:r>
        <w:rPr>
          <w:rFonts w:ascii="宋体" w:hAnsi="宋体"/>
          <w:snapToGrid w:val="0"/>
          <w:sz w:val="21"/>
          <w:szCs w:val="21"/>
          <w:u w:val="single"/>
        </w:rPr>
        <w:t>14</w:t>
      </w:r>
      <w:r>
        <w:rPr>
          <w:rFonts w:ascii="宋体" w:hAnsi="宋体"/>
          <w:snapToGrid w:val="0"/>
          <w:sz w:val="21"/>
          <w:szCs w:val="21"/>
        </w:rPr>
        <w:t>天内完成施工控制网布设，并将施工控制网资料报送监理人审批。</w:t>
      </w:r>
    </w:p>
    <w:p>
      <w:pPr>
        <w:pStyle w:val="6"/>
        <w:snapToGrid w:val="0"/>
        <w:spacing w:line="360" w:lineRule="exact"/>
        <w:rPr>
          <w:rFonts w:ascii="宋体" w:hAnsi="宋体" w:eastAsia="宋体"/>
          <w:snapToGrid w:val="0"/>
          <w:sz w:val="21"/>
          <w:szCs w:val="21"/>
        </w:rPr>
      </w:pPr>
      <w:bookmarkStart w:id="266" w:name="_Toc311407692"/>
      <w:bookmarkStart w:id="267" w:name="_Toc335853937"/>
      <w:bookmarkStart w:id="268" w:name="_Toc336325288"/>
      <w:bookmarkStart w:id="269" w:name="_Toc405378488"/>
      <w:bookmarkStart w:id="270" w:name="_Toc259802231"/>
      <w:bookmarkStart w:id="271" w:name="_Toc452839289"/>
      <w:bookmarkStart w:id="272" w:name="_Toc26632"/>
      <w:r>
        <w:rPr>
          <w:rFonts w:hint="eastAsia" w:ascii="宋体" w:hAnsi="宋体" w:eastAsia="宋体"/>
          <w:snapToGrid w:val="0"/>
          <w:sz w:val="21"/>
          <w:szCs w:val="21"/>
        </w:rPr>
        <w:t>9 施工安全、治安保卫和环境保护</w:t>
      </w:r>
      <w:bookmarkEnd w:id="266"/>
      <w:bookmarkEnd w:id="267"/>
      <w:bookmarkEnd w:id="268"/>
      <w:bookmarkEnd w:id="269"/>
      <w:bookmarkEnd w:id="270"/>
      <w:bookmarkEnd w:id="271"/>
      <w:bookmarkEnd w:id="272"/>
    </w:p>
    <w:p>
      <w:pPr>
        <w:pStyle w:val="7"/>
        <w:snapToGrid w:val="0"/>
        <w:spacing w:line="360" w:lineRule="exact"/>
        <w:rPr>
          <w:rFonts w:ascii="宋体" w:hAnsi="宋体" w:eastAsia="宋体"/>
          <w:sz w:val="21"/>
          <w:szCs w:val="21"/>
        </w:rPr>
      </w:pPr>
      <w:r>
        <w:rPr>
          <w:rFonts w:hint="eastAsia" w:ascii="宋体" w:hAnsi="宋体" w:eastAsia="宋体"/>
          <w:sz w:val="21"/>
          <w:szCs w:val="21"/>
        </w:rPr>
        <w:t>9</w:t>
      </w:r>
      <w:r>
        <w:rPr>
          <w:rFonts w:ascii="宋体" w:hAnsi="宋体" w:eastAsia="宋体"/>
          <w:sz w:val="21"/>
          <w:szCs w:val="21"/>
        </w:rPr>
        <w:t xml:space="preserve">.1 </w:t>
      </w:r>
      <w:r>
        <w:rPr>
          <w:rFonts w:hint="eastAsia" w:ascii="宋体" w:hAnsi="宋体" w:eastAsia="宋体"/>
          <w:sz w:val="21"/>
          <w:szCs w:val="21"/>
        </w:rPr>
        <w:t>发包人的施工安全责任</w:t>
      </w:r>
    </w:p>
    <w:p>
      <w:pPr>
        <w:snapToGrid w:val="0"/>
        <w:spacing w:line="360" w:lineRule="exact"/>
        <w:ind w:firstLine="420" w:firstLineChars="200"/>
        <w:rPr>
          <w:rFonts w:ascii="宋体" w:hAnsi="宋体"/>
          <w:snapToGrid w:val="0"/>
          <w:sz w:val="21"/>
          <w:szCs w:val="21"/>
        </w:rPr>
      </w:pPr>
      <w:r>
        <w:rPr>
          <w:rFonts w:hint="eastAsia" w:ascii="宋体" w:hAnsi="宋体"/>
          <w:snapToGrid w:val="0"/>
          <w:sz w:val="21"/>
          <w:szCs w:val="21"/>
        </w:rPr>
        <w:t>9.1.4 发包人提供</w:t>
      </w:r>
      <w:r>
        <w:rPr>
          <w:rFonts w:hint="eastAsia" w:ascii="宋体" w:hAnsi="宋体"/>
          <w:snapToGrid w:val="0"/>
          <w:sz w:val="21"/>
          <w:szCs w:val="21"/>
          <w:u w:val="single"/>
        </w:rPr>
        <w:t xml:space="preserve">  /  </w:t>
      </w:r>
      <w:r>
        <w:rPr>
          <w:rFonts w:hint="eastAsia" w:ascii="宋体" w:hAnsi="宋体"/>
          <w:snapToGrid w:val="0"/>
          <w:sz w:val="21"/>
          <w:szCs w:val="21"/>
        </w:rPr>
        <w:t>资料，其余资料由承包人负责收集。</w:t>
      </w:r>
    </w:p>
    <w:p>
      <w:pPr>
        <w:pStyle w:val="7"/>
        <w:snapToGrid w:val="0"/>
        <w:spacing w:line="360" w:lineRule="exact"/>
        <w:rPr>
          <w:rFonts w:ascii="宋体" w:hAnsi="宋体" w:eastAsia="宋体"/>
          <w:sz w:val="21"/>
          <w:szCs w:val="21"/>
        </w:rPr>
      </w:pPr>
      <w:r>
        <w:rPr>
          <w:rFonts w:hint="eastAsia" w:ascii="宋体" w:hAnsi="宋体" w:eastAsia="宋体"/>
          <w:sz w:val="21"/>
          <w:szCs w:val="21"/>
        </w:rPr>
        <w:t>9</w:t>
      </w:r>
      <w:r>
        <w:rPr>
          <w:rFonts w:ascii="宋体" w:hAnsi="宋体" w:eastAsia="宋体"/>
          <w:sz w:val="21"/>
          <w:szCs w:val="21"/>
        </w:rPr>
        <w:t>.</w:t>
      </w:r>
      <w:r>
        <w:rPr>
          <w:rFonts w:hint="eastAsia" w:ascii="宋体" w:hAnsi="宋体" w:eastAsia="宋体"/>
          <w:sz w:val="21"/>
          <w:szCs w:val="21"/>
        </w:rPr>
        <w:t>2承包人的施工安全责任</w:t>
      </w:r>
    </w:p>
    <w:p>
      <w:pPr>
        <w:snapToGrid w:val="0"/>
        <w:spacing w:line="360" w:lineRule="exact"/>
        <w:ind w:firstLine="420" w:firstLineChars="200"/>
        <w:rPr>
          <w:rFonts w:ascii="宋体" w:hAnsi="宋体"/>
          <w:snapToGrid w:val="0"/>
          <w:sz w:val="21"/>
          <w:szCs w:val="21"/>
        </w:rPr>
      </w:pPr>
      <w:r>
        <w:rPr>
          <w:rFonts w:hint="eastAsia" w:ascii="宋体" w:hAnsi="宋体"/>
          <w:snapToGrid w:val="0"/>
          <w:sz w:val="21"/>
          <w:szCs w:val="21"/>
        </w:rPr>
        <w:t>9.2.12 下列工程应编制专项施工方案</w:t>
      </w:r>
      <w:r>
        <w:rPr>
          <w:rFonts w:hint="eastAsia" w:ascii="宋体" w:hAnsi="宋体"/>
          <w:snapToGrid w:val="0"/>
          <w:sz w:val="21"/>
          <w:szCs w:val="21"/>
          <w:u w:val="single"/>
        </w:rPr>
        <w:t xml:space="preserve">  /  </w:t>
      </w:r>
      <w:r>
        <w:rPr>
          <w:rFonts w:hint="eastAsia" w:ascii="宋体" w:hAnsi="宋体"/>
          <w:snapToGrid w:val="0"/>
          <w:sz w:val="21"/>
          <w:szCs w:val="21"/>
        </w:rPr>
        <w:t>：，其中</w:t>
      </w:r>
      <w:r>
        <w:rPr>
          <w:rFonts w:hint="eastAsia" w:ascii="宋体" w:hAnsi="宋体"/>
          <w:snapToGrid w:val="0"/>
          <w:sz w:val="21"/>
          <w:szCs w:val="21"/>
          <w:u w:val="single"/>
        </w:rPr>
        <w:t xml:space="preserve">  /  </w:t>
      </w:r>
      <w:r>
        <w:rPr>
          <w:rFonts w:hint="eastAsia" w:ascii="宋体" w:hAnsi="宋体"/>
          <w:snapToGrid w:val="0"/>
          <w:sz w:val="21"/>
          <w:szCs w:val="21"/>
        </w:rPr>
        <w:t>应组织专家论证和审查。</w:t>
      </w:r>
    </w:p>
    <w:p>
      <w:pPr>
        <w:pStyle w:val="7"/>
        <w:snapToGrid w:val="0"/>
        <w:spacing w:line="360" w:lineRule="exact"/>
        <w:rPr>
          <w:rFonts w:ascii="宋体" w:hAnsi="宋体" w:eastAsia="宋体"/>
          <w:sz w:val="21"/>
          <w:szCs w:val="21"/>
        </w:rPr>
      </w:pPr>
      <w:r>
        <w:rPr>
          <w:rFonts w:hint="eastAsia" w:ascii="宋体" w:hAnsi="宋体" w:eastAsia="宋体"/>
          <w:sz w:val="21"/>
          <w:szCs w:val="21"/>
        </w:rPr>
        <w:t>9</w:t>
      </w:r>
      <w:r>
        <w:rPr>
          <w:rFonts w:ascii="宋体" w:hAnsi="宋体" w:eastAsia="宋体"/>
          <w:sz w:val="21"/>
          <w:szCs w:val="21"/>
        </w:rPr>
        <w:t>.</w:t>
      </w:r>
      <w:r>
        <w:rPr>
          <w:rFonts w:hint="eastAsia" w:ascii="宋体" w:hAnsi="宋体" w:eastAsia="宋体"/>
          <w:sz w:val="21"/>
          <w:szCs w:val="21"/>
        </w:rPr>
        <w:t>7文明工地</w:t>
      </w:r>
    </w:p>
    <w:p>
      <w:pPr>
        <w:snapToGrid w:val="0"/>
        <w:spacing w:line="360" w:lineRule="exact"/>
        <w:ind w:firstLine="420" w:firstLineChars="200"/>
        <w:rPr>
          <w:rFonts w:ascii="宋体" w:hAnsi="宋体"/>
          <w:snapToGrid w:val="0"/>
          <w:sz w:val="21"/>
          <w:szCs w:val="21"/>
        </w:rPr>
      </w:pPr>
      <w:r>
        <w:rPr>
          <w:rFonts w:hint="eastAsia" w:ascii="宋体" w:hAnsi="宋体"/>
          <w:snapToGrid w:val="0"/>
          <w:sz w:val="21"/>
          <w:szCs w:val="21"/>
        </w:rPr>
        <w:t>本合同文明工地的约定：</w:t>
      </w:r>
      <w:r>
        <w:rPr>
          <w:rFonts w:hint="eastAsia" w:ascii="宋体" w:hAnsi="宋体"/>
          <w:snapToGrid w:val="0"/>
          <w:sz w:val="21"/>
          <w:szCs w:val="21"/>
          <w:u w:val="single"/>
        </w:rPr>
        <w:t>争创文明施工工地</w:t>
      </w:r>
      <w:r>
        <w:rPr>
          <w:rFonts w:hint="eastAsia" w:ascii="宋体" w:hAnsi="宋体"/>
          <w:snapToGrid w:val="0"/>
          <w:sz w:val="21"/>
          <w:szCs w:val="21"/>
        </w:rPr>
        <w:t>。</w:t>
      </w:r>
    </w:p>
    <w:p>
      <w:pPr>
        <w:pStyle w:val="6"/>
        <w:snapToGrid w:val="0"/>
        <w:spacing w:line="360" w:lineRule="exact"/>
        <w:rPr>
          <w:rFonts w:ascii="宋体" w:hAnsi="宋体" w:eastAsia="宋体"/>
          <w:snapToGrid w:val="0"/>
          <w:sz w:val="21"/>
          <w:szCs w:val="21"/>
        </w:rPr>
      </w:pPr>
      <w:bookmarkStart w:id="273" w:name="_Toc184635108"/>
      <w:bookmarkStart w:id="274" w:name="_Toc217819051"/>
      <w:bookmarkStart w:id="275" w:name="_Toc452839290"/>
      <w:bookmarkStart w:id="276" w:name="_Toc405378489"/>
      <w:bookmarkStart w:id="277" w:name="_Toc311407694"/>
      <w:bookmarkStart w:id="278" w:name="_Toc336325289"/>
      <w:bookmarkStart w:id="279" w:name="_Toc23858"/>
      <w:bookmarkStart w:id="280" w:name="_Toc335853938"/>
      <w:r>
        <w:rPr>
          <w:rFonts w:ascii="宋体" w:hAnsi="宋体" w:eastAsia="宋体"/>
          <w:snapToGrid w:val="0"/>
          <w:sz w:val="21"/>
          <w:szCs w:val="21"/>
        </w:rPr>
        <w:t>11开工和</w:t>
      </w:r>
      <w:r>
        <w:rPr>
          <w:rFonts w:hint="eastAsia" w:ascii="宋体" w:hAnsi="宋体" w:eastAsia="宋体"/>
          <w:snapToGrid w:val="0"/>
          <w:sz w:val="21"/>
          <w:szCs w:val="21"/>
        </w:rPr>
        <w:t>竣工（</w:t>
      </w:r>
      <w:r>
        <w:rPr>
          <w:rFonts w:ascii="宋体" w:hAnsi="宋体" w:eastAsia="宋体"/>
          <w:snapToGrid w:val="0"/>
          <w:sz w:val="21"/>
          <w:szCs w:val="21"/>
        </w:rPr>
        <w:t>完工</w:t>
      </w:r>
      <w:bookmarkEnd w:id="273"/>
      <w:bookmarkEnd w:id="274"/>
      <w:r>
        <w:rPr>
          <w:rFonts w:hint="eastAsia" w:ascii="宋体" w:hAnsi="宋体" w:eastAsia="宋体"/>
          <w:snapToGrid w:val="0"/>
          <w:sz w:val="21"/>
          <w:szCs w:val="21"/>
        </w:rPr>
        <w:t>）</w:t>
      </w:r>
      <w:bookmarkEnd w:id="275"/>
      <w:bookmarkEnd w:id="276"/>
      <w:bookmarkEnd w:id="277"/>
      <w:bookmarkEnd w:id="278"/>
      <w:bookmarkEnd w:id="279"/>
      <w:bookmarkEnd w:id="280"/>
    </w:p>
    <w:p>
      <w:pPr>
        <w:pStyle w:val="7"/>
        <w:snapToGrid w:val="0"/>
        <w:spacing w:line="360" w:lineRule="exact"/>
        <w:rPr>
          <w:rFonts w:ascii="宋体" w:hAnsi="宋体" w:eastAsia="宋体"/>
          <w:sz w:val="21"/>
          <w:szCs w:val="21"/>
        </w:rPr>
      </w:pPr>
      <w:bookmarkStart w:id="281" w:name="_Toc335853939"/>
      <w:bookmarkStart w:id="282" w:name="_Toc311407695"/>
      <w:bookmarkStart w:id="283" w:name="_Toc336255176"/>
      <w:r>
        <w:rPr>
          <w:rFonts w:ascii="宋体" w:hAnsi="宋体" w:eastAsia="宋体"/>
          <w:sz w:val="21"/>
          <w:szCs w:val="21"/>
        </w:rPr>
        <w:t>11.1 开工</w:t>
      </w:r>
      <w:bookmarkEnd w:id="281"/>
      <w:bookmarkEnd w:id="282"/>
      <w:bookmarkEnd w:id="283"/>
    </w:p>
    <w:p>
      <w:pPr>
        <w:snapToGrid w:val="0"/>
        <w:spacing w:line="360" w:lineRule="exact"/>
        <w:ind w:firstLine="420" w:firstLineChars="200"/>
        <w:rPr>
          <w:rFonts w:ascii="宋体" w:hAnsi="宋体"/>
          <w:snapToGrid w:val="0"/>
          <w:sz w:val="21"/>
          <w:szCs w:val="21"/>
        </w:rPr>
      </w:pPr>
      <w:r>
        <w:rPr>
          <w:rFonts w:hint="eastAsia" w:ascii="宋体" w:hAnsi="宋体"/>
          <w:snapToGrid w:val="0"/>
          <w:sz w:val="21"/>
          <w:szCs w:val="21"/>
        </w:rPr>
        <w:t>本工程计划于2020年开工。具体开工日期以监理工程师发出的开工令或业主指令为准。</w:t>
      </w:r>
    </w:p>
    <w:p>
      <w:pPr>
        <w:snapToGrid w:val="0"/>
        <w:spacing w:line="360" w:lineRule="exact"/>
        <w:ind w:firstLine="512" w:firstLineChars="244"/>
        <w:rPr>
          <w:rFonts w:ascii="宋体" w:hAnsi="宋体"/>
          <w:b/>
          <w:sz w:val="21"/>
          <w:szCs w:val="21"/>
        </w:rPr>
      </w:pPr>
      <w:r>
        <w:rPr>
          <w:rFonts w:hint="eastAsia" w:ascii="宋体" w:hAnsi="宋体"/>
          <w:b/>
          <w:sz w:val="21"/>
          <w:szCs w:val="21"/>
        </w:rPr>
        <w:t>11.2  竣工（完工）</w:t>
      </w:r>
    </w:p>
    <w:p>
      <w:pPr>
        <w:snapToGrid w:val="0"/>
        <w:spacing w:line="360" w:lineRule="exact"/>
        <w:ind w:firstLine="420" w:firstLineChars="200"/>
        <w:rPr>
          <w:rFonts w:ascii="宋体" w:hAnsi="宋体"/>
          <w:snapToGrid w:val="0"/>
          <w:sz w:val="21"/>
          <w:szCs w:val="21"/>
        </w:rPr>
      </w:pPr>
      <w:r>
        <w:rPr>
          <w:rFonts w:hint="eastAsia" w:ascii="宋体" w:hAnsi="宋体"/>
          <w:snapToGrid w:val="0"/>
          <w:sz w:val="21"/>
          <w:szCs w:val="21"/>
        </w:rPr>
        <w:t>全部工程要求自监理工程师发出的开工令或业主指令起</w:t>
      </w:r>
      <w:r>
        <w:rPr>
          <w:rFonts w:hint="eastAsia" w:ascii="宋体" w:hAnsi="宋体"/>
          <w:b/>
          <w:bCs/>
          <w:snapToGrid w:val="0"/>
          <w:sz w:val="21"/>
          <w:szCs w:val="21"/>
          <w:lang w:val="en-US" w:eastAsia="zh-CN"/>
        </w:rPr>
        <w:t>6</w:t>
      </w:r>
      <w:r>
        <w:rPr>
          <w:rFonts w:hint="eastAsia" w:ascii="宋体" w:hAnsi="宋体"/>
          <w:b/>
          <w:bCs/>
          <w:snapToGrid w:val="0"/>
          <w:sz w:val="21"/>
          <w:szCs w:val="21"/>
        </w:rPr>
        <w:t>0日历天</w:t>
      </w:r>
      <w:r>
        <w:rPr>
          <w:rFonts w:hint="eastAsia" w:ascii="宋体" w:hAnsi="宋体"/>
          <w:snapToGrid w:val="0"/>
          <w:sz w:val="21"/>
          <w:szCs w:val="21"/>
        </w:rPr>
        <w:t>内完工。</w:t>
      </w:r>
    </w:p>
    <w:p>
      <w:pPr>
        <w:snapToGrid w:val="0"/>
        <w:spacing w:line="360" w:lineRule="exact"/>
        <w:jc w:val="left"/>
        <w:rPr>
          <w:rFonts w:ascii="宋体" w:hAnsi="宋体"/>
          <w:b/>
          <w:sz w:val="21"/>
          <w:szCs w:val="21"/>
        </w:rPr>
      </w:pPr>
      <w:r>
        <w:rPr>
          <w:rFonts w:hint="eastAsia" w:ascii="宋体" w:hAnsi="宋体"/>
          <w:b/>
          <w:sz w:val="21"/>
          <w:szCs w:val="21"/>
        </w:rPr>
        <w:t>11.4  异常恶劣的气候条件</w:t>
      </w:r>
    </w:p>
    <w:p>
      <w:pPr>
        <w:snapToGrid w:val="0"/>
        <w:spacing w:line="360" w:lineRule="exact"/>
        <w:ind w:firstLine="405"/>
        <w:jc w:val="left"/>
        <w:rPr>
          <w:rFonts w:ascii="宋体" w:hAnsi="宋体"/>
          <w:sz w:val="21"/>
          <w:szCs w:val="21"/>
        </w:rPr>
      </w:pPr>
      <w:r>
        <w:rPr>
          <w:rFonts w:hint="eastAsia" w:ascii="宋体" w:hAnsi="宋体"/>
          <w:b/>
          <w:sz w:val="21"/>
          <w:szCs w:val="21"/>
        </w:rPr>
        <w:t xml:space="preserve">11.4.3  </w:t>
      </w:r>
      <w:r>
        <w:rPr>
          <w:rFonts w:hint="eastAsia" w:ascii="宋体" w:hAnsi="宋体"/>
          <w:sz w:val="21"/>
          <w:szCs w:val="21"/>
        </w:rPr>
        <w:t>本合同工程届定异常恶劣气候条件的范围为：</w:t>
      </w:r>
    </w:p>
    <w:p>
      <w:pPr>
        <w:snapToGrid w:val="0"/>
        <w:spacing w:line="360" w:lineRule="exact"/>
        <w:ind w:firstLine="420" w:firstLineChars="200"/>
        <w:rPr>
          <w:rFonts w:ascii="宋体" w:hAnsi="宋体"/>
          <w:snapToGrid w:val="0"/>
          <w:sz w:val="21"/>
          <w:szCs w:val="21"/>
        </w:rPr>
      </w:pPr>
      <w:r>
        <w:rPr>
          <w:rFonts w:hint="eastAsia" w:ascii="宋体" w:hAnsi="宋体"/>
          <w:snapToGrid w:val="0"/>
          <w:sz w:val="21"/>
          <w:szCs w:val="21"/>
        </w:rPr>
        <w:t>(1) 日降雨量大于</w:t>
      </w:r>
      <w:r>
        <w:rPr>
          <w:rFonts w:hint="eastAsia" w:ascii="宋体" w:hAnsi="宋体"/>
          <w:b/>
          <w:snapToGrid w:val="0"/>
          <w:sz w:val="21"/>
          <w:szCs w:val="21"/>
          <w:u w:val="single"/>
        </w:rPr>
        <w:t xml:space="preserve"> 50 </w:t>
      </w:r>
      <w:r>
        <w:rPr>
          <w:rFonts w:hint="eastAsia" w:ascii="宋体" w:hAnsi="宋体"/>
          <w:snapToGrid w:val="0"/>
          <w:sz w:val="21"/>
          <w:szCs w:val="21"/>
        </w:rPr>
        <w:t>mm的雨日</w:t>
      </w:r>
      <w:r>
        <w:rPr>
          <w:rFonts w:hint="eastAsia" w:ascii="宋体" w:hAnsi="宋体"/>
          <w:b/>
          <w:snapToGrid w:val="0"/>
          <w:sz w:val="21"/>
          <w:szCs w:val="21"/>
        </w:rPr>
        <w:t>连续</w:t>
      </w:r>
      <w:r>
        <w:rPr>
          <w:rFonts w:hint="eastAsia" w:ascii="宋体" w:hAnsi="宋体"/>
          <w:snapToGrid w:val="0"/>
          <w:sz w:val="21"/>
          <w:szCs w:val="21"/>
        </w:rPr>
        <w:t>超过</w:t>
      </w:r>
      <w:r>
        <w:rPr>
          <w:rFonts w:hint="eastAsia" w:ascii="宋体" w:hAnsi="宋体"/>
          <w:snapToGrid w:val="0"/>
          <w:sz w:val="21"/>
          <w:szCs w:val="21"/>
          <w:u w:val="single"/>
        </w:rPr>
        <w:t xml:space="preserve"> 1</w:t>
      </w:r>
      <w:r>
        <w:rPr>
          <w:rFonts w:hint="eastAsia" w:ascii="宋体" w:hAnsi="宋体"/>
          <w:snapToGrid w:val="0"/>
          <w:sz w:val="21"/>
          <w:szCs w:val="21"/>
        </w:rPr>
        <w:t>天；</w:t>
      </w:r>
    </w:p>
    <w:p>
      <w:pPr>
        <w:snapToGrid w:val="0"/>
        <w:spacing w:line="360" w:lineRule="exact"/>
        <w:ind w:firstLine="420" w:firstLineChars="200"/>
        <w:rPr>
          <w:rFonts w:ascii="宋体" w:hAnsi="宋体"/>
          <w:snapToGrid w:val="0"/>
          <w:sz w:val="21"/>
          <w:szCs w:val="21"/>
        </w:rPr>
      </w:pPr>
      <w:r>
        <w:rPr>
          <w:rFonts w:hint="eastAsia" w:ascii="宋体" w:hAnsi="宋体"/>
          <w:snapToGrid w:val="0"/>
          <w:sz w:val="21"/>
          <w:szCs w:val="21"/>
        </w:rPr>
        <w:t>(2) 风速大于</w:t>
      </w:r>
      <w:r>
        <w:rPr>
          <w:rFonts w:hint="eastAsia" w:ascii="宋体" w:hAnsi="宋体"/>
          <w:snapToGrid w:val="0"/>
          <w:sz w:val="21"/>
          <w:szCs w:val="21"/>
          <w:u w:val="single"/>
        </w:rPr>
        <w:t xml:space="preserve"> 14  </w:t>
      </w:r>
      <w:r>
        <w:rPr>
          <w:rFonts w:hint="eastAsia" w:ascii="宋体" w:hAnsi="宋体"/>
          <w:snapToGrid w:val="0"/>
          <w:sz w:val="21"/>
          <w:szCs w:val="21"/>
        </w:rPr>
        <w:t>m/s的</w:t>
      </w:r>
      <w:r>
        <w:rPr>
          <w:rFonts w:hint="eastAsia" w:ascii="宋体" w:hAnsi="宋体"/>
          <w:snapToGrid w:val="0"/>
          <w:sz w:val="21"/>
          <w:szCs w:val="21"/>
          <w:u w:val="single"/>
        </w:rPr>
        <w:t xml:space="preserve"> 7 </w:t>
      </w:r>
      <w:r>
        <w:rPr>
          <w:rFonts w:hint="eastAsia" w:ascii="宋体" w:hAnsi="宋体"/>
          <w:snapToGrid w:val="0"/>
          <w:sz w:val="21"/>
          <w:szCs w:val="21"/>
        </w:rPr>
        <w:t>级以上台风灾害；</w:t>
      </w:r>
    </w:p>
    <w:p>
      <w:pPr>
        <w:snapToGrid w:val="0"/>
        <w:spacing w:line="360" w:lineRule="exact"/>
        <w:ind w:firstLine="420" w:firstLineChars="200"/>
        <w:rPr>
          <w:rFonts w:ascii="宋体" w:hAnsi="宋体"/>
          <w:snapToGrid w:val="0"/>
          <w:sz w:val="21"/>
          <w:szCs w:val="21"/>
        </w:rPr>
      </w:pPr>
      <w:r>
        <w:rPr>
          <w:rFonts w:hint="eastAsia" w:ascii="宋体" w:hAnsi="宋体"/>
          <w:snapToGrid w:val="0"/>
          <w:sz w:val="21"/>
          <w:szCs w:val="21"/>
        </w:rPr>
        <w:t>(3) 日气温超过</w:t>
      </w:r>
      <w:r>
        <w:rPr>
          <w:rFonts w:hint="eastAsia" w:ascii="宋体" w:hAnsi="宋体"/>
          <w:snapToGrid w:val="0"/>
          <w:sz w:val="21"/>
          <w:szCs w:val="21"/>
          <w:u w:val="single"/>
        </w:rPr>
        <w:t xml:space="preserve"> 40 </w:t>
      </w:r>
      <w:r>
        <w:rPr>
          <w:rFonts w:hint="eastAsia" w:ascii="宋体" w:hAnsi="宋体"/>
          <w:snapToGrid w:val="0"/>
          <w:sz w:val="21"/>
          <w:szCs w:val="21"/>
        </w:rPr>
        <w:t>℃的高温大于</w:t>
      </w:r>
      <w:r>
        <w:rPr>
          <w:rFonts w:hint="eastAsia" w:ascii="宋体" w:hAnsi="宋体"/>
          <w:snapToGrid w:val="0"/>
          <w:sz w:val="21"/>
          <w:szCs w:val="21"/>
          <w:u w:val="single"/>
        </w:rPr>
        <w:t xml:space="preserve"> 3 </w:t>
      </w:r>
      <w:r>
        <w:rPr>
          <w:rFonts w:hint="eastAsia" w:ascii="宋体" w:hAnsi="宋体"/>
          <w:snapToGrid w:val="0"/>
          <w:sz w:val="21"/>
          <w:szCs w:val="21"/>
        </w:rPr>
        <w:t>天；</w:t>
      </w:r>
    </w:p>
    <w:p>
      <w:pPr>
        <w:snapToGrid w:val="0"/>
        <w:spacing w:line="360" w:lineRule="exact"/>
        <w:ind w:firstLine="420" w:firstLineChars="200"/>
        <w:rPr>
          <w:rFonts w:ascii="宋体" w:hAnsi="宋体"/>
          <w:snapToGrid w:val="0"/>
          <w:sz w:val="21"/>
          <w:szCs w:val="21"/>
        </w:rPr>
      </w:pPr>
      <w:r>
        <w:rPr>
          <w:rFonts w:hint="eastAsia" w:ascii="宋体" w:hAnsi="宋体"/>
          <w:snapToGrid w:val="0"/>
          <w:sz w:val="21"/>
          <w:szCs w:val="21"/>
        </w:rPr>
        <w:t>(4) 日气温低于</w:t>
      </w:r>
      <w:r>
        <w:rPr>
          <w:rFonts w:hint="eastAsia" w:ascii="宋体" w:hAnsi="宋体"/>
          <w:snapToGrid w:val="0"/>
          <w:sz w:val="21"/>
          <w:szCs w:val="21"/>
          <w:u w:val="single"/>
        </w:rPr>
        <w:t xml:space="preserve"> -5 </w:t>
      </w:r>
      <w:r>
        <w:rPr>
          <w:rFonts w:hint="eastAsia" w:ascii="宋体" w:hAnsi="宋体"/>
          <w:snapToGrid w:val="0"/>
          <w:sz w:val="21"/>
          <w:szCs w:val="21"/>
        </w:rPr>
        <w:t>℃的严寒大于</w:t>
      </w:r>
      <w:r>
        <w:rPr>
          <w:rFonts w:hint="eastAsia" w:ascii="宋体" w:hAnsi="宋体"/>
          <w:snapToGrid w:val="0"/>
          <w:sz w:val="21"/>
          <w:szCs w:val="21"/>
          <w:u w:val="single"/>
        </w:rPr>
        <w:t xml:space="preserve"> 3 </w:t>
      </w:r>
      <w:r>
        <w:rPr>
          <w:rFonts w:hint="eastAsia" w:ascii="宋体" w:hAnsi="宋体"/>
          <w:snapToGrid w:val="0"/>
          <w:sz w:val="21"/>
          <w:szCs w:val="21"/>
        </w:rPr>
        <w:t>天；</w:t>
      </w:r>
    </w:p>
    <w:p>
      <w:pPr>
        <w:snapToGrid w:val="0"/>
        <w:spacing w:line="360" w:lineRule="exact"/>
        <w:ind w:firstLine="420" w:firstLineChars="200"/>
        <w:rPr>
          <w:rFonts w:ascii="宋体" w:hAnsi="宋体"/>
          <w:snapToGrid w:val="0"/>
          <w:sz w:val="21"/>
          <w:szCs w:val="21"/>
        </w:rPr>
      </w:pPr>
      <w:r>
        <w:rPr>
          <w:rFonts w:hint="eastAsia" w:ascii="宋体" w:hAnsi="宋体"/>
          <w:snapToGrid w:val="0"/>
          <w:sz w:val="21"/>
          <w:szCs w:val="21"/>
        </w:rPr>
        <w:t>(5) 造成工程损失的冰雹和大雪灾害；</w:t>
      </w:r>
    </w:p>
    <w:p>
      <w:pPr>
        <w:snapToGrid w:val="0"/>
        <w:spacing w:line="360" w:lineRule="exact"/>
        <w:ind w:firstLine="420" w:firstLineChars="200"/>
        <w:rPr>
          <w:rFonts w:ascii="宋体" w:hAnsi="宋体"/>
          <w:snapToGrid w:val="0"/>
          <w:sz w:val="21"/>
          <w:szCs w:val="21"/>
        </w:rPr>
      </w:pPr>
      <w:r>
        <w:rPr>
          <w:rFonts w:hint="eastAsia" w:ascii="宋体" w:hAnsi="宋体"/>
          <w:snapToGrid w:val="0"/>
          <w:sz w:val="21"/>
          <w:szCs w:val="21"/>
        </w:rPr>
        <w:t>(6) 其它异常恶劣气候灾害。</w:t>
      </w:r>
    </w:p>
    <w:p>
      <w:pPr>
        <w:pStyle w:val="7"/>
        <w:snapToGrid w:val="0"/>
        <w:spacing w:line="360" w:lineRule="exact"/>
        <w:rPr>
          <w:rFonts w:ascii="宋体" w:hAnsi="宋体" w:eastAsia="宋体"/>
          <w:sz w:val="21"/>
          <w:szCs w:val="21"/>
        </w:rPr>
      </w:pPr>
      <w:r>
        <w:rPr>
          <w:rFonts w:ascii="宋体" w:hAnsi="宋体" w:eastAsia="宋体"/>
          <w:sz w:val="21"/>
          <w:szCs w:val="21"/>
        </w:rPr>
        <w:t>11.5 承包人的工期延误</w:t>
      </w:r>
    </w:p>
    <w:p>
      <w:pPr>
        <w:snapToGrid w:val="0"/>
        <w:spacing w:line="360" w:lineRule="exact"/>
        <w:ind w:firstLine="420" w:firstLineChars="200"/>
        <w:rPr>
          <w:rFonts w:ascii="宋体" w:hAnsi="宋体"/>
          <w:snapToGrid w:val="0"/>
          <w:sz w:val="21"/>
          <w:szCs w:val="21"/>
        </w:rPr>
      </w:pPr>
      <w:r>
        <w:rPr>
          <w:rFonts w:hint="eastAsia" w:ascii="宋体" w:hAnsi="宋体"/>
          <w:snapToGrid w:val="0"/>
          <w:sz w:val="21"/>
          <w:szCs w:val="21"/>
        </w:rPr>
        <w:t xml:space="preserve">(1) </w:t>
      </w:r>
      <w:r>
        <w:rPr>
          <w:rFonts w:ascii="宋体" w:hAnsi="宋体"/>
          <w:snapToGrid w:val="0"/>
          <w:sz w:val="21"/>
          <w:szCs w:val="21"/>
        </w:rPr>
        <w:t>逾期完工违约金表</w:t>
      </w:r>
    </w:p>
    <w:p>
      <w:pPr>
        <w:snapToGrid w:val="0"/>
        <w:spacing w:line="360" w:lineRule="exact"/>
        <w:jc w:val="center"/>
        <w:rPr>
          <w:rFonts w:ascii="宋体" w:hAnsi="宋体"/>
          <w:b/>
          <w:snapToGrid w:val="0"/>
          <w:sz w:val="21"/>
          <w:szCs w:val="21"/>
        </w:rPr>
      </w:pPr>
      <w:r>
        <w:rPr>
          <w:rFonts w:ascii="宋体" w:hAnsi="宋体"/>
          <w:b/>
          <w:snapToGrid w:val="0"/>
          <w:sz w:val="21"/>
          <w:szCs w:val="21"/>
        </w:rPr>
        <w:t>逾期完工违约金表</w:t>
      </w:r>
    </w:p>
    <w:tbl>
      <w:tblPr>
        <w:tblStyle w:val="24"/>
        <w:tblW w:w="8820" w:type="dxa"/>
        <w:tblInd w:w="28"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
      <w:tblGrid>
        <w:gridCol w:w="720"/>
        <w:gridCol w:w="2907"/>
        <w:gridCol w:w="2313"/>
        <w:gridCol w:w="288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87" w:hRule="atLeast"/>
        </w:trPr>
        <w:tc>
          <w:tcPr>
            <w:tcW w:w="720" w:type="dxa"/>
            <w:vAlign w:val="center"/>
          </w:tcPr>
          <w:p>
            <w:pPr>
              <w:snapToGrid w:val="0"/>
              <w:spacing w:line="360" w:lineRule="exact"/>
              <w:jc w:val="center"/>
              <w:rPr>
                <w:rFonts w:ascii="宋体" w:hAnsi="宋体"/>
                <w:snapToGrid w:val="0"/>
                <w:kern w:val="2"/>
                <w:sz w:val="21"/>
                <w:szCs w:val="21"/>
              </w:rPr>
            </w:pPr>
            <w:r>
              <w:rPr>
                <w:rFonts w:ascii="宋体" w:hAnsi="宋体"/>
                <w:snapToGrid w:val="0"/>
                <w:kern w:val="2"/>
                <w:sz w:val="21"/>
                <w:szCs w:val="21"/>
              </w:rPr>
              <w:t>序号</w:t>
            </w:r>
          </w:p>
        </w:tc>
        <w:tc>
          <w:tcPr>
            <w:tcW w:w="2907" w:type="dxa"/>
            <w:vAlign w:val="center"/>
          </w:tcPr>
          <w:p>
            <w:pPr>
              <w:snapToGrid w:val="0"/>
              <w:spacing w:line="360" w:lineRule="exact"/>
              <w:jc w:val="center"/>
              <w:rPr>
                <w:rFonts w:ascii="宋体" w:hAnsi="宋体"/>
                <w:snapToGrid w:val="0"/>
                <w:kern w:val="2"/>
                <w:sz w:val="21"/>
                <w:szCs w:val="21"/>
              </w:rPr>
            </w:pPr>
            <w:r>
              <w:rPr>
                <w:rFonts w:ascii="宋体" w:hAnsi="宋体"/>
                <w:snapToGrid w:val="0"/>
                <w:kern w:val="2"/>
                <w:sz w:val="21"/>
                <w:szCs w:val="21"/>
              </w:rPr>
              <w:t>项目及其说明</w:t>
            </w:r>
          </w:p>
        </w:tc>
        <w:tc>
          <w:tcPr>
            <w:tcW w:w="2313" w:type="dxa"/>
            <w:vAlign w:val="center"/>
          </w:tcPr>
          <w:p>
            <w:pPr>
              <w:snapToGrid w:val="0"/>
              <w:spacing w:line="360" w:lineRule="exact"/>
              <w:jc w:val="center"/>
              <w:rPr>
                <w:rFonts w:ascii="宋体" w:hAnsi="宋体"/>
                <w:snapToGrid w:val="0"/>
                <w:kern w:val="2"/>
                <w:sz w:val="21"/>
                <w:szCs w:val="21"/>
              </w:rPr>
            </w:pPr>
            <w:r>
              <w:rPr>
                <w:rFonts w:ascii="宋体" w:hAnsi="宋体"/>
                <w:snapToGrid w:val="0"/>
                <w:kern w:val="2"/>
                <w:sz w:val="21"/>
                <w:szCs w:val="21"/>
              </w:rPr>
              <w:t>要求完工日期</w:t>
            </w:r>
          </w:p>
        </w:tc>
        <w:tc>
          <w:tcPr>
            <w:tcW w:w="2880" w:type="dxa"/>
            <w:vAlign w:val="center"/>
          </w:tcPr>
          <w:p>
            <w:pPr>
              <w:snapToGrid w:val="0"/>
              <w:spacing w:line="360" w:lineRule="exact"/>
              <w:jc w:val="center"/>
              <w:rPr>
                <w:rFonts w:ascii="宋体" w:hAnsi="宋体"/>
                <w:snapToGrid w:val="0"/>
                <w:kern w:val="2"/>
                <w:sz w:val="21"/>
                <w:szCs w:val="21"/>
              </w:rPr>
            </w:pPr>
            <w:r>
              <w:rPr>
                <w:rFonts w:ascii="宋体" w:hAnsi="宋体"/>
                <w:snapToGrid w:val="0"/>
                <w:kern w:val="2"/>
                <w:sz w:val="21"/>
                <w:szCs w:val="21"/>
              </w:rPr>
              <w:t>逾期完工违约金（元/天）</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615" w:hRule="atLeast"/>
        </w:trPr>
        <w:tc>
          <w:tcPr>
            <w:tcW w:w="720" w:type="dxa"/>
            <w:vAlign w:val="center"/>
          </w:tcPr>
          <w:p>
            <w:pPr>
              <w:snapToGrid w:val="0"/>
              <w:spacing w:line="360" w:lineRule="exact"/>
              <w:jc w:val="center"/>
              <w:rPr>
                <w:rFonts w:ascii="宋体" w:hAnsi="宋体"/>
                <w:snapToGrid w:val="0"/>
                <w:kern w:val="2"/>
                <w:sz w:val="21"/>
                <w:szCs w:val="21"/>
              </w:rPr>
            </w:pPr>
            <w:r>
              <w:rPr>
                <w:rFonts w:hint="eastAsia" w:ascii="宋体" w:hAnsi="宋体"/>
                <w:snapToGrid w:val="0"/>
                <w:kern w:val="2"/>
                <w:sz w:val="21"/>
                <w:szCs w:val="21"/>
              </w:rPr>
              <w:t>1</w:t>
            </w:r>
          </w:p>
        </w:tc>
        <w:tc>
          <w:tcPr>
            <w:tcW w:w="2907" w:type="dxa"/>
            <w:vAlign w:val="center"/>
          </w:tcPr>
          <w:p>
            <w:pPr>
              <w:snapToGrid w:val="0"/>
              <w:spacing w:line="360" w:lineRule="exact"/>
              <w:rPr>
                <w:rFonts w:ascii="宋体" w:hAnsi="宋体"/>
                <w:snapToGrid w:val="0"/>
                <w:kern w:val="2"/>
                <w:sz w:val="21"/>
                <w:szCs w:val="21"/>
              </w:rPr>
            </w:pPr>
            <w:r>
              <w:rPr>
                <w:rFonts w:ascii="宋体" w:hAnsi="宋体"/>
                <w:snapToGrid w:val="0"/>
                <w:kern w:val="2"/>
                <w:sz w:val="21"/>
                <w:szCs w:val="21"/>
              </w:rPr>
              <w:t>全部工程</w:t>
            </w:r>
          </w:p>
        </w:tc>
        <w:tc>
          <w:tcPr>
            <w:tcW w:w="2313" w:type="dxa"/>
            <w:vAlign w:val="center"/>
          </w:tcPr>
          <w:p>
            <w:pPr>
              <w:snapToGrid w:val="0"/>
              <w:spacing w:line="360" w:lineRule="exact"/>
              <w:jc w:val="center"/>
              <w:rPr>
                <w:rFonts w:ascii="宋体" w:hAnsi="宋体"/>
                <w:snapToGrid w:val="0"/>
                <w:kern w:val="2"/>
                <w:sz w:val="21"/>
                <w:szCs w:val="21"/>
              </w:rPr>
            </w:pPr>
            <w:r>
              <w:rPr>
                <w:rFonts w:hint="eastAsia" w:ascii="宋体" w:hAnsi="宋体"/>
                <w:snapToGrid w:val="0"/>
                <w:kern w:val="2"/>
                <w:sz w:val="21"/>
                <w:szCs w:val="21"/>
              </w:rPr>
              <w:t>开工令发出后</w:t>
            </w:r>
            <w:r>
              <w:rPr>
                <w:rFonts w:hint="eastAsia" w:ascii="宋体" w:hAnsi="宋体"/>
                <w:b/>
                <w:snapToGrid w:val="0"/>
                <w:kern w:val="2"/>
                <w:sz w:val="21"/>
                <w:szCs w:val="21"/>
                <w:lang w:val="en-US" w:eastAsia="zh-CN"/>
              </w:rPr>
              <w:t>6</w:t>
            </w:r>
            <w:r>
              <w:rPr>
                <w:rFonts w:hint="eastAsia" w:ascii="宋体" w:hAnsi="宋体"/>
                <w:b/>
                <w:snapToGrid w:val="0"/>
                <w:kern w:val="2"/>
                <w:sz w:val="21"/>
                <w:szCs w:val="21"/>
              </w:rPr>
              <w:t>0日历天</w:t>
            </w:r>
          </w:p>
        </w:tc>
        <w:tc>
          <w:tcPr>
            <w:tcW w:w="2880" w:type="dxa"/>
            <w:vAlign w:val="center"/>
          </w:tcPr>
          <w:p>
            <w:pPr>
              <w:snapToGrid w:val="0"/>
              <w:spacing w:line="360" w:lineRule="exact"/>
              <w:ind w:left="21" w:hanging="21" w:hangingChars="10"/>
              <w:jc w:val="center"/>
              <w:rPr>
                <w:rFonts w:ascii="宋体" w:hAnsi="宋体"/>
                <w:snapToGrid w:val="0"/>
                <w:kern w:val="2"/>
                <w:sz w:val="21"/>
                <w:szCs w:val="21"/>
              </w:rPr>
            </w:pPr>
            <w:r>
              <w:rPr>
                <w:rFonts w:hint="eastAsia" w:ascii="宋体" w:hAnsi="宋体"/>
                <w:snapToGrid w:val="0"/>
                <w:kern w:val="2"/>
                <w:sz w:val="21"/>
                <w:szCs w:val="21"/>
              </w:rPr>
              <w:t>1000</w:t>
            </w:r>
          </w:p>
        </w:tc>
      </w:tr>
    </w:tbl>
    <w:p>
      <w:pPr>
        <w:pStyle w:val="14"/>
        <w:snapToGrid w:val="0"/>
        <w:spacing w:line="360" w:lineRule="exact"/>
        <w:ind w:firstLine="420" w:firstLineChars="200"/>
        <w:rPr>
          <w:rFonts w:hAnsi="宋体"/>
          <w:snapToGrid w:val="0"/>
          <w:kern w:val="0"/>
          <w:szCs w:val="21"/>
        </w:rPr>
      </w:pPr>
      <w:r>
        <w:rPr>
          <w:rFonts w:hint="eastAsia" w:hAnsi="宋体"/>
          <w:snapToGrid w:val="0"/>
          <w:kern w:val="0"/>
          <w:szCs w:val="21"/>
        </w:rPr>
        <w:t xml:space="preserve"> (2) 全部</w:t>
      </w:r>
      <w:r>
        <w:rPr>
          <w:rFonts w:hAnsi="宋体"/>
          <w:snapToGrid w:val="0"/>
          <w:kern w:val="0"/>
          <w:szCs w:val="21"/>
        </w:rPr>
        <w:t>逾期完工违约金的总</w:t>
      </w:r>
      <w:r>
        <w:rPr>
          <w:rFonts w:hint="eastAsia" w:hAnsi="宋体"/>
          <w:snapToGrid w:val="0"/>
          <w:kern w:val="0"/>
          <w:szCs w:val="21"/>
        </w:rPr>
        <w:t>限</w:t>
      </w:r>
      <w:r>
        <w:rPr>
          <w:rFonts w:hAnsi="宋体"/>
          <w:snapToGrid w:val="0"/>
          <w:kern w:val="0"/>
          <w:szCs w:val="21"/>
        </w:rPr>
        <w:t>额</w:t>
      </w:r>
      <w:r>
        <w:rPr>
          <w:rFonts w:hint="eastAsia" w:hAnsi="宋体"/>
          <w:snapToGrid w:val="0"/>
          <w:kern w:val="0"/>
          <w:szCs w:val="21"/>
        </w:rPr>
        <w:t>为</w:t>
      </w:r>
      <w:r>
        <w:rPr>
          <w:rFonts w:hAnsi="宋体"/>
          <w:snapToGrid w:val="0"/>
          <w:kern w:val="0"/>
          <w:szCs w:val="21"/>
        </w:rPr>
        <w:t>不</w:t>
      </w:r>
      <w:r>
        <w:rPr>
          <w:rFonts w:hint="eastAsia" w:hAnsi="宋体"/>
          <w:snapToGrid w:val="0"/>
          <w:kern w:val="0"/>
          <w:szCs w:val="21"/>
        </w:rPr>
        <w:t>超过签约</w:t>
      </w:r>
      <w:r>
        <w:rPr>
          <w:rFonts w:hAnsi="宋体"/>
          <w:snapToGrid w:val="0"/>
          <w:kern w:val="0"/>
          <w:szCs w:val="21"/>
        </w:rPr>
        <w:t>合同价的2%。</w:t>
      </w:r>
    </w:p>
    <w:p>
      <w:pPr>
        <w:snapToGrid w:val="0"/>
        <w:spacing w:line="360" w:lineRule="exact"/>
        <w:jc w:val="left"/>
        <w:rPr>
          <w:rFonts w:ascii="宋体" w:hAnsi="宋体"/>
          <w:sz w:val="21"/>
          <w:szCs w:val="21"/>
        </w:rPr>
      </w:pPr>
      <w:r>
        <w:rPr>
          <w:rFonts w:hint="eastAsia" w:ascii="宋体" w:hAnsi="宋体"/>
          <w:b/>
          <w:sz w:val="21"/>
          <w:szCs w:val="21"/>
        </w:rPr>
        <w:t>11.6  工期提前</w:t>
      </w:r>
    </w:p>
    <w:p>
      <w:pPr>
        <w:snapToGrid w:val="0"/>
        <w:spacing w:line="360" w:lineRule="exact"/>
        <w:jc w:val="left"/>
        <w:rPr>
          <w:rFonts w:ascii="宋体" w:hAnsi="宋体"/>
          <w:sz w:val="21"/>
          <w:szCs w:val="21"/>
        </w:rPr>
      </w:pPr>
      <w:r>
        <w:rPr>
          <w:rFonts w:hint="eastAsia" w:ascii="宋体" w:hAnsi="宋体"/>
          <w:sz w:val="21"/>
          <w:szCs w:val="21"/>
        </w:rPr>
        <w:t xml:space="preserve">     工期提前的奖金约定：</w:t>
      </w:r>
      <w:r>
        <w:rPr>
          <w:rFonts w:hint="eastAsia" w:ascii="宋体" w:hAnsi="宋体"/>
          <w:b/>
          <w:sz w:val="21"/>
          <w:szCs w:val="21"/>
          <w:u w:val="single"/>
        </w:rPr>
        <w:t xml:space="preserve"> 不奖励</w:t>
      </w:r>
      <w:r>
        <w:rPr>
          <w:rFonts w:hint="eastAsia" w:ascii="宋体" w:hAnsi="宋体"/>
          <w:sz w:val="21"/>
          <w:szCs w:val="21"/>
        </w:rPr>
        <w:t>。</w:t>
      </w:r>
    </w:p>
    <w:p>
      <w:pPr>
        <w:pStyle w:val="6"/>
        <w:snapToGrid w:val="0"/>
        <w:spacing w:line="360" w:lineRule="exact"/>
        <w:rPr>
          <w:rFonts w:ascii="宋体" w:hAnsi="宋体" w:eastAsia="宋体"/>
          <w:snapToGrid w:val="0"/>
          <w:sz w:val="21"/>
          <w:szCs w:val="21"/>
        </w:rPr>
      </w:pPr>
      <w:bookmarkStart w:id="284" w:name="_Toc452839291"/>
      <w:bookmarkStart w:id="285" w:name="_Toc15092"/>
      <w:bookmarkStart w:id="286" w:name="_Toc405378490"/>
      <w:bookmarkStart w:id="287" w:name="_Toc259802233"/>
      <w:bookmarkStart w:id="288" w:name="_Toc335853940"/>
      <w:bookmarkStart w:id="289" w:name="_Toc311407696"/>
      <w:bookmarkStart w:id="290" w:name="_Toc336325290"/>
      <w:bookmarkStart w:id="291" w:name="_Toc217819052"/>
      <w:bookmarkStart w:id="292" w:name="_Toc184635110"/>
      <w:r>
        <w:rPr>
          <w:rFonts w:ascii="宋体" w:hAnsi="宋体" w:eastAsia="宋体"/>
          <w:snapToGrid w:val="0"/>
          <w:sz w:val="21"/>
          <w:szCs w:val="21"/>
        </w:rPr>
        <w:t>1</w:t>
      </w:r>
      <w:r>
        <w:rPr>
          <w:rFonts w:hint="eastAsia" w:ascii="宋体" w:hAnsi="宋体" w:eastAsia="宋体"/>
          <w:snapToGrid w:val="0"/>
          <w:sz w:val="21"/>
          <w:szCs w:val="21"/>
        </w:rPr>
        <w:t>2 暂停施工</w:t>
      </w:r>
      <w:bookmarkEnd w:id="284"/>
      <w:bookmarkEnd w:id="285"/>
      <w:bookmarkEnd w:id="286"/>
      <w:bookmarkEnd w:id="287"/>
      <w:bookmarkEnd w:id="288"/>
      <w:bookmarkEnd w:id="289"/>
      <w:bookmarkEnd w:id="290"/>
    </w:p>
    <w:p>
      <w:pPr>
        <w:pStyle w:val="7"/>
        <w:snapToGrid w:val="0"/>
        <w:spacing w:line="360" w:lineRule="exact"/>
        <w:rPr>
          <w:rFonts w:ascii="宋体" w:hAnsi="宋体" w:eastAsia="宋体"/>
          <w:sz w:val="21"/>
          <w:szCs w:val="21"/>
        </w:rPr>
      </w:pPr>
      <w:r>
        <w:rPr>
          <w:rFonts w:ascii="宋体" w:hAnsi="宋体" w:eastAsia="宋体"/>
          <w:sz w:val="21"/>
          <w:szCs w:val="21"/>
        </w:rPr>
        <w:t>1</w:t>
      </w:r>
      <w:r>
        <w:rPr>
          <w:rFonts w:hint="eastAsia" w:ascii="宋体" w:hAnsi="宋体" w:eastAsia="宋体"/>
          <w:sz w:val="21"/>
          <w:szCs w:val="21"/>
        </w:rPr>
        <w:t>2.1承包人暂停施工的责任</w:t>
      </w:r>
    </w:p>
    <w:p>
      <w:pPr>
        <w:snapToGrid w:val="0"/>
        <w:spacing w:line="360" w:lineRule="exact"/>
        <w:ind w:firstLine="420" w:firstLineChars="200"/>
        <w:rPr>
          <w:rFonts w:ascii="宋体" w:hAnsi="宋体"/>
          <w:snapToGrid w:val="0"/>
          <w:sz w:val="21"/>
          <w:szCs w:val="21"/>
        </w:rPr>
      </w:pPr>
      <w:r>
        <w:rPr>
          <w:rFonts w:hint="eastAsia" w:ascii="宋体" w:hAnsi="宋体"/>
          <w:snapToGrid w:val="0"/>
          <w:sz w:val="21"/>
          <w:szCs w:val="21"/>
        </w:rPr>
        <w:t>(5) 承包人承担暂停施工责任的其他情形：</w:t>
      </w:r>
      <w:r>
        <w:rPr>
          <w:rFonts w:hint="eastAsia" w:ascii="宋体" w:hAnsi="宋体"/>
          <w:snapToGrid w:val="0"/>
          <w:sz w:val="21"/>
          <w:szCs w:val="21"/>
          <w:u w:val="single"/>
        </w:rPr>
        <w:t xml:space="preserve">    /    </w:t>
      </w:r>
      <w:r>
        <w:rPr>
          <w:rFonts w:hint="eastAsia" w:ascii="宋体" w:hAnsi="宋体"/>
          <w:snapToGrid w:val="0"/>
          <w:sz w:val="21"/>
          <w:szCs w:val="21"/>
        </w:rPr>
        <w:t>。</w:t>
      </w:r>
    </w:p>
    <w:p>
      <w:pPr>
        <w:pStyle w:val="7"/>
        <w:snapToGrid w:val="0"/>
        <w:spacing w:line="360" w:lineRule="exact"/>
        <w:rPr>
          <w:rFonts w:ascii="宋体" w:hAnsi="宋体" w:eastAsia="宋体"/>
          <w:sz w:val="21"/>
          <w:szCs w:val="21"/>
        </w:rPr>
      </w:pPr>
      <w:r>
        <w:rPr>
          <w:rFonts w:ascii="宋体" w:hAnsi="宋体" w:eastAsia="宋体"/>
          <w:sz w:val="21"/>
          <w:szCs w:val="21"/>
        </w:rPr>
        <w:t>1</w:t>
      </w:r>
      <w:r>
        <w:rPr>
          <w:rFonts w:hint="eastAsia" w:ascii="宋体" w:hAnsi="宋体" w:eastAsia="宋体"/>
          <w:sz w:val="21"/>
          <w:szCs w:val="21"/>
        </w:rPr>
        <w:t>2.2发包人暂停施工的责任</w:t>
      </w:r>
    </w:p>
    <w:p>
      <w:pPr>
        <w:snapToGrid w:val="0"/>
        <w:spacing w:line="360" w:lineRule="exact"/>
        <w:ind w:firstLine="420" w:firstLineChars="200"/>
        <w:rPr>
          <w:rFonts w:ascii="宋体" w:hAnsi="宋体"/>
          <w:snapToGrid w:val="0"/>
          <w:sz w:val="21"/>
          <w:szCs w:val="21"/>
        </w:rPr>
      </w:pPr>
      <w:r>
        <w:rPr>
          <w:rFonts w:hint="eastAsia" w:ascii="宋体" w:hAnsi="宋体"/>
          <w:snapToGrid w:val="0"/>
          <w:sz w:val="21"/>
          <w:szCs w:val="21"/>
        </w:rPr>
        <w:t>(3) 发包人承担暂停施工责任的其他情形：</w:t>
      </w:r>
      <w:r>
        <w:rPr>
          <w:rFonts w:hint="eastAsia" w:ascii="宋体" w:hAnsi="宋体"/>
          <w:snapToGrid w:val="0"/>
          <w:sz w:val="21"/>
          <w:szCs w:val="21"/>
          <w:u w:val="single"/>
        </w:rPr>
        <w:t xml:space="preserve">    /    </w:t>
      </w:r>
      <w:r>
        <w:rPr>
          <w:rFonts w:hint="eastAsia" w:ascii="宋体" w:hAnsi="宋体"/>
          <w:snapToGrid w:val="0"/>
          <w:sz w:val="21"/>
          <w:szCs w:val="21"/>
        </w:rPr>
        <w:t>。</w:t>
      </w:r>
    </w:p>
    <w:p>
      <w:pPr>
        <w:pStyle w:val="6"/>
        <w:snapToGrid w:val="0"/>
        <w:spacing w:line="360" w:lineRule="exact"/>
        <w:rPr>
          <w:rFonts w:ascii="宋体" w:hAnsi="宋体" w:eastAsia="宋体"/>
          <w:snapToGrid w:val="0"/>
          <w:sz w:val="21"/>
          <w:szCs w:val="21"/>
        </w:rPr>
      </w:pPr>
      <w:bookmarkStart w:id="293" w:name="_Toc336325291"/>
      <w:bookmarkStart w:id="294" w:name="_Toc1694"/>
      <w:bookmarkStart w:id="295" w:name="_Toc335853941"/>
      <w:bookmarkStart w:id="296" w:name="_Toc405378491"/>
      <w:bookmarkStart w:id="297" w:name="_Toc311407697"/>
      <w:bookmarkStart w:id="298" w:name="_Toc452839292"/>
      <w:r>
        <w:rPr>
          <w:rFonts w:ascii="宋体" w:hAnsi="宋体" w:eastAsia="宋体"/>
          <w:snapToGrid w:val="0"/>
          <w:sz w:val="21"/>
          <w:szCs w:val="21"/>
        </w:rPr>
        <w:t>13．工程质量</w:t>
      </w:r>
      <w:bookmarkEnd w:id="291"/>
      <w:bookmarkEnd w:id="292"/>
      <w:bookmarkEnd w:id="293"/>
      <w:bookmarkEnd w:id="294"/>
      <w:bookmarkEnd w:id="295"/>
      <w:bookmarkEnd w:id="296"/>
      <w:bookmarkEnd w:id="297"/>
      <w:bookmarkEnd w:id="298"/>
    </w:p>
    <w:p>
      <w:pPr>
        <w:pStyle w:val="7"/>
        <w:snapToGrid w:val="0"/>
        <w:spacing w:line="360" w:lineRule="exact"/>
        <w:rPr>
          <w:rFonts w:ascii="宋体" w:hAnsi="宋体" w:eastAsia="宋体"/>
          <w:sz w:val="21"/>
          <w:szCs w:val="21"/>
        </w:rPr>
      </w:pPr>
      <w:r>
        <w:rPr>
          <w:rFonts w:ascii="宋体" w:hAnsi="宋体" w:eastAsia="宋体"/>
          <w:sz w:val="21"/>
          <w:szCs w:val="21"/>
        </w:rPr>
        <w:t>13.1 工程质量要求</w:t>
      </w:r>
    </w:p>
    <w:p>
      <w:pPr>
        <w:pStyle w:val="7"/>
        <w:snapToGrid w:val="0"/>
        <w:spacing w:line="360" w:lineRule="exact"/>
        <w:rPr>
          <w:rFonts w:ascii="宋体" w:hAnsi="宋体" w:eastAsia="宋体"/>
          <w:sz w:val="21"/>
          <w:szCs w:val="21"/>
        </w:rPr>
      </w:pPr>
      <w:bookmarkStart w:id="299" w:name="_Toc184635112"/>
      <w:bookmarkStart w:id="300" w:name="_Toc217819053"/>
      <w:r>
        <w:rPr>
          <w:rFonts w:ascii="宋体" w:hAnsi="宋体" w:eastAsia="宋体"/>
          <w:sz w:val="21"/>
          <w:szCs w:val="21"/>
        </w:rPr>
        <w:t>13.</w:t>
      </w:r>
      <w:r>
        <w:rPr>
          <w:rFonts w:hint="eastAsia" w:ascii="宋体" w:hAnsi="宋体" w:eastAsia="宋体"/>
          <w:sz w:val="21"/>
          <w:szCs w:val="21"/>
        </w:rPr>
        <w:t>7</w:t>
      </w:r>
      <w:r>
        <w:rPr>
          <w:rFonts w:ascii="宋体" w:hAnsi="宋体" w:eastAsia="宋体"/>
          <w:sz w:val="21"/>
          <w:szCs w:val="21"/>
        </w:rPr>
        <w:t xml:space="preserve"> 质量</w:t>
      </w:r>
      <w:r>
        <w:rPr>
          <w:rFonts w:hint="eastAsia" w:ascii="宋体" w:hAnsi="宋体" w:eastAsia="宋体"/>
          <w:sz w:val="21"/>
          <w:szCs w:val="21"/>
        </w:rPr>
        <w:t>评定</w:t>
      </w:r>
    </w:p>
    <w:p>
      <w:pPr>
        <w:snapToGrid w:val="0"/>
        <w:spacing w:line="360" w:lineRule="exact"/>
        <w:ind w:firstLine="420" w:firstLineChars="200"/>
        <w:rPr>
          <w:rFonts w:ascii="宋体" w:hAnsi="宋体"/>
          <w:snapToGrid w:val="0"/>
          <w:sz w:val="21"/>
          <w:szCs w:val="21"/>
        </w:rPr>
      </w:pPr>
      <w:r>
        <w:rPr>
          <w:rFonts w:ascii="宋体" w:hAnsi="宋体"/>
          <w:snapToGrid w:val="0"/>
          <w:sz w:val="21"/>
          <w:szCs w:val="21"/>
        </w:rPr>
        <w:t>13.</w:t>
      </w:r>
      <w:r>
        <w:rPr>
          <w:rFonts w:hint="eastAsia" w:ascii="宋体" w:hAnsi="宋体"/>
          <w:snapToGrid w:val="0"/>
          <w:sz w:val="21"/>
          <w:szCs w:val="21"/>
        </w:rPr>
        <w:t>7.7工程质量标准为：</w:t>
      </w:r>
      <w:r>
        <w:rPr>
          <w:rFonts w:hint="eastAsia" w:ascii="宋体" w:hAnsi="宋体"/>
          <w:iCs/>
          <w:snapToGrid w:val="0"/>
          <w:sz w:val="21"/>
          <w:szCs w:val="21"/>
          <w:u w:val="single"/>
        </w:rPr>
        <w:t>合格</w:t>
      </w:r>
      <w:r>
        <w:rPr>
          <w:rFonts w:ascii="宋体" w:hAnsi="宋体"/>
          <w:snapToGrid w:val="0"/>
          <w:sz w:val="21"/>
          <w:szCs w:val="21"/>
        </w:rPr>
        <w:t>。</w:t>
      </w:r>
      <w:r>
        <w:rPr>
          <w:rFonts w:hint="eastAsia" w:ascii="宋体" w:hAnsi="宋体"/>
          <w:snapToGrid w:val="0"/>
          <w:sz w:val="21"/>
          <w:szCs w:val="21"/>
        </w:rPr>
        <w:t>达到优良的奖金为</w:t>
      </w:r>
      <w:r>
        <w:rPr>
          <w:rFonts w:hint="eastAsia" w:ascii="宋体" w:hAnsi="宋体"/>
          <w:snapToGrid w:val="0"/>
          <w:sz w:val="21"/>
          <w:szCs w:val="21"/>
          <w:u w:val="single"/>
        </w:rPr>
        <w:t xml:space="preserve">  /  </w:t>
      </w:r>
      <w:r>
        <w:rPr>
          <w:rFonts w:hint="eastAsia" w:ascii="宋体" w:hAnsi="宋体"/>
          <w:snapToGrid w:val="0"/>
          <w:sz w:val="21"/>
          <w:szCs w:val="21"/>
        </w:rPr>
        <w:t>。</w:t>
      </w:r>
    </w:p>
    <w:p>
      <w:pPr>
        <w:pStyle w:val="6"/>
        <w:snapToGrid w:val="0"/>
        <w:spacing w:line="360" w:lineRule="exact"/>
        <w:rPr>
          <w:rFonts w:ascii="宋体" w:hAnsi="宋体" w:eastAsia="宋体"/>
          <w:snapToGrid w:val="0"/>
          <w:sz w:val="21"/>
          <w:szCs w:val="21"/>
        </w:rPr>
      </w:pPr>
      <w:bookmarkStart w:id="301" w:name="_Toc259802235"/>
      <w:bookmarkStart w:id="302" w:name="_Toc336325292"/>
      <w:bookmarkStart w:id="303" w:name="_Toc452839293"/>
      <w:bookmarkStart w:id="304" w:name="_Toc311407698"/>
      <w:bookmarkStart w:id="305" w:name="_Toc405378492"/>
      <w:bookmarkStart w:id="306" w:name="_Toc335853942"/>
      <w:bookmarkStart w:id="307" w:name="_Toc24252"/>
      <w:r>
        <w:rPr>
          <w:rFonts w:ascii="宋体" w:hAnsi="宋体" w:eastAsia="宋体"/>
          <w:snapToGrid w:val="0"/>
          <w:sz w:val="21"/>
          <w:szCs w:val="21"/>
        </w:rPr>
        <w:t>1</w:t>
      </w:r>
      <w:r>
        <w:rPr>
          <w:rFonts w:hint="eastAsia" w:ascii="宋体" w:hAnsi="宋体" w:eastAsia="宋体"/>
          <w:snapToGrid w:val="0"/>
          <w:sz w:val="21"/>
          <w:szCs w:val="21"/>
        </w:rPr>
        <w:t>4 验收和检验</w:t>
      </w:r>
      <w:bookmarkEnd w:id="301"/>
      <w:bookmarkEnd w:id="302"/>
      <w:bookmarkEnd w:id="303"/>
      <w:bookmarkEnd w:id="304"/>
      <w:bookmarkEnd w:id="305"/>
      <w:bookmarkEnd w:id="306"/>
      <w:bookmarkEnd w:id="307"/>
    </w:p>
    <w:p>
      <w:pPr>
        <w:pStyle w:val="7"/>
        <w:snapToGrid w:val="0"/>
        <w:spacing w:line="360" w:lineRule="exact"/>
        <w:rPr>
          <w:rFonts w:ascii="宋体" w:hAnsi="宋体" w:eastAsia="宋体"/>
          <w:sz w:val="21"/>
          <w:szCs w:val="21"/>
        </w:rPr>
      </w:pPr>
      <w:r>
        <w:rPr>
          <w:rFonts w:ascii="宋体" w:hAnsi="宋体" w:eastAsia="宋体"/>
          <w:sz w:val="21"/>
          <w:szCs w:val="21"/>
        </w:rPr>
        <w:t>1</w:t>
      </w:r>
      <w:r>
        <w:rPr>
          <w:rFonts w:hint="eastAsia" w:ascii="宋体" w:hAnsi="宋体" w:eastAsia="宋体"/>
          <w:sz w:val="21"/>
          <w:szCs w:val="21"/>
        </w:rPr>
        <w:t>4.1材料、工程设备和工程的试验和检验</w:t>
      </w:r>
    </w:p>
    <w:p>
      <w:pPr>
        <w:snapToGrid w:val="0"/>
        <w:spacing w:line="360" w:lineRule="exact"/>
        <w:ind w:firstLine="420" w:firstLineChars="200"/>
        <w:rPr>
          <w:rFonts w:ascii="宋体" w:hAnsi="宋体"/>
          <w:snapToGrid w:val="0"/>
          <w:sz w:val="21"/>
          <w:szCs w:val="21"/>
        </w:rPr>
      </w:pPr>
      <w:r>
        <w:rPr>
          <w:rFonts w:hint="eastAsia" w:ascii="宋体" w:hAnsi="宋体"/>
          <w:snapToGrid w:val="0"/>
          <w:sz w:val="21"/>
          <w:szCs w:val="21"/>
        </w:rPr>
        <w:t>14.1.5 水工金属结构、启闭机及机电产品进场后的交货检查和验收中，承包人负责</w:t>
      </w:r>
      <w:r>
        <w:rPr>
          <w:rFonts w:hint="eastAsia" w:ascii="宋体" w:hAnsi="宋体"/>
          <w:snapToGrid w:val="0"/>
          <w:sz w:val="21"/>
          <w:szCs w:val="21"/>
          <w:u w:val="single"/>
        </w:rPr>
        <w:t xml:space="preserve">   /   </w:t>
      </w:r>
      <w:r>
        <w:rPr>
          <w:rFonts w:hint="eastAsia" w:ascii="宋体" w:hAnsi="宋体"/>
          <w:snapToGrid w:val="0"/>
          <w:sz w:val="21"/>
          <w:szCs w:val="21"/>
        </w:rPr>
        <w:t>。</w:t>
      </w:r>
    </w:p>
    <w:p>
      <w:pPr>
        <w:snapToGrid w:val="0"/>
        <w:spacing w:line="360" w:lineRule="exact"/>
        <w:ind w:firstLine="420" w:firstLineChars="200"/>
        <w:rPr>
          <w:rFonts w:ascii="宋体" w:hAnsi="宋体"/>
          <w:snapToGrid w:val="0"/>
          <w:sz w:val="21"/>
          <w:szCs w:val="21"/>
        </w:rPr>
      </w:pPr>
      <w:r>
        <w:rPr>
          <w:rFonts w:hint="eastAsia" w:ascii="宋体" w:hAnsi="宋体"/>
          <w:snapToGrid w:val="0"/>
          <w:sz w:val="21"/>
          <w:szCs w:val="21"/>
        </w:rPr>
        <w:t>14.1.6 本工程实行减征取样的试块、试件及有关材料：</w:t>
      </w:r>
      <w:r>
        <w:rPr>
          <w:rFonts w:hint="eastAsia" w:ascii="宋体" w:hAnsi="宋体"/>
          <w:sz w:val="21"/>
          <w:szCs w:val="21"/>
          <w:u w:val="single"/>
        </w:rPr>
        <w:t>/</w:t>
      </w:r>
      <w:r>
        <w:rPr>
          <w:rFonts w:hint="eastAsia" w:ascii="宋体" w:hAnsi="宋体"/>
          <w:snapToGrid w:val="0"/>
          <w:sz w:val="21"/>
          <w:szCs w:val="21"/>
        </w:rPr>
        <w:t>。</w:t>
      </w:r>
    </w:p>
    <w:p>
      <w:pPr>
        <w:pStyle w:val="6"/>
        <w:snapToGrid w:val="0"/>
        <w:spacing w:line="360" w:lineRule="exact"/>
        <w:rPr>
          <w:rFonts w:ascii="宋体" w:hAnsi="宋体" w:eastAsia="宋体"/>
          <w:snapToGrid w:val="0"/>
          <w:sz w:val="21"/>
          <w:szCs w:val="21"/>
        </w:rPr>
      </w:pPr>
      <w:bookmarkStart w:id="308" w:name="_Toc452839294"/>
      <w:bookmarkStart w:id="309" w:name="_Toc405378493"/>
      <w:bookmarkStart w:id="310" w:name="_Toc335853943"/>
      <w:bookmarkStart w:id="311" w:name="_Toc10049"/>
      <w:bookmarkStart w:id="312" w:name="_Toc336325293"/>
      <w:bookmarkStart w:id="313" w:name="_Toc311407699"/>
      <w:r>
        <w:rPr>
          <w:rFonts w:ascii="宋体" w:hAnsi="宋体" w:eastAsia="宋体"/>
          <w:snapToGrid w:val="0"/>
          <w:sz w:val="21"/>
          <w:szCs w:val="21"/>
        </w:rPr>
        <w:t>15变更</w:t>
      </w:r>
      <w:bookmarkEnd w:id="299"/>
      <w:bookmarkEnd w:id="300"/>
      <w:bookmarkEnd w:id="308"/>
      <w:bookmarkEnd w:id="309"/>
      <w:bookmarkEnd w:id="310"/>
      <w:bookmarkEnd w:id="311"/>
      <w:bookmarkEnd w:id="312"/>
      <w:bookmarkEnd w:id="313"/>
    </w:p>
    <w:p>
      <w:pPr>
        <w:pStyle w:val="7"/>
        <w:snapToGrid w:val="0"/>
        <w:spacing w:line="360" w:lineRule="exact"/>
        <w:rPr>
          <w:rFonts w:ascii="宋体" w:hAnsi="宋体" w:eastAsia="宋体"/>
          <w:sz w:val="21"/>
          <w:szCs w:val="21"/>
        </w:rPr>
      </w:pPr>
      <w:r>
        <w:rPr>
          <w:rFonts w:ascii="宋体" w:hAnsi="宋体" w:eastAsia="宋体"/>
          <w:sz w:val="21"/>
          <w:szCs w:val="21"/>
        </w:rPr>
        <w:t>15.1 变更的范围和内容</w:t>
      </w:r>
    </w:p>
    <w:p>
      <w:pPr>
        <w:pStyle w:val="4"/>
        <w:rPr>
          <w:rFonts w:ascii="宋体" w:hAnsi="宋体"/>
          <w:snapToGrid w:val="0"/>
          <w:sz w:val="21"/>
          <w:szCs w:val="21"/>
        </w:rPr>
      </w:pPr>
      <w:r>
        <w:rPr>
          <w:rFonts w:hint="eastAsia" w:ascii="宋体" w:hAnsi="宋体"/>
          <w:snapToGrid w:val="0"/>
          <w:sz w:val="21"/>
          <w:szCs w:val="21"/>
        </w:rPr>
        <w:t>关于变更的范围的约定：本工程实施过程中发生的工程变更应遵守发包人关于工程变更审批流程的规定，未按此办法要求进行工程变更报批的不予认可。</w:t>
      </w:r>
    </w:p>
    <w:p>
      <w:pPr>
        <w:pStyle w:val="7"/>
        <w:snapToGrid w:val="0"/>
        <w:spacing w:line="360" w:lineRule="exact"/>
        <w:ind w:firstLine="420" w:firstLineChars="200"/>
        <w:rPr>
          <w:rFonts w:ascii="宋体" w:hAnsi="宋体" w:eastAsia="宋体"/>
          <w:b w:val="0"/>
          <w:sz w:val="21"/>
          <w:szCs w:val="21"/>
        </w:rPr>
      </w:pPr>
      <w:r>
        <w:rPr>
          <w:rFonts w:ascii="宋体" w:hAnsi="宋体" w:eastAsia="宋体"/>
          <w:b w:val="0"/>
          <w:sz w:val="21"/>
          <w:szCs w:val="21"/>
        </w:rPr>
        <w:t xml:space="preserve">(6) </w:t>
      </w:r>
      <w:r>
        <w:rPr>
          <w:rFonts w:hint="eastAsia" w:ascii="宋体" w:hAnsi="宋体" w:eastAsia="宋体"/>
          <w:b w:val="0"/>
          <w:sz w:val="21"/>
          <w:szCs w:val="21"/>
        </w:rPr>
        <w:t>凡合价金额占签约合同总价</w:t>
      </w:r>
      <w:r>
        <w:rPr>
          <w:rFonts w:ascii="宋体" w:hAnsi="宋体" w:eastAsia="宋体"/>
          <w:b w:val="0"/>
          <w:sz w:val="21"/>
          <w:szCs w:val="21"/>
        </w:rPr>
        <w:t>2%</w:t>
      </w:r>
      <w:r>
        <w:rPr>
          <w:rFonts w:hint="eastAsia" w:ascii="宋体" w:hAnsi="宋体" w:eastAsia="宋体"/>
          <w:b w:val="0"/>
          <w:sz w:val="21"/>
          <w:szCs w:val="21"/>
        </w:rPr>
        <w:t>及以上的分类分项清单项目其工程量增加或减少超过本项目工程数量</w:t>
      </w:r>
      <w:r>
        <w:rPr>
          <w:rFonts w:ascii="宋体" w:hAnsi="宋体" w:eastAsia="宋体"/>
          <w:b w:val="0"/>
          <w:sz w:val="21"/>
          <w:szCs w:val="21"/>
        </w:rPr>
        <w:t>15%</w:t>
      </w:r>
      <w:r>
        <w:rPr>
          <w:rFonts w:hint="eastAsia" w:ascii="宋体" w:hAnsi="宋体" w:eastAsia="宋体"/>
          <w:b w:val="0"/>
          <w:sz w:val="21"/>
          <w:szCs w:val="21"/>
        </w:rPr>
        <w:t>及以上时，或合价金额占签约合同总价不到</w:t>
      </w:r>
      <w:r>
        <w:rPr>
          <w:rFonts w:ascii="宋体" w:hAnsi="宋体" w:eastAsia="宋体"/>
          <w:b w:val="0"/>
          <w:sz w:val="21"/>
          <w:szCs w:val="21"/>
        </w:rPr>
        <w:t>2%</w:t>
      </w:r>
      <w:r>
        <w:rPr>
          <w:rFonts w:hint="eastAsia" w:ascii="宋体" w:hAnsi="宋体" w:eastAsia="宋体"/>
          <w:b w:val="0"/>
          <w:sz w:val="21"/>
          <w:szCs w:val="21"/>
        </w:rPr>
        <w:t>的分类分项清单项目但其工程量增加或减少超过本项目工程数量</w:t>
      </w:r>
      <w:r>
        <w:rPr>
          <w:rFonts w:ascii="宋体" w:hAnsi="宋体" w:eastAsia="宋体"/>
          <w:b w:val="0"/>
          <w:sz w:val="21"/>
          <w:szCs w:val="21"/>
        </w:rPr>
        <w:t>25%</w:t>
      </w:r>
      <w:r>
        <w:rPr>
          <w:rFonts w:hint="eastAsia" w:ascii="宋体" w:hAnsi="宋体" w:eastAsia="宋体"/>
          <w:b w:val="0"/>
          <w:sz w:val="21"/>
          <w:szCs w:val="21"/>
        </w:rPr>
        <w:t>及以上时，增加部分工程量或减少后剩余部分工程量的相应单价由承包人按</w:t>
      </w:r>
      <w:r>
        <w:rPr>
          <w:rFonts w:ascii="宋体" w:hAnsi="宋体" w:eastAsia="宋体"/>
          <w:b w:val="0"/>
          <w:sz w:val="21"/>
          <w:szCs w:val="21"/>
        </w:rPr>
        <w:t>15.4.3</w:t>
      </w:r>
      <w:r>
        <w:rPr>
          <w:rFonts w:hint="eastAsia" w:ascii="宋体" w:hAnsi="宋体" w:eastAsia="宋体"/>
          <w:b w:val="0"/>
          <w:sz w:val="21"/>
          <w:szCs w:val="21"/>
        </w:rPr>
        <w:t>款的原则提出合适的变更单价，并需经监理人审核。</w:t>
      </w:r>
    </w:p>
    <w:p>
      <w:pPr>
        <w:pStyle w:val="7"/>
        <w:snapToGrid w:val="0"/>
        <w:spacing w:line="360" w:lineRule="exact"/>
        <w:rPr>
          <w:rFonts w:ascii="宋体" w:hAnsi="宋体" w:eastAsia="宋体"/>
          <w:sz w:val="21"/>
          <w:szCs w:val="21"/>
        </w:rPr>
      </w:pPr>
      <w:r>
        <w:rPr>
          <w:rFonts w:ascii="宋体" w:hAnsi="宋体" w:eastAsia="宋体"/>
          <w:sz w:val="21"/>
          <w:szCs w:val="21"/>
        </w:rPr>
        <w:t>15.4 变更的估价原则</w:t>
      </w:r>
    </w:p>
    <w:p>
      <w:pPr>
        <w:pStyle w:val="7"/>
        <w:snapToGrid w:val="0"/>
        <w:spacing w:line="360" w:lineRule="exact"/>
        <w:ind w:firstLine="420" w:firstLineChars="200"/>
        <w:rPr>
          <w:rFonts w:ascii="宋体" w:hAnsi="宋体" w:eastAsia="宋体"/>
          <w:b w:val="0"/>
          <w:sz w:val="21"/>
          <w:szCs w:val="21"/>
        </w:rPr>
      </w:pPr>
      <w:r>
        <w:rPr>
          <w:rFonts w:ascii="宋体" w:hAnsi="宋体" w:eastAsia="宋体"/>
          <w:b w:val="0"/>
          <w:sz w:val="21"/>
          <w:szCs w:val="21"/>
        </w:rPr>
        <w:t>15.4.3</w:t>
      </w:r>
      <w:r>
        <w:rPr>
          <w:rFonts w:hint="eastAsia" w:ascii="宋体" w:hAnsi="宋体" w:eastAsia="宋体"/>
          <w:b w:val="0"/>
          <w:sz w:val="21"/>
          <w:szCs w:val="21"/>
        </w:rPr>
        <w:t>细化为：本合同在实施过程中，如遇到设计变更出现新增或变更项目时，则该新增或变</w:t>
      </w:r>
    </w:p>
    <w:p>
      <w:pPr>
        <w:pStyle w:val="7"/>
        <w:snapToGrid w:val="0"/>
        <w:spacing w:line="360" w:lineRule="exact"/>
        <w:ind w:firstLine="420" w:firstLineChars="200"/>
        <w:rPr>
          <w:rFonts w:ascii="宋体" w:hAnsi="宋体" w:eastAsia="宋体"/>
          <w:b w:val="0"/>
          <w:sz w:val="21"/>
          <w:szCs w:val="21"/>
        </w:rPr>
      </w:pPr>
      <w:r>
        <w:rPr>
          <w:rFonts w:hint="eastAsia" w:ascii="宋体" w:hAnsi="宋体" w:eastAsia="宋体"/>
          <w:b w:val="0"/>
          <w:sz w:val="21"/>
          <w:szCs w:val="21"/>
        </w:rPr>
        <w:t>更项目的单价由承包人按以下原则提出变更单价，监理人审核，发包人同意后进入工程结算，支付方式执行原合同约定的支付条款。</w:t>
      </w:r>
    </w:p>
    <w:p>
      <w:pPr>
        <w:pStyle w:val="7"/>
        <w:snapToGrid w:val="0"/>
        <w:spacing w:line="360" w:lineRule="exact"/>
        <w:ind w:firstLine="420" w:firstLineChars="200"/>
        <w:rPr>
          <w:rFonts w:ascii="宋体" w:hAnsi="宋体" w:eastAsia="宋体"/>
          <w:b w:val="0"/>
          <w:sz w:val="21"/>
          <w:szCs w:val="21"/>
        </w:rPr>
      </w:pPr>
      <w:r>
        <w:rPr>
          <w:rFonts w:hint="eastAsia" w:ascii="宋体" w:hAnsi="宋体" w:eastAsia="宋体"/>
          <w:b w:val="0"/>
          <w:sz w:val="21"/>
          <w:szCs w:val="21"/>
        </w:rPr>
        <w:t>（</w:t>
      </w:r>
      <w:r>
        <w:rPr>
          <w:rFonts w:ascii="宋体" w:hAnsi="宋体" w:eastAsia="宋体"/>
          <w:b w:val="0"/>
          <w:sz w:val="21"/>
          <w:szCs w:val="21"/>
        </w:rPr>
        <w:t>1</w:t>
      </w:r>
      <w:r>
        <w:rPr>
          <w:rFonts w:hint="eastAsia" w:ascii="宋体" w:hAnsi="宋体" w:eastAsia="宋体"/>
          <w:b w:val="0"/>
          <w:sz w:val="21"/>
          <w:szCs w:val="21"/>
        </w:rPr>
        <w:t>）人工预算单价采用竞包期浙江省现行水利行业人工预算单价。</w:t>
      </w:r>
    </w:p>
    <w:p>
      <w:pPr>
        <w:pStyle w:val="7"/>
        <w:snapToGrid w:val="0"/>
        <w:spacing w:line="360" w:lineRule="exact"/>
        <w:ind w:firstLine="420" w:firstLineChars="200"/>
        <w:rPr>
          <w:rFonts w:ascii="宋体" w:hAnsi="宋体" w:eastAsia="宋体"/>
          <w:b w:val="0"/>
          <w:sz w:val="21"/>
          <w:szCs w:val="21"/>
        </w:rPr>
      </w:pPr>
      <w:r>
        <w:rPr>
          <w:rFonts w:hint="eastAsia" w:ascii="宋体" w:hAnsi="宋体" w:eastAsia="宋体"/>
          <w:b w:val="0"/>
          <w:sz w:val="21"/>
          <w:szCs w:val="21"/>
        </w:rPr>
        <w:t>（</w:t>
      </w:r>
      <w:r>
        <w:rPr>
          <w:rFonts w:ascii="宋体" w:hAnsi="宋体" w:eastAsia="宋体"/>
          <w:b w:val="0"/>
          <w:sz w:val="21"/>
          <w:szCs w:val="21"/>
        </w:rPr>
        <w:t>2</w:t>
      </w:r>
      <w:r>
        <w:rPr>
          <w:rFonts w:hint="eastAsia" w:ascii="宋体" w:hAnsi="宋体" w:eastAsia="宋体"/>
          <w:b w:val="0"/>
          <w:sz w:val="21"/>
          <w:szCs w:val="21"/>
        </w:rPr>
        <w:t>）材料预算价格采用竞包期基价（竞包文件截止日前一个月项目所在地造价管理部门发布的信息价），如无信息价格时，则根据项目实施时的材料市场价由相关部门组织询价确定材料预算价格。</w:t>
      </w:r>
    </w:p>
    <w:p>
      <w:pPr>
        <w:pStyle w:val="7"/>
        <w:snapToGrid w:val="0"/>
        <w:spacing w:line="360" w:lineRule="exact"/>
        <w:ind w:firstLine="420" w:firstLineChars="200"/>
        <w:rPr>
          <w:rFonts w:ascii="宋体" w:hAnsi="宋体" w:eastAsia="宋体"/>
          <w:b w:val="0"/>
          <w:sz w:val="21"/>
          <w:szCs w:val="21"/>
        </w:rPr>
      </w:pPr>
      <w:r>
        <w:rPr>
          <w:rFonts w:hint="eastAsia" w:ascii="宋体" w:hAnsi="宋体" w:eastAsia="宋体"/>
          <w:b w:val="0"/>
          <w:sz w:val="21"/>
          <w:szCs w:val="21"/>
        </w:rPr>
        <w:t>（</w:t>
      </w:r>
      <w:r>
        <w:rPr>
          <w:rFonts w:ascii="宋体" w:hAnsi="宋体" w:eastAsia="宋体"/>
          <w:b w:val="0"/>
          <w:sz w:val="21"/>
          <w:szCs w:val="21"/>
        </w:rPr>
        <w:t>3</w:t>
      </w:r>
      <w:r>
        <w:rPr>
          <w:rFonts w:hint="eastAsia" w:ascii="宋体" w:hAnsi="宋体" w:eastAsia="宋体"/>
          <w:b w:val="0"/>
          <w:sz w:val="21"/>
          <w:szCs w:val="21"/>
        </w:rPr>
        <w:t>）机械台班单价按竞包期浙江省现行水利水电工程施工机械台班定额和有关规定计算。</w:t>
      </w:r>
    </w:p>
    <w:p>
      <w:pPr>
        <w:pStyle w:val="7"/>
        <w:snapToGrid w:val="0"/>
        <w:spacing w:line="360" w:lineRule="exact"/>
        <w:ind w:firstLine="420" w:firstLineChars="200"/>
        <w:rPr>
          <w:rFonts w:ascii="宋体" w:hAnsi="宋体" w:eastAsia="宋体"/>
          <w:b w:val="0"/>
          <w:sz w:val="21"/>
          <w:szCs w:val="21"/>
        </w:rPr>
      </w:pPr>
      <w:r>
        <w:rPr>
          <w:rFonts w:hint="eastAsia" w:ascii="宋体" w:hAnsi="宋体" w:eastAsia="宋体"/>
          <w:b w:val="0"/>
          <w:sz w:val="21"/>
          <w:szCs w:val="21"/>
        </w:rPr>
        <w:t>（</w:t>
      </w:r>
      <w:r>
        <w:rPr>
          <w:rFonts w:ascii="宋体" w:hAnsi="宋体" w:eastAsia="宋体"/>
          <w:b w:val="0"/>
          <w:sz w:val="21"/>
          <w:szCs w:val="21"/>
        </w:rPr>
        <w:t>4</w:t>
      </w:r>
      <w:r>
        <w:rPr>
          <w:rFonts w:hint="eastAsia" w:ascii="宋体" w:hAnsi="宋体" w:eastAsia="宋体"/>
          <w:b w:val="0"/>
          <w:sz w:val="21"/>
          <w:szCs w:val="21"/>
        </w:rPr>
        <w:t>）定额按采用竞包期浙江省现行水利水电工程定额和有关规定，如浙江省水利工程定额不能满足计价，可采用部颁水利定额及其他相关行业定额的定额含量计价。</w:t>
      </w:r>
    </w:p>
    <w:p>
      <w:pPr>
        <w:pStyle w:val="7"/>
        <w:snapToGrid w:val="0"/>
        <w:spacing w:line="360" w:lineRule="exact"/>
        <w:ind w:firstLine="420" w:firstLineChars="200"/>
        <w:rPr>
          <w:rFonts w:ascii="宋体" w:hAnsi="宋体" w:eastAsia="宋体"/>
          <w:b w:val="0"/>
          <w:sz w:val="21"/>
          <w:szCs w:val="21"/>
        </w:rPr>
      </w:pPr>
      <w:r>
        <w:rPr>
          <w:rFonts w:hint="eastAsia" w:ascii="宋体" w:hAnsi="宋体" w:eastAsia="宋体"/>
          <w:b w:val="0"/>
          <w:sz w:val="21"/>
          <w:szCs w:val="21"/>
        </w:rPr>
        <w:t>（</w:t>
      </w:r>
      <w:r>
        <w:rPr>
          <w:rFonts w:ascii="宋体" w:hAnsi="宋体" w:eastAsia="宋体"/>
          <w:b w:val="0"/>
          <w:sz w:val="21"/>
          <w:szCs w:val="21"/>
        </w:rPr>
        <w:t>5</w:t>
      </w:r>
      <w:r>
        <w:rPr>
          <w:rFonts w:hint="eastAsia" w:ascii="宋体" w:hAnsi="宋体" w:eastAsia="宋体"/>
          <w:b w:val="0"/>
          <w:sz w:val="21"/>
          <w:szCs w:val="21"/>
        </w:rPr>
        <w:t>）取费费率采用竞包期浙江省现行水利行业取费标准和浙江省建设工程施工取费定额按相对应工程类别选取费率，对各项弹性区间费率取中间值。</w:t>
      </w:r>
    </w:p>
    <w:p>
      <w:pPr>
        <w:pStyle w:val="7"/>
        <w:snapToGrid w:val="0"/>
        <w:spacing w:line="360" w:lineRule="exact"/>
        <w:ind w:firstLine="420" w:firstLineChars="200"/>
        <w:rPr>
          <w:rFonts w:ascii="宋体" w:hAnsi="宋体" w:eastAsia="宋体"/>
          <w:b w:val="0"/>
          <w:sz w:val="21"/>
          <w:szCs w:val="21"/>
        </w:rPr>
      </w:pPr>
      <w:r>
        <w:rPr>
          <w:rFonts w:hint="eastAsia" w:ascii="宋体" w:hAnsi="宋体" w:eastAsia="宋体"/>
          <w:b w:val="0"/>
          <w:sz w:val="21"/>
          <w:szCs w:val="21"/>
        </w:rPr>
        <w:t>（</w:t>
      </w:r>
      <w:r>
        <w:rPr>
          <w:rFonts w:ascii="宋体" w:hAnsi="宋体" w:eastAsia="宋体"/>
          <w:b w:val="0"/>
          <w:sz w:val="21"/>
          <w:szCs w:val="21"/>
        </w:rPr>
        <w:t>6</w:t>
      </w:r>
      <w:r>
        <w:rPr>
          <w:rFonts w:hint="eastAsia" w:ascii="宋体" w:hAnsi="宋体" w:eastAsia="宋体"/>
          <w:b w:val="0"/>
          <w:sz w:val="21"/>
          <w:szCs w:val="21"/>
        </w:rPr>
        <w:t>）上述单价按以下计算的综合优惠率进行优惠。</w:t>
      </w:r>
    </w:p>
    <w:p>
      <w:pPr>
        <w:pStyle w:val="7"/>
        <w:snapToGrid w:val="0"/>
        <w:spacing w:line="360" w:lineRule="exact"/>
        <w:ind w:firstLine="420" w:firstLineChars="200"/>
        <w:rPr>
          <w:rFonts w:ascii="宋体" w:hAnsi="宋体" w:eastAsia="宋体"/>
          <w:b w:val="0"/>
          <w:sz w:val="21"/>
          <w:szCs w:val="21"/>
        </w:rPr>
      </w:pPr>
      <w:r>
        <w:rPr>
          <w:rFonts w:hint="eastAsia" w:ascii="宋体" w:hAnsi="宋体" w:eastAsia="宋体"/>
          <w:b w:val="0"/>
          <w:sz w:val="21"/>
          <w:szCs w:val="21"/>
        </w:rPr>
        <w:t>综合优惠率</w:t>
      </w:r>
      <w:r>
        <w:rPr>
          <w:rFonts w:ascii="宋体" w:hAnsi="宋体" w:eastAsia="宋体"/>
          <w:b w:val="0"/>
          <w:sz w:val="21"/>
          <w:szCs w:val="21"/>
        </w:rPr>
        <w:t>=[1-</w:t>
      </w:r>
      <w:r>
        <w:rPr>
          <w:rFonts w:hint="eastAsia" w:ascii="宋体" w:hAnsi="宋体" w:eastAsia="宋体"/>
          <w:b w:val="0"/>
          <w:sz w:val="21"/>
          <w:szCs w:val="21"/>
        </w:rPr>
        <w:t>（竞包人竞包价</w:t>
      </w:r>
      <w:r>
        <w:rPr>
          <w:rFonts w:ascii="宋体" w:hAnsi="宋体" w:eastAsia="宋体"/>
          <w:b w:val="0"/>
          <w:sz w:val="21"/>
          <w:szCs w:val="21"/>
        </w:rPr>
        <w:t>-</w:t>
      </w:r>
      <w:r>
        <w:rPr>
          <w:rFonts w:hint="eastAsia" w:ascii="宋体" w:hAnsi="宋体" w:eastAsia="宋体"/>
          <w:b w:val="0"/>
          <w:sz w:val="21"/>
          <w:szCs w:val="21"/>
        </w:rPr>
        <w:t>安全施工费）</w:t>
      </w:r>
      <w:r>
        <w:rPr>
          <w:rFonts w:ascii="宋体" w:hAnsi="宋体" w:eastAsia="宋体"/>
          <w:b w:val="0"/>
          <w:sz w:val="21"/>
          <w:szCs w:val="21"/>
        </w:rPr>
        <w:t>/</w:t>
      </w:r>
      <w:r>
        <w:rPr>
          <w:rFonts w:hint="eastAsia" w:ascii="宋体" w:hAnsi="宋体" w:eastAsia="宋体"/>
          <w:b w:val="0"/>
          <w:sz w:val="21"/>
          <w:szCs w:val="21"/>
        </w:rPr>
        <w:t>（本标段最高限价</w:t>
      </w:r>
      <w:r>
        <w:rPr>
          <w:rFonts w:ascii="宋体" w:hAnsi="宋体" w:eastAsia="宋体"/>
          <w:b w:val="0"/>
          <w:sz w:val="21"/>
          <w:szCs w:val="21"/>
        </w:rPr>
        <w:t>-</w:t>
      </w:r>
      <w:r>
        <w:rPr>
          <w:rFonts w:hint="eastAsia" w:ascii="宋体" w:hAnsi="宋体" w:eastAsia="宋体"/>
          <w:b w:val="0"/>
          <w:sz w:val="21"/>
          <w:szCs w:val="21"/>
        </w:rPr>
        <w:t>安全施工费）</w:t>
      </w:r>
      <w:r>
        <w:rPr>
          <w:rFonts w:ascii="宋体" w:hAnsi="宋体" w:eastAsia="宋体"/>
          <w:b w:val="0"/>
          <w:sz w:val="21"/>
          <w:szCs w:val="21"/>
        </w:rPr>
        <w:t>]*100%</w:t>
      </w:r>
      <w:r>
        <w:rPr>
          <w:rFonts w:hint="eastAsia" w:ascii="宋体" w:hAnsi="宋体" w:eastAsia="宋体"/>
          <w:b w:val="0"/>
          <w:sz w:val="21"/>
          <w:szCs w:val="21"/>
        </w:rPr>
        <w:t>。</w:t>
      </w:r>
    </w:p>
    <w:p>
      <w:pPr>
        <w:pStyle w:val="7"/>
        <w:snapToGrid w:val="0"/>
        <w:spacing w:line="360" w:lineRule="exact"/>
        <w:ind w:firstLine="420" w:firstLineChars="200"/>
        <w:rPr>
          <w:rFonts w:ascii="宋体" w:hAnsi="宋体" w:eastAsia="宋体"/>
          <w:b w:val="0"/>
          <w:sz w:val="21"/>
          <w:szCs w:val="21"/>
        </w:rPr>
      </w:pPr>
      <w:r>
        <w:rPr>
          <w:rFonts w:hint="eastAsia" w:ascii="宋体" w:hAnsi="宋体" w:eastAsia="宋体"/>
          <w:b w:val="0"/>
          <w:sz w:val="21"/>
          <w:szCs w:val="21"/>
        </w:rPr>
        <w:t>（</w:t>
      </w:r>
      <w:r>
        <w:rPr>
          <w:rFonts w:ascii="宋体" w:hAnsi="宋体" w:eastAsia="宋体"/>
          <w:b w:val="0"/>
          <w:sz w:val="21"/>
          <w:szCs w:val="21"/>
        </w:rPr>
        <w:t>7</w:t>
      </w:r>
      <w:r>
        <w:rPr>
          <w:rFonts w:hint="eastAsia" w:ascii="宋体" w:hAnsi="宋体" w:eastAsia="宋体"/>
          <w:b w:val="0"/>
          <w:sz w:val="21"/>
          <w:szCs w:val="21"/>
        </w:rPr>
        <w:t>）按照上述仍无法组价的，根据市场发包或询价确定。</w:t>
      </w:r>
    </w:p>
    <w:p>
      <w:pPr>
        <w:pStyle w:val="7"/>
        <w:snapToGrid w:val="0"/>
        <w:spacing w:line="360" w:lineRule="exact"/>
        <w:rPr>
          <w:rFonts w:ascii="宋体" w:hAnsi="宋体" w:eastAsia="宋体"/>
          <w:b w:val="0"/>
          <w:sz w:val="21"/>
          <w:szCs w:val="21"/>
        </w:rPr>
      </w:pPr>
      <w:r>
        <w:rPr>
          <w:rFonts w:ascii="宋体" w:hAnsi="宋体" w:eastAsia="宋体"/>
          <w:sz w:val="21"/>
          <w:szCs w:val="21"/>
        </w:rPr>
        <w:t>15.</w:t>
      </w:r>
      <w:r>
        <w:rPr>
          <w:rFonts w:hint="eastAsia" w:ascii="宋体" w:hAnsi="宋体" w:eastAsia="宋体"/>
          <w:sz w:val="21"/>
          <w:szCs w:val="21"/>
        </w:rPr>
        <w:t>5承包人的合理化建议</w:t>
      </w:r>
    </w:p>
    <w:p>
      <w:pPr>
        <w:snapToGrid w:val="0"/>
        <w:spacing w:line="360" w:lineRule="exact"/>
        <w:ind w:firstLine="420" w:firstLineChars="200"/>
        <w:rPr>
          <w:rFonts w:ascii="宋体" w:hAnsi="宋体"/>
          <w:snapToGrid w:val="0"/>
          <w:sz w:val="21"/>
          <w:szCs w:val="21"/>
        </w:rPr>
      </w:pPr>
      <w:r>
        <w:rPr>
          <w:rFonts w:hint="eastAsia" w:ascii="宋体" w:hAnsi="宋体"/>
          <w:snapToGrid w:val="0"/>
          <w:sz w:val="21"/>
          <w:szCs w:val="21"/>
        </w:rPr>
        <w:t>15.5.2 承包人实现合理化建议的奖励金额为：</w:t>
      </w:r>
      <w:r>
        <w:rPr>
          <w:rFonts w:hint="eastAsia" w:ascii="宋体" w:hAnsi="宋体"/>
          <w:snapToGrid w:val="0"/>
          <w:sz w:val="21"/>
          <w:szCs w:val="21"/>
          <w:u w:val="single"/>
        </w:rPr>
        <w:t xml:space="preserve">   /    </w:t>
      </w:r>
      <w:r>
        <w:rPr>
          <w:rFonts w:hint="eastAsia" w:ascii="宋体" w:hAnsi="宋体"/>
          <w:snapToGrid w:val="0"/>
          <w:sz w:val="21"/>
          <w:szCs w:val="21"/>
        </w:rPr>
        <w:t>。</w:t>
      </w:r>
    </w:p>
    <w:p>
      <w:pPr>
        <w:pStyle w:val="7"/>
        <w:snapToGrid w:val="0"/>
        <w:spacing w:line="360" w:lineRule="exact"/>
        <w:rPr>
          <w:rFonts w:ascii="宋体" w:hAnsi="宋体" w:eastAsia="宋体"/>
          <w:sz w:val="21"/>
          <w:szCs w:val="21"/>
        </w:rPr>
      </w:pPr>
      <w:r>
        <w:rPr>
          <w:rFonts w:ascii="宋体" w:hAnsi="宋体" w:eastAsia="宋体"/>
          <w:sz w:val="21"/>
          <w:szCs w:val="21"/>
        </w:rPr>
        <w:t>15.</w:t>
      </w:r>
      <w:r>
        <w:rPr>
          <w:rFonts w:hint="eastAsia" w:ascii="宋体" w:hAnsi="宋体" w:eastAsia="宋体"/>
          <w:sz w:val="21"/>
          <w:szCs w:val="21"/>
        </w:rPr>
        <w:t>8暂估价</w:t>
      </w:r>
    </w:p>
    <w:p>
      <w:pPr>
        <w:snapToGrid w:val="0"/>
        <w:spacing w:line="360" w:lineRule="exact"/>
        <w:ind w:firstLine="420" w:firstLineChars="200"/>
        <w:rPr>
          <w:rFonts w:ascii="宋体" w:hAnsi="宋体"/>
          <w:snapToGrid w:val="0"/>
          <w:sz w:val="21"/>
          <w:szCs w:val="21"/>
          <w:u w:val="single"/>
        </w:rPr>
      </w:pPr>
      <w:r>
        <w:rPr>
          <w:rFonts w:hint="eastAsia" w:ascii="宋体" w:hAnsi="宋体"/>
          <w:snapToGrid w:val="0"/>
          <w:sz w:val="21"/>
          <w:szCs w:val="21"/>
        </w:rPr>
        <w:t>（1）发包人和承包人组织发包的暂估价项目：</w:t>
      </w:r>
      <w:r>
        <w:rPr>
          <w:rFonts w:hint="eastAsia" w:ascii="宋体" w:hAnsi="宋体"/>
          <w:snapToGrid w:val="0"/>
          <w:sz w:val="21"/>
          <w:szCs w:val="21"/>
          <w:u w:val="single"/>
        </w:rPr>
        <w:t xml:space="preserve">  /  </w:t>
      </w:r>
      <w:r>
        <w:rPr>
          <w:rFonts w:hint="eastAsia" w:ascii="宋体" w:hAnsi="宋体"/>
          <w:snapToGrid w:val="0"/>
          <w:sz w:val="21"/>
          <w:szCs w:val="21"/>
        </w:rPr>
        <w:t>；发包人组织发包的暂估价项目：</w:t>
      </w:r>
      <w:r>
        <w:rPr>
          <w:rFonts w:hint="eastAsia" w:ascii="宋体" w:hAnsi="宋体"/>
          <w:snapToGrid w:val="0"/>
          <w:sz w:val="21"/>
          <w:szCs w:val="21"/>
          <w:u w:val="single"/>
        </w:rPr>
        <w:t xml:space="preserve">    /   </w:t>
      </w:r>
      <w:r>
        <w:rPr>
          <w:rFonts w:hint="eastAsia" w:ascii="宋体" w:hAnsi="宋体"/>
          <w:snapToGrid w:val="0"/>
          <w:sz w:val="21"/>
          <w:szCs w:val="21"/>
        </w:rPr>
        <w:t>。</w:t>
      </w:r>
    </w:p>
    <w:p>
      <w:pPr>
        <w:snapToGrid w:val="0"/>
        <w:spacing w:line="360" w:lineRule="exact"/>
        <w:ind w:firstLine="420" w:firstLineChars="200"/>
        <w:rPr>
          <w:rFonts w:ascii="宋体" w:hAnsi="宋体"/>
          <w:snapToGrid w:val="0"/>
          <w:sz w:val="21"/>
          <w:szCs w:val="21"/>
        </w:rPr>
      </w:pPr>
      <w:r>
        <w:rPr>
          <w:rFonts w:hint="eastAsia" w:ascii="宋体" w:hAnsi="宋体"/>
          <w:snapToGrid w:val="0"/>
          <w:sz w:val="21"/>
          <w:szCs w:val="21"/>
        </w:rPr>
        <w:t>(2) 发包人和承包人以发包方式选择暂估价项目供应商或分包人时，双方的权利义务系：</w:t>
      </w:r>
      <w:r>
        <w:rPr>
          <w:rFonts w:hint="eastAsia" w:ascii="宋体" w:hAnsi="宋体"/>
          <w:snapToGrid w:val="0"/>
          <w:sz w:val="21"/>
          <w:szCs w:val="21"/>
          <w:u w:val="single"/>
        </w:rPr>
        <w:t xml:space="preserve">    /    </w:t>
      </w:r>
      <w:r>
        <w:rPr>
          <w:rFonts w:hint="eastAsia" w:ascii="宋体" w:hAnsi="宋体"/>
          <w:snapToGrid w:val="0"/>
          <w:sz w:val="21"/>
          <w:szCs w:val="21"/>
        </w:rPr>
        <w:t>。</w:t>
      </w:r>
    </w:p>
    <w:p>
      <w:pPr>
        <w:pStyle w:val="6"/>
        <w:snapToGrid w:val="0"/>
        <w:spacing w:line="360" w:lineRule="exact"/>
        <w:rPr>
          <w:rFonts w:ascii="宋体" w:hAnsi="宋体" w:eastAsia="宋体"/>
          <w:snapToGrid w:val="0"/>
          <w:sz w:val="21"/>
          <w:szCs w:val="21"/>
        </w:rPr>
      </w:pPr>
      <w:bookmarkStart w:id="314" w:name="_Toc405378494"/>
      <w:bookmarkStart w:id="315" w:name="_Toc184635113"/>
      <w:bookmarkStart w:id="316" w:name="_Toc452839295"/>
      <w:bookmarkStart w:id="317" w:name="_Toc336325294"/>
      <w:bookmarkStart w:id="318" w:name="_Toc311407700"/>
      <w:bookmarkStart w:id="319" w:name="_Toc5251"/>
      <w:bookmarkStart w:id="320" w:name="_Toc335853944"/>
      <w:bookmarkStart w:id="321" w:name="_Toc217819054"/>
      <w:r>
        <w:rPr>
          <w:rFonts w:ascii="宋体" w:hAnsi="宋体" w:eastAsia="宋体"/>
          <w:snapToGrid w:val="0"/>
          <w:sz w:val="21"/>
          <w:szCs w:val="21"/>
        </w:rPr>
        <w:t>16价格调整</w:t>
      </w:r>
      <w:bookmarkEnd w:id="314"/>
      <w:bookmarkEnd w:id="315"/>
      <w:bookmarkEnd w:id="316"/>
      <w:bookmarkEnd w:id="317"/>
      <w:bookmarkEnd w:id="318"/>
      <w:bookmarkEnd w:id="319"/>
      <w:bookmarkEnd w:id="320"/>
      <w:bookmarkEnd w:id="321"/>
    </w:p>
    <w:p>
      <w:pPr>
        <w:pStyle w:val="7"/>
        <w:spacing w:line="440" w:lineRule="exact"/>
        <w:rPr>
          <w:rFonts w:ascii="宋体" w:hAnsi="宋体" w:eastAsia="宋体"/>
          <w:sz w:val="21"/>
          <w:szCs w:val="21"/>
        </w:rPr>
      </w:pPr>
      <w:bookmarkStart w:id="322" w:name="_Toc335853945"/>
      <w:bookmarkStart w:id="323" w:name="_Toc241374758"/>
      <w:bookmarkStart w:id="324" w:name="_Toc336325295"/>
      <w:bookmarkStart w:id="325" w:name="_Toc311407701"/>
      <w:bookmarkStart w:id="326" w:name="_Toc405378495"/>
      <w:r>
        <w:rPr>
          <w:rFonts w:ascii="宋体" w:hAnsi="宋体" w:eastAsia="宋体"/>
          <w:sz w:val="21"/>
          <w:szCs w:val="21"/>
        </w:rPr>
        <w:t xml:space="preserve">16.1 </w:t>
      </w:r>
      <w:r>
        <w:rPr>
          <w:rFonts w:hint="eastAsia" w:ascii="宋体" w:hAnsi="宋体" w:eastAsia="宋体"/>
          <w:sz w:val="21"/>
          <w:szCs w:val="21"/>
        </w:rPr>
        <w:t>物价波动引起的价格调整</w:t>
      </w:r>
    </w:p>
    <w:p>
      <w:pPr>
        <w:pStyle w:val="11"/>
        <w:spacing w:line="440" w:lineRule="exact"/>
        <w:ind w:firstLine="420" w:firstLineChars="200"/>
        <w:rPr>
          <w:rFonts w:hAnsi="宋体"/>
          <w:snapToGrid w:val="0"/>
          <w:sz w:val="21"/>
          <w:szCs w:val="21"/>
        </w:rPr>
      </w:pPr>
      <w:r>
        <w:rPr>
          <w:rFonts w:hAnsi="宋体"/>
          <w:snapToGrid w:val="0"/>
          <w:sz w:val="21"/>
          <w:szCs w:val="21"/>
        </w:rPr>
        <w:t>16.1.</w:t>
      </w:r>
      <w:r>
        <w:rPr>
          <w:rFonts w:hint="eastAsia" w:hAnsi="宋体"/>
          <w:snapToGrid w:val="0"/>
          <w:sz w:val="21"/>
          <w:szCs w:val="21"/>
        </w:rPr>
        <w:t>1约定为：所有材料价格按当前的市场价考虑风险系数进入单价，在合同执行期内不作调整，价格风险由承包人自负。</w:t>
      </w:r>
    </w:p>
    <w:p>
      <w:pPr>
        <w:snapToGrid w:val="0"/>
        <w:spacing w:line="360" w:lineRule="exact"/>
        <w:rPr>
          <w:rFonts w:ascii="宋体" w:hAnsi="宋体"/>
          <w:b/>
          <w:snapToGrid w:val="0"/>
          <w:sz w:val="21"/>
          <w:szCs w:val="21"/>
        </w:rPr>
      </w:pPr>
      <w:r>
        <w:rPr>
          <w:rFonts w:ascii="宋体" w:hAnsi="宋体"/>
          <w:b/>
          <w:snapToGrid w:val="0"/>
          <w:sz w:val="21"/>
          <w:szCs w:val="21"/>
        </w:rPr>
        <w:t>17计量与支付</w:t>
      </w:r>
      <w:bookmarkEnd w:id="322"/>
      <w:bookmarkEnd w:id="323"/>
      <w:bookmarkEnd w:id="324"/>
      <w:bookmarkEnd w:id="325"/>
      <w:bookmarkEnd w:id="326"/>
    </w:p>
    <w:p>
      <w:pPr>
        <w:snapToGrid w:val="0"/>
        <w:spacing w:line="380" w:lineRule="exact"/>
        <w:rPr>
          <w:rFonts w:ascii="宋体" w:hAnsi="宋体"/>
          <w:b/>
          <w:sz w:val="21"/>
          <w:szCs w:val="21"/>
        </w:rPr>
      </w:pPr>
      <w:r>
        <w:rPr>
          <w:rFonts w:ascii="宋体" w:hAnsi="宋体"/>
          <w:b/>
          <w:sz w:val="21"/>
          <w:szCs w:val="21"/>
        </w:rPr>
        <w:t>17.2 预付款</w:t>
      </w:r>
    </w:p>
    <w:p>
      <w:pPr>
        <w:pStyle w:val="7"/>
        <w:numPr>
          <w:ilvl w:val="0"/>
          <w:numId w:val="7"/>
        </w:numPr>
        <w:snapToGrid w:val="0"/>
        <w:spacing w:line="360" w:lineRule="exact"/>
        <w:rPr>
          <w:bCs/>
          <w:szCs w:val="24"/>
          <w:u w:val="single"/>
        </w:rPr>
      </w:pPr>
      <w:r>
        <w:rPr>
          <w:rFonts w:hint="eastAsia"/>
          <w:bCs/>
          <w:szCs w:val="24"/>
        </w:rPr>
        <w:t>工程预付款约定为：</w:t>
      </w:r>
      <w:r>
        <w:rPr>
          <w:rFonts w:hint="eastAsia"/>
          <w:bCs/>
          <w:szCs w:val="24"/>
          <w:u w:val="single"/>
        </w:rPr>
        <w:t>/</w:t>
      </w:r>
      <w:r>
        <w:rPr>
          <w:rFonts w:hint="eastAsia"/>
          <w:bCs/>
          <w:szCs w:val="24"/>
        </w:rPr>
        <w:t>。</w:t>
      </w:r>
    </w:p>
    <w:p>
      <w:pPr>
        <w:pStyle w:val="7"/>
        <w:snapToGrid w:val="0"/>
        <w:spacing w:line="360" w:lineRule="exact"/>
        <w:rPr>
          <w:rFonts w:ascii="宋体" w:hAnsi="宋体" w:eastAsia="宋体"/>
          <w:sz w:val="21"/>
          <w:szCs w:val="21"/>
        </w:rPr>
      </w:pPr>
      <w:r>
        <w:rPr>
          <w:rFonts w:ascii="宋体" w:hAnsi="宋体" w:eastAsia="宋体"/>
          <w:sz w:val="21"/>
          <w:szCs w:val="21"/>
        </w:rPr>
        <w:t>17.3 工程进度付款</w:t>
      </w:r>
    </w:p>
    <w:p>
      <w:pPr>
        <w:snapToGrid w:val="0"/>
        <w:spacing w:line="360" w:lineRule="exact"/>
        <w:ind w:firstLine="420" w:firstLineChars="200"/>
        <w:rPr>
          <w:rFonts w:ascii="宋体" w:hAnsi="宋体"/>
          <w:i/>
          <w:snapToGrid w:val="0"/>
          <w:sz w:val="21"/>
          <w:szCs w:val="21"/>
          <w:u w:val="single"/>
        </w:rPr>
      </w:pPr>
      <w:r>
        <w:rPr>
          <w:rFonts w:ascii="宋体" w:hAnsi="宋体"/>
          <w:i/>
          <w:snapToGrid w:val="0"/>
          <w:sz w:val="21"/>
          <w:szCs w:val="21"/>
          <w:u w:val="single"/>
        </w:rPr>
        <w:t>17.3.3 进度付款证书和支付时间</w:t>
      </w:r>
    </w:p>
    <w:p>
      <w:pPr>
        <w:snapToGrid w:val="0"/>
        <w:spacing w:line="360" w:lineRule="exact"/>
        <w:ind w:firstLine="420" w:firstLineChars="200"/>
        <w:rPr>
          <w:rFonts w:ascii="宋体" w:hAnsi="宋体"/>
          <w:i/>
          <w:snapToGrid w:val="0"/>
          <w:sz w:val="21"/>
          <w:szCs w:val="21"/>
          <w:u w:val="single"/>
        </w:rPr>
      </w:pPr>
      <w:r>
        <w:rPr>
          <w:rFonts w:ascii="宋体" w:hAnsi="宋体"/>
          <w:i/>
          <w:snapToGrid w:val="0"/>
          <w:sz w:val="21"/>
          <w:szCs w:val="21"/>
          <w:u w:val="single"/>
        </w:rPr>
        <w:t>17.3.3（1）增加：</w:t>
      </w:r>
    </w:p>
    <w:p>
      <w:pPr>
        <w:widowControl/>
        <w:jc w:val="left"/>
      </w:pPr>
      <w:r>
        <w:rPr>
          <w:rFonts w:hint="eastAsia" w:ascii="宋体" w:hAnsi="宋体"/>
          <w:bCs/>
          <w:sz w:val="21"/>
          <w:szCs w:val="21"/>
          <w:u w:val="single"/>
        </w:rPr>
        <w:t>工程款支付办法：</w:t>
      </w:r>
    </w:p>
    <w:p>
      <w:pPr>
        <w:pStyle w:val="7"/>
        <w:snapToGrid w:val="0"/>
        <w:spacing w:line="360" w:lineRule="exact"/>
        <w:ind w:firstLine="308" w:firstLineChars="147"/>
        <w:rPr>
          <w:rFonts w:hint="eastAsia" w:ascii="宋体" w:hAnsi="宋体" w:eastAsia="宋体" w:cs="宋体"/>
          <w:color w:val="FF0000"/>
          <w:sz w:val="21"/>
          <w:szCs w:val="21"/>
          <w:u w:val="single"/>
        </w:rPr>
      </w:pPr>
      <w:r>
        <w:rPr>
          <w:rFonts w:hint="eastAsia" w:ascii="宋体" w:hAnsi="宋体" w:eastAsia="宋体" w:cs="宋体"/>
          <w:color w:val="FF0000"/>
          <w:sz w:val="21"/>
          <w:szCs w:val="21"/>
          <w:u w:val="single"/>
        </w:rPr>
        <w:t>工程量完成50%，支付签约合同价的30%；工程竣工验收合格且工程资料按照发包人要求存档后支付至签约合同价的</w:t>
      </w:r>
      <w:r>
        <w:rPr>
          <w:rFonts w:hint="eastAsia" w:ascii="宋体" w:hAnsi="宋体" w:eastAsia="宋体" w:cs="宋体"/>
          <w:color w:val="FF0000"/>
          <w:sz w:val="21"/>
          <w:szCs w:val="21"/>
          <w:u w:val="single"/>
          <w:lang w:val="en-US" w:eastAsia="zh-CN"/>
        </w:rPr>
        <w:t>80</w:t>
      </w:r>
      <w:r>
        <w:rPr>
          <w:rFonts w:hint="eastAsia" w:ascii="宋体" w:hAnsi="宋体" w:eastAsia="宋体" w:cs="宋体"/>
          <w:color w:val="FF0000"/>
          <w:sz w:val="21"/>
          <w:szCs w:val="21"/>
          <w:u w:val="single"/>
        </w:rPr>
        <w:t>%；审计结束后一年内支付至审定价的9</w:t>
      </w:r>
      <w:r>
        <w:rPr>
          <w:rFonts w:hint="eastAsia" w:ascii="宋体" w:hAnsi="宋体" w:eastAsia="宋体" w:cs="宋体"/>
          <w:color w:val="FF0000"/>
          <w:sz w:val="21"/>
          <w:szCs w:val="21"/>
          <w:u w:val="single"/>
          <w:lang w:val="en-US" w:eastAsia="zh-CN"/>
        </w:rPr>
        <w:t>8</w:t>
      </w:r>
      <w:r>
        <w:rPr>
          <w:rFonts w:hint="eastAsia" w:ascii="宋体" w:hAnsi="宋体" w:eastAsia="宋体" w:cs="宋体"/>
          <w:color w:val="FF0000"/>
          <w:sz w:val="21"/>
          <w:szCs w:val="21"/>
          <w:u w:val="single"/>
        </w:rPr>
        <w:t>.5%；余款</w:t>
      </w:r>
      <w:r>
        <w:rPr>
          <w:rFonts w:hint="eastAsia" w:ascii="宋体" w:hAnsi="宋体" w:eastAsia="宋体" w:cs="宋体"/>
          <w:color w:val="FF0000"/>
          <w:sz w:val="21"/>
          <w:szCs w:val="21"/>
          <w:u w:val="single"/>
          <w:lang w:val="en-US" w:eastAsia="zh-CN"/>
        </w:rPr>
        <w:t>1</w:t>
      </w:r>
      <w:r>
        <w:rPr>
          <w:rFonts w:hint="eastAsia" w:ascii="宋体" w:hAnsi="宋体" w:eastAsia="宋体" w:cs="宋体"/>
          <w:color w:val="FF0000"/>
          <w:sz w:val="21"/>
          <w:szCs w:val="21"/>
          <w:u w:val="single"/>
        </w:rPr>
        <w:t>.5%作为质量保修金（无息）。</w:t>
      </w:r>
    </w:p>
    <w:p>
      <w:pPr>
        <w:pStyle w:val="7"/>
        <w:snapToGrid w:val="0"/>
        <w:spacing w:line="360" w:lineRule="exact"/>
        <w:ind w:firstLine="308" w:firstLineChars="147"/>
        <w:rPr>
          <w:rFonts w:hint="eastAsia" w:ascii="宋体" w:hAnsi="宋体" w:eastAsia="宋体" w:cs="宋体"/>
          <w:snapToGrid/>
          <w:color w:val="FF0000"/>
          <w:sz w:val="21"/>
          <w:szCs w:val="21"/>
          <w:u w:val="single"/>
        </w:rPr>
      </w:pPr>
      <w:r>
        <w:rPr>
          <w:rFonts w:hint="eastAsia" w:ascii="宋体" w:hAnsi="宋体" w:eastAsia="宋体" w:cs="宋体"/>
          <w:color w:val="FF0000"/>
          <w:sz w:val="21"/>
          <w:szCs w:val="21"/>
          <w:u w:val="single"/>
        </w:rPr>
        <w:t>承包人必须按月全额支付民工工资，并且发包人有监督的权利。如承包人未按规定兑现，发包人有权直接从工程款中扣除该费用，用于直接支付民工工资，并扣罚双倍的费用。</w:t>
      </w:r>
    </w:p>
    <w:p>
      <w:pPr>
        <w:pStyle w:val="7"/>
        <w:snapToGrid w:val="0"/>
        <w:spacing w:line="360" w:lineRule="exact"/>
        <w:ind w:firstLine="308" w:firstLineChars="147"/>
        <w:rPr>
          <w:rFonts w:hint="eastAsia" w:ascii="宋体" w:hAnsi="宋体" w:eastAsia="宋体" w:cs="宋体"/>
          <w:snapToGrid/>
          <w:color w:val="FF0000"/>
          <w:sz w:val="21"/>
          <w:szCs w:val="21"/>
          <w:u w:val="single"/>
        </w:rPr>
      </w:pPr>
      <w:r>
        <w:rPr>
          <w:rFonts w:hint="eastAsia" w:ascii="宋体" w:hAnsi="宋体" w:eastAsia="宋体" w:cs="宋体"/>
          <w:snapToGrid/>
          <w:color w:val="FF0000"/>
          <w:sz w:val="21"/>
          <w:szCs w:val="21"/>
          <w:u w:val="single"/>
        </w:rPr>
        <w:t>注：①承包人收取各期工程款时应开具正规发票（增值税专票）为付款的前提；</w:t>
      </w:r>
    </w:p>
    <w:p>
      <w:pPr>
        <w:pStyle w:val="7"/>
        <w:snapToGrid w:val="0"/>
        <w:spacing w:line="360" w:lineRule="exact"/>
        <w:ind w:firstLine="308" w:firstLineChars="147"/>
        <w:rPr>
          <w:rFonts w:hint="eastAsia" w:ascii="宋体" w:hAnsi="宋体" w:eastAsia="宋体" w:cs="宋体"/>
          <w:snapToGrid/>
          <w:color w:val="FF0000"/>
          <w:sz w:val="21"/>
          <w:szCs w:val="21"/>
          <w:u w:val="single"/>
        </w:rPr>
      </w:pPr>
      <w:r>
        <w:rPr>
          <w:rFonts w:hint="eastAsia" w:ascii="宋体" w:hAnsi="宋体" w:eastAsia="宋体" w:cs="宋体"/>
          <w:snapToGrid/>
          <w:color w:val="FF0000"/>
          <w:sz w:val="21"/>
          <w:szCs w:val="21"/>
          <w:u w:val="single"/>
        </w:rPr>
        <w:t>②合同款支付基数扣除安文费和暂列金。</w:t>
      </w:r>
    </w:p>
    <w:p>
      <w:pPr>
        <w:pStyle w:val="7"/>
        <w:snapToGrid w:val="0"/>
        <w:spacing w:line="360" w:lineRule="exact"/>
        <w:rPr>
          <w:rFonts w:ascii="宋体" w:hAnsi="宋体" w:eastAsia="宋体"/>
          <w:color w:val="auto"/>
          <w:sz w:val="21"/>
          <w:szCs w:val="21"/>
        </w:rPr>
      </w:pPr>
      <w:r>
        <w:rPr>
          <w:rFonts w:ascii="宋体" w:hAnsi="宋体" w:eastAsia="宋体"/>
          <w:color w:val="auto"/>
          <w:sz w:val="21"/>
          <w:szCs w:val="21"/>
        </w:rPr>
        <w:t>17.4 质量保证金</w:t>
      </w:r>
    </w:p>
    <w:p>
      <w:pPr>
        <w:snapToGrid w:val="0"/>
        <w:spacing w:line="360" w:lineRule="exact"/>
        <w:ind w:firstLine="420" w:firstLineChars="200"/>
        <w:rPr>
          <w:rFonts w:ascii="宋体" w:hAnsi="宋体"/>
          <w:snapToGrid w:val="0"/>
          <w:sz w:val="21"/>
          <w:szCs w:val="21"/>
        </w:rPr>
      </w:pPr>
      <w:bookmarkStart w:id="327" w:name="_Toc184635116"/>
      <w:bookmarkStart w:id="328" w:name="_Toc241374759"/>
      <w:r>
        <w:rPr>
          <w:rFonts w:ascii="宋体" w:hAnsi="宋体"/>
          <w:snapToGrid w:val="0"/>
          <w:sz w:val="21"/>
          <w:szCs w:val="21"/>
        </w:rPr>
        <w:t>17.4.1</w:t>
      </w:r>
      <w:r>
        <w:rPr>
          <w:rFonts w:hint="eastAsia" w:ascii="宋体" w:hAnsi="宋体"/>
          <w:snapToGrid w:val="0"/>
          <w:sz w:val="21"/>
          <w:szCs w:val="21"/>
        </w:rPr>
        <w:t>每个付款周期扣留的质量保证金额度及质量保证金总额见</w:t>
      </w:r>
      <w:r>
        <w:rPr>
          <w:rFonts w:ascii="宋体" w:hAnsi="宋体"/>
          <w:snapToGrid w:val="0"/>
          <w:sz w:val="21"/>
          <w:szCs w:val="21"/>
        </w:rPr>
        <w:t>17.3.3</w:t>
      </w:r>
      <w:r>
        <w:rPr>
          <w:rFonts w:hint="eastAsia" w:ascii="宋体" w:hAnsi="宋体"/>
          <w:snapToGrid w:val="0"/>
          <w:sz w:val="21"/>
          <w:szCs w:val="21"/>
        </w:rPr>
        <w:t>（</w:t>
      </w:r>
      <w:r>
        <w:rPr>
          <w:rFonts w:ascii="宋体" w:hAnsi="宋体"/>
          <w:snapToGrid w:val="0"/>
          <w:sz w:val="21"/>
          <w:szCs w:val="21"/>
        </w:rPr>
        <w:t>1</w:t>
      </w:r>
      <w:r>
        <w:rPr>
          <w:rFonts w:hint="eastAsia" w:ascii="宋体" w:hAnsi="宋体"/>
          <w:snapToGrid w:val="0"/>
          <w:sz w:val="21"/>
          <w:szCs w:val="21"/>
        </w:rPr>
        <w:t>）目。</w:t>
      </w:r>
    </w:p>
    <w:p>
      <w:pPr>
        <w:pStyle w:val="7"/>
        <w:snapToGrid w:val="0"/>
        <w:spacing w:line="360" w:lineRule="exact"/>
        <w:rPr>
          <w:rFonts w:ascii="宋体" w:hAnsi="宋体" w:eastAsia="宋体"/>
          <w:sz w:val="21"/>
          <w:szCs w:val="21"/>
        </w:rPr>
      </w:pPr>
      <w:r>
        <w:rPr>
          <w:rFonts w:ascii="宋体" w:hAnsi="宋体" w:eastAsia="宋体"/>
          <w:sz w:val="21"/>
          <w:szCs w:val="21"/>
        </w:rPr>
        <w:t xml:space="preserve">17.5 </w:t>
      </w:r>
      <w:r>
        <w:rPr>
          <w:rFonts w:hint="eastAsia" w:ascii="宋体" w:hAnsi="宋体" w:eastAsia="宋体"/>
          <w:sz w:val="21"/>
          <w:szCs w:val="21"/>
        </w:rPr>
        <w:t>竣工（</w:t>
      </w:r>
      <w:r>
        <w:rPr>
          <w:rFonts w:ascii="宋体" w:hAnsi="宋体" w:eastAsia="宋体"/>
          <w:sz w:val="21"/>
          <w:szCs w:val="21"/>
        </w:rPr>
        <w:t>完工</w:t>
      </w:r>
      <w:r>
        <w:rPr>
          <w:rFonts w:hint="eastAsia" w:ascii="宋体" w:hAnsi="宋体" w:eastAsia="宋体"/>
          <w:sz w:val="21"/>
          <w:szCs w:val="21"/>
        </w:rPr>
        <w:t>）</w:t>
      </w:r>
      <w:r>
        <w:rPr>
          <w:rFonts w:ascii="宋体" w:hAnsi="宋体" w:eastAsia="宋体"/>
          <w:sz w:val="21"/>
          <w:szCs w:val="21"/>
        </w:rPr>
        <w:t>结算</w:t>
      </w:r>
    </w:p>
    <w:p>
      <w:pPr>
        <w:snapToGrid w:val="0"/>
        <w:spacing w:line="360" w:lineRule="exact"/>
        <w:ind w:firstLine="420" w:firstLineChars="200"/>
        <w:rPr>
          <w:rFonts w:ascii="宋体" w:hAnsi="宋体"/>
          <w:snapToGrid w:val="0"/>
          <w:sz w:val="21"/>
          <w:szCs w:val="21"/>
        </w:rPr>
      </w:pPr>
      <w:r>
        <w:rPr>
          <w:rFonts w:hint="eastAsia" w:ascii="宋体" w:hAnsi="宋体"/>
          <w:snapToGrid w:val="0"/>
          <w:sz w:val="21"/>
          <w:szCs w:val="21"/>
        </w:rPr>
        <w:t>17.5.1 竣工（完工）付款申请单</w:t>
      </w:r>
    </w:p>
    <w:p>
      <w:pPr>
        <w:snapToGrid w:val="0"/>
        <w:spacing w:line="360" w:lineRule="exact"/>
        <w:ind w:firstLine="420" w:firstLineChars="200"/>
        <w:rPr>
          <w:rFonts w:ascii="宋体" w:hAnsi="宋体"/>
          <w:snapToGrid w:val="0"/>
          <w:sz w:val="21"/>
          <w:szCs w:val="21"/>
        </w:rPr>
      </w:pPr>
      <w:r>
        <w:rPr>
          <w:rFonts w:hint="eastAsia" w:ascii="宋体" w:hAnsi="宋体"/>
          <w:snapToGrid w:val="0"/>
          <w:sz w:val="21"/>
          <w:szCs w:val="21"/>
        </w:rPr>
        <w:t>(1) 承包人应提交完工付款申请单一式</w:t>
      </w:r>
      <w:r>
        <w:rPr>
          <w:rFonts w:hint="eastAsia" w:ascii="宋体" w:hAnsi="宋体"/>
          <w:snapToGrid w:val="0"/>
          <w:sz w:val="21"/>
          <w:szCs w:val="21"/>
          <w:u w:val="single"/>
        </w:rPr>
        <w:t xml:space="preserve"> 5 </w:t>
      </w:r>
      <w:r>
        <w:rPr>
          <w:rFonts w:hint="eastAsia" w:ascii="宋体" w:hAnsi="宋体"/>
          <w:snapToGrid w:val="0"/>
          <w:sz w:val="21"/>
          <w:szCs w:val="21"/>
        </w:rPr>
        <w:t>份。</w:t>
      </w:r>
    </w:p>
    <w:p>
      <w:pPr>
        <w:pStyle w:val="7"/>
        <w:snapToGrid w:val="0"/>
        <w:spacing w:line="360" w:lineRule="exact"/>
        <w:rPr>
          <w:rFonts w:ascii="宋体" w:hAnsi="宋体" w:eastAsia="宋体"/>
          <w:sz w:val="21"/>
          <w:szCs w:val="21"/>
        </w:rPr>
      </w:pPr>
      <w:r>
        <w:rPr>
          <w:rFonts w:ascii="宋体" w:hAnsi="宋体" w:eastAsia="宋体"/>
          <w:sz w:val="21"/>
          <w:szCs w:val="21"/>
        </w:rPr>
        <w:t>17.6 最终结清</w:t>
      </w:r>
    </w:p>
    <w:p>
      <w:pPr>
        <w:snapToGrid w:val="0"/>
        <w:spacing w:line="360" w:lineRule="exact"/>
        <w:ind w:firstLine="420" w:firstLineChars="200"/>
        <w:rPr>
          <w:rFonts w:ascii="宋体" w:hAnsi="宋体"/>
          <w:snapToGrid w:val="0"/>
          <w:sz w:val="21"/>
          <w:szCs w:val="21"/>
        </w:rPr>
      </w:pPr>
      <w:r>
        <w:rPr>
          <w:rFonts w:hint="eastAsia" w:ascii="宋体" w:hAnsi="宋体"/>
          <w:snapToGrid w:val="0"/>
          <w:sz w:val="21"/>
          <w:szCs w:val="21"/>
        </w:rPr>
        <w:t>17. 6.1 最终结清申请单</w:t>
      </w:r>
    </w:p>
    <w:p>
      <w:pPr>
        <w:snapToGrid w:val="0"/>
        <w:spacing w:line="360" w:lineRule="exact"/>
        <w:ind w:firstLine="420" w:firstLineChars="200"/>
        <w:rPr>
          <w:rFonts w:ascii="宋体" w:hAnsi="宋体"/>
          <w:snapToGrid w:val="0"/>
          <w:sz w:val="21"/>
          <w:szCs w:val="21"/>
        </w:rPr>
      </w:pPr>
      <w:r>
        <w:rPr>
          <w:rFonts w:hint="eastAsia" w:ascii="宋体" w:hAnsi="宋体"/>
          <w:snapToGrid w:val="0"/>
          <w:sz w:val="21"/>
          <w:szCs w:val="21"/>
        </w:rPr>
        <w:t>(1) 承包人应提交最终结清申请单一式</w:t>
      </w:r>
      <w:r>
        <w:rPr>
          <w:rFonts w:hint="eastAsia" w:ascii="宋体" w:hAnsi="宋体"/>
          <w:snapToGrid w:val="0"/>
          <w:sz w:val="21"/>
          <w:szCs w:val="21"/>
          <w:u w:val="single"/>
        </w:rPr>
        <w:t xml:space="preserve"> 5 </w:t>
      </w:r>
      <w:r>
        <w:rPr>
          <w:rFonts w:hint="eastAsia" w:ascii="宋体" w:hAnsi="宋体"/>
          <w:snapToGrid w:val="0"/>
          <w:sz w:val="21"/>
          <w:szCs w:val="21"/>
        </w:rPr>
        <w:t>份。</w:t>
      </w:r>
    </w:p>
    <w:p>
      <w:pPr>
        <w:pStyle w:val="7"/>
        <w:snapToGrid w:val="0"/>
        <w:spacing w:line="360" w:lineRule="exact"/>
        <w:rPr>
          <w:rFonts w:ascii="宋体" w:hAnsi="宋体" w:eastAsia="宋体"/>
          <w:sz w:val="21"/>
          <w:szCs w:val="21"/>
        </w:rPr>
      </w:pPr>
      <w:r>
        <w:rPr>
          <w:rFonts w:hint="eastAsia" w:ascii="宋体" w:hAnsi="宋体" w:eastAsia="宋体"/>
          <w:sz w:val="21"/>
          <w:szCs w:val="21"/>
        </w:rPr>
        <w:t>17.7 竣工财务决算</w:t>
      </w:r>
    </w:p>
    <w:p>
      <w:pPr>
        <w:snapToGrid w:val="0"/>
        <w:spacing w:line="360" w:lineRule="exact"/>
        <w:ind w:firstLine="420" w:firstLineChars="200"/>
        <w:rPr>
          <w:rFonts w:ascii="宋体" w:hAnsi="宋体"/>
          <w:snapToGrid w:val="0"/>
          <w:sz w:val="21"/>
          <w:szCs w:val="21"/>
        </w:rPr>
      </w:pPr>
      <w:r>
        <w:rPr>
          <w:rFonts w:hint="eastAsia" w:ascii="宋体" w:hAnsi="宋体"/>
          <w:snapToGrid w:val="0"/>
          <w:sz w:val="21"/>
          <w:szCs w:val="21"/>
        </w:rPr>
        <w:t>承包人应为竣工财务决算编制提供的资料：</w:t>
      </w:r>
      <w:r>
        <w:rPr>
          <w:rFonts w:hint="eastAsia" w:ascii="宋体" w:hAnsi="宋体"/>
          <w:snapToGrid w:val="0"/>
          <w:sz w:val="21"/>
          <w:szCs w:val="21"/>
          <w:u w:val="single"/>
        </w:rPr>
        <w:t>财务决算所需的一切资料</w:t>
      </w:r>
      <w:r>
        <w:rPr>
          <w:rFonts w:hint="eastAsia" w:ascii="宋体" w:hAnsi="宋体"/>
          <w:snapToGrid w:val="0"/>
          <w:sz w:val="21"/>
          <w:szCs w:val="21"/>
        </w:rPr>
        <w:t>。</w:t>
      </w:r>
    </w:p>
    <w:p>
      <w:pPr>
        <w:pStyle w:val="6"/>
        <w:snapToGrid w:val="0"/>
        <w:spacing w:line="360" w:lineRule="exact"/>
        <w:rPr>
          <w:rFonts w:ascii="宋体" w:hAnsi="宋体" w:eastAsia="宋体"/>
          <w:snapToGrid w:val="0"/>
          <w:sz w:val="21"/>
          <w:szCs w:val="21"/>
        </w:rPr>
      </w:pPr>
      <w:bookmarkStart w:id="329" w:name="_Toc405378496"/>
      <w:bookmarkStart w:id="330" w:name="_Toc335853946"/>
      <w:bookmarkStart w:id="331" w:name="_Toc336325296"/>
      <w:bookmarkStart w:id="332" w:name="_Toc311407702"/>
      <w:bookmarkStart w:id="333" w:name="_Toc3067"/>
      <w:bookmarkStart w:id="334" w:name="_Toc452839296"/>
      <w:bookmarkStart w:id="335" w:name="_Toc259802239"/>
      <w:r>
        <w:rPr>
          <w:rFonts w:hint="eastAsia" w:ascii="宋体" w:hAnsi="宋体" w:eastAsia="宋体"/>
          <w:snapToGrid w:val="0"/>
          <w:sz w:val="21"/>
          <w:szCs w:val="21"/>
        </w:rPr>
        <w:t>18 竣工验收（验收）</w:t>
      </w:r>
      <w:bookmarkEnd w:id="329"/>
      <w:bookmarkEnd w:id="330"/>
      <w:bookmarkEnd w:id="331"/>
      <w:bookmarkEnd w:id="332"/>
      <w:bookmarkEnd w:id="333"/>
      <w:bookmarkEnd w:id="334"/>
      <w:bookmarkEnd w:id="335"/>
    </w:p>
    <w:p>
      <w:pPr>
        <w:pStyle w:val="7"/>
        <w:snapToGrid w:val="0"/>
        <w:spacing w:line="360" w:lineRule="exact"/>
        <w:rPr>
          <w:rFonts w:ascii="宋体" w:hAnsi="宋体" w:eastAsia="宋体"/>
          <w:sz w:val="21"/>
          <w:szCs w:val="21"/>
        </w:rPr>
      </w:pPr>
      <w:r>
        <w:rPr>
          <w:rFonts w:hint="eastAsia" w:ascii="宋体" w:hAnsi="宋体" w:eastAsia="宋体"/>
          <w:sz w:val="21"/>
          <w:szCs w:val="21"/>
        </w:rPr>
        <w:t>18.1 验收工作分类</w:t>
      </w:r>
    </w:p>
    <w:p>
      <w:pPr>
        <w:snapToGrid w:val="0"/>
        <w:spacing w:line="360" w:lineRule="exact"/>
        <w:ind w:firstLine="420" w:firstLineChars="200"/>
        <w:rPr>
          <w:rFonts w:ascii="宋体" w:hAnsi="宋体"/>
          <w:snapToGrid w:val="0"/>
          <w:sz w:val="21"/>
          <w:szCs w:val="21"/>
        </w:rPr>
      </w:pPr>
      <w:r>
        <w:rPr>
          <w:rFonts w:hint="eastAsia" w:ascii="宋体" w:hAnsi="宋体"/>
          <w:snapToGrid w:val="0"/>
          <w:sz w:val="21"/>
          <w:szCs w:val="21"/>
        </w:rPr>
        <w:t>本工程法人验收包括：</w:t>
      </w:r>
      <w:r>
        <w:rPr>
          <w:rFonts w:hint="eastAsia" w:ascii="宋体" w:hAnsi="宋体"/>
          <w:snapToGrid w:val="0"/>
          <w:sz w:val="21"/>
          <w:szCs w:val="21"/>
          <w:u w:val="single"/>
        </w:rPr>
        <w:t>完工验收</w:t>
      </w:r>
      <w:r>
        <w:rPr>
          <w:rFonts w:hint="eastAsia" w:ascii="宋体" w:hAnsi="宋体"/>
          <w:snapToGrid w:val="0"/>
          <w:sz w:val="21"/>
          <w:szCs w:val="21"/>
        </w:rPr>
        <w:t>；政府验收包括：</w:t>
      </w:r>
      <w:r>
        <w:rPr>
          <w:rFonts w:hint="eastAsia" w:ascii="宋体" w:hAnsi="宋体"/>
          <w:snapToGrid w:val="0"/>
          <w:sz w:val="21"/>
          <w:szCs w:val="21"/>
          <w:u w:val="single"/>
        </w:rPr>
        <w:t xml:space="preserve"> 竣工验收 </w:t>
      </w:r>
      <w:r>
        <w:rPr>
          <w:rFonts w:hint="eastAsia" w:ascii="宋体" w:hAnsi="宋体"/>
          <w:snapToGrid w:val="0"/>
          <w:sz w:val="21"/>
          <w:szCs w:val="21"/>
        </w:rPr>
        <w:t>。验收条件为：</w:t>
      </w:r>
      <w:r>
        <w:rPr>
          <w:rFonts w:hint="eastAsia" w:ascii="宋体" w:hAnsi="宋体"/>
          <w:snapToGrid w:val="0"/>
          <w:sz w:val="21"/>
          <w:szCs w:val="21"/>
          <w:u w:val="single"/>
        </w:rPr>
        <w:t>相应工程完工（合同范围）</w:t>
      </w:r>
      <w:r>
        <w:rPr>
          <w:rFonts w:hint="eastAsia" w:ascii="宋体" w:hAnsi="宋体"/>
          <w:snapToGrid w:val="0"/>
          <w:sz w:val="21"/>
          <w:szCs w:val="21"/>
        </w:rPr>
        <w:t>，验收程序为：</w:t>
      </w:r>
      <w:r>
        <w:rPr>
          <w:rFonts w:ascii="宋体" w:hAnsi="宋体"/>
          <w:snapToGrid w:val="0"/>
          <w:sz w:val="21"/>
          <w:szCs w:val="21"/>
          <w:u w:val="single"/>
        </w:rPr>
        <w:t>按《水利工程建设工程验收规程》（SL223-2008）</w:t>
      </w:r>
      <w:r>
        <w:rPr>
          <w:rFonts w:hint="eastAsia" w:ascii="宋体" w:hAnsi="宋体"/>
          <w:snapToGrid w:val="0"/>
          <w:sz w:val="21"/>
          <w:szCs w:val="21"/>
        </w:rPr>
        <w:t>。</w:t>
      </w:r>
    </w:p>
    <w:p>
      <w:pPr>
        <w:pStyle w:val="7"/>
        <w:snapToGrid w:val="0"/>
        <w:spacing w:line="360" w:lineRule="exact"/>
        <w:rPr>
          <w:rFonts w:ascii="宋体" w:hAnsi="宋体" w:eastAsia="宋体"/>
          <w:sz w:val="21"/>
          <w:szCs w:val="21"/>
        </w:rPr>
      </w:pPr>
      <w:r>
        <w:rPr>
          <w:rFonts w:hint="eastAsia" w:ascii="宋体" w:hAnsi="宋体" w:eastAsia="宋体"/>
          <w:sz w:val="21"/>
          <w:szCs w:val="21"/>
        </w:rPr>
        <w:t>18.2 分部工程验收</w:t>
      </w:r>
    </w:p>
    <w:p>
      <w:pPr>
        <w:snapToGrid w:val="0"/>
        <w:spacing w:line="360" w:lineRule="exact"/>
        <w:ind w:firstLine="420" w:firstLineChars="200"/>
        <w:rPr>
          <w:rFonts w:ascii="宋体" w:hAnsi="宋体"/>
          <w:snapToGrid w:val="0"/>
          <w:sz w:val="21"/>
          <w:szCs w:val="21"/>
        </w:rPr>
      </w:pPr>
      <w:r>
        <w:rPr>
          <w:rFonts w:hint="eastAsia" w:ascii="宋体" w:hAnsi="宋体"/>
          <w:snapToGrid w:val="0"/>
          <w:sz w:val="21"/>
          <w:szCs w:val="21"/>
        </w:rPr>
        <w:t>18.2.2 本工程由监理人主持的分部工程验收为</w:t>
      </w:r>
      <w:r>
        <w:rPr>
          <w:rFonts w:hint="eastAsia" w:ascii="宋体" w:hAnsi="宋体"/>
          <w:snapToGrid w:val="0"/>
          <w:sz w:val="21"/>
          <w:szCs w:val="21"/>
          <w:u w:val="single"/>
        </w:rPr>
        <w:t xml:space="preserve">主要分部 </w:t>
      </w:r>
      <w:r>
        <w:rPr>
          <w:rFonts w:hint="eastAsia" w:ascii="宋体" w:hAnsi="宋体"/>
          <w:snapToGrid w:val="0"/>
          <w:sz w:val="21"/>
          <w:szCs w:val="21"/>
        </w:rPr>
        <w:t>，其余由发包人主持。</w:t>
      </w:r>
    </w:p>
    <w:p>
      <w:pPr>
        <w:pStyle w:val="7"/>
        <w:snapToGrid w:val="0"/>
        <w:spacing w:line="360" w:lineRule="exact"/>
        <w:rPr>
          <w:rFonts w:ascii="宋体" w:hAnsi="宋体" w:eastAsia="宋体"/>
          <w:sz w:val="21"/>
          <w:szCs w:val="21"/>
        </w:rPr>
      </w:pPr>
      <w:r>
        <w:rPr>
          <w:rFonts w:hint="eastAsia" w:ascii="宋体" w:hAnsi="宋体" w:eastAsia="宋体"/>
          <w:sz w:val="21"/>
          <w:szCs w:val="21"/>
        </w:rPr>
        <w:t>18.3 单位工程验收</w:t>
      </w:r>
    </w:p>
    <w:p>
      <w:pPr>
        <w:snapToGrid w:val="0"/>
        <w:spacing w:line="360" w:lineRule="exact"/>
        <w:ind w:firstLine="420" w:firstLineChars="200"/>
        <w:rPr>
          <w:rFonts w:ascii="宋体" w:hAnsi="宋体"/>
          <w:snapToGrid w:val="0"/>
          <w:sz w:val="21"/>
          <w:szCs w:val="21"/>
        </w:rPr>
      </w:pPr>
      <w:r>
        <w:rPr>
          <w:rFonts w:hint="eastAsia" w:ascii="宋体" w:hAnsi="宋体"/>
          <w:snapToGrid w:val="0"/>
          <w:sz w:val="21"/>
          <w:szCs w:val="21"/>
        </w:rPr>
        <w:t>18.3.4 提前投人使用的单位工程包括：</w:t>
      </w:r>
      <w:r>
        <w:rPr>
          <w:rFonts w:hint="eastAsia" w:ascii="宋体" w:hAnsi="宋体"/>
          <w:snapToGrid w:val="0"/>
          <w:sz w:val="21"/>
          <w:szCs w:val="21"/>
          <w:u w:val="single"/>
        </w:rPr>
        <w:t xml:space="preserve">  /  </w:t>
      </w:r>
      <w:r>
        <w:rPr>
          <w:rFonts w:hint="eastAsia" w:ascii="宋体" w:hAnsi="宋体"/>
          <w:snapToGrid w:val="0"/>
          <w:sz w:val="21"/>
          <w:szCs w:val="21"/>
        </w:rPr>
        <w:t>。</w:t>
      </w:r>
    </w:p>
    <w:p>
      <w:pPr>
        <w:pStyle w:val="7"/>
        <w:snapToGrid w:val="0"/>
        <w:spacing w:line="360" w:lineRule="exact"/>
        <w:rPr>
          <w:rFonts w:ascii="宋体" w:hAnsi="宋体" w:eastAsia="宋体"/>
          <w:sz w:val="21"/>
          <w:szCs w:val="21"/>
        </w:rPr>
      </w:pPr>
      <w:r>
        <w:rPr>
          <w:rFonts w:hint="eastAsia" w:ascii="宋体" w:hAnsi="宋体" w:eastAsia="宋体"/>
          <w:sz w:val="21"/>
          <w:szCs w:val="21"/>
        </w:rPr>
        <w:t>18.5 阶段验收</w:t>
      </w:r>
    </w:p>
    <w:p>
      <w:pPr>
        <w:snapToGrid w:val="0"/>
        <w:spacing w:line="360" w:lineRule="exact"/>
        <w:ind w:firstLine="420" w:firstLineChars="200"/>
        <w:rPr>
          <w:rFonts w:ascii="宋体" w:hAnsi="宋体"/>
          <w:snapToGrid w:val="0"/>
          <w:sz w:val="21"/>
          <w:szCs w:val="21"/>
        </w:rPr>
      </w:pPr>
      <w:r>
        <w:rPr>
          <w:rFonts w:hint="eastAsia" w:ascii="宋体" w:hAnsi="宋体"/>
          <w:snapToGrid w:val="0"/>
          <w:sz w:val="21"/>
          <w:szCs w:val="21"/>
        </w:rPr>
        <w:t>18.5.1 本合同工程阶段验收类别包括：</w:t>
      </w:r>
      <w:r>
        <w:rPr>
          <w:rFonts w:hint="eastAsia" w:ascii="宋体" w:hAnsi="宋体"/>
          <w:snapToGrid w:val="0"/>
          <w:sz w:val="21"/>
          <w:szCs w:val="21"/>
          <w:u w:val="single"/>
        </w:rPr>
        <w:t xml:space="preserve">  /  </w:t>
      </w:r>
      <w:r>
        <w:rPr>
          <w:rFonts w:hint="eastAsia" w:ascii="宋体" w:hAnsi="宋体"/>
          <w:snapToGrid w:val="0"/>
          <w:sz w:val="21"/>
          <w:szCs w:val="21"/>
        </w:rPr>
        <w:t>。</w:t>
      </w:r>
    </w:p>
    <w:p>
      <w:pPr>
        <w:pStyle w:val="7"/>
        <w:snapToGrid w:val="0"/>
        <w:spacing w:line="360" w:lineRule="exact"/>
        <w:rPr>
          <w:rFonts w:ascii="宋体" w:hAnsi="宋体" w:eastAsia="宋体"/>
          <w:sz w:val="21"/>
          <w:szCs w:val="21"/>
        </w:rPr>
      </w:pPr>
      <w:r>
        <w:rPr>
          <w:rFonts w:hint="eastAsia" w:ascii="宋体" w:hAnsi="宋体" w:eastAsia="宋体"/>
          <w:sz w:val="21"/>
          <w:szCs w:val="21"/>
        </w:rPr>
        <w:t>18.6 专项验收</w:t>
      </w:r>
    </w:p>
    <w:p>
      <w:pPr>
        <w:snapToGrid w:val="0"/>
        <w:spacing w:line="360" w:lineRule="exact"/>
        <w:ind w:firstLine="420" w:firstLineChars="200"/>
        <w:rPr>
          <w:rFonts w:ascii="宋体" w:hAnsi="宋体"/>
          <w:snapToGrid w:val="0"/>
          <w:sz w:val="21"/>
          <w:szCs w:val="21"/>
        </w:rPr>
      </w:pPr>
      <w:r>
        <w:rPr>
          <w:rFonts w:hint="eastAsia" w:ascii="宋体" w:hAnsi="宋体"/>
          <w:snapToGrid w:val="0"/>
          <w:sz w:val="21"/>
          <w:szCs w:val="21"/>
        </w:rPr>
        <w:t>18.6.2 本合同工程专项验收类别包括：</w:t>
      </w:r>
      <w:r>
        <w:rPr>
          <w:rFonts w:hint="eastAsia" w:ascii="宋体" w:hAnsi="宋体"/>
          <w:snapToGrid w:val="0"/>
          <w:sz w:val="21"/>
          <w:szCs w:val="21"/>
          <w:u w:val="single"/>
        </w:rPr>
        <w:t xml:space="preserve">  /  </w:t>
      </w:r>
      <w:r>
        <w:rPr>
          <w:rFonts w:hint="eastAsia" w:ascii="宋体" w:hAnsi="宋体"/>
          <w:snapToGrid w:val="0"/>
          <w:sz w:val="21"/>
          <w:szCs w:val="21"/>
        </w:rPr>
        <w:t>。（如有）</w:t>
      </w:r>
    </w:p>
    <w:p>
      <w:pPr>
        <w:pStyle w:val="7"/>
        <w:snapToGrid w:val="0"/>
        <w:spacing w:line="360" w:lineRule="exact"/>
        <w:rPr>
          <w:rFonts w:ascii="宋体" w:hAnsi="宋体" w:eastAsia="宋体"/>
          <w:sz w:val="21"/>
          <w:szCs w:val="21"/>
        </w:rPr>
      </w:pPr>
      <w:r>
        <w:rPr>
          <w:rFonts w:hint="eastAsia" w:ascii="宋体" w:hAnsi="宋体" w:eastAsia="宋体"/>
          <w:sz w:val="21"/>
          <w:szCs w:val="21"/>
        </w:rPr>
        <w:t>18.7 竣工验收</w:t>
      </w:r>
    </w:p>
    <w:p>
      <w:pPr>
        <w:snapToGrid w:val="0"/>
        <w:spacing w:line="360" w:lineRule="exact"/>
        <w:ind w:firstLine="420" w:firstLineChars="200"/>
        <w:rPr>
          <w:rFonts w:ascii="宋体" w:hAnsi="宋体"/>
          <w:snapToGrid w:val="0"/>
          <w:sz w:val="21"/>
          <w:szCs w:val="21"/>
        </w:rPr>
      </w:pPr>
      <w:r>
        <w:rPr>
          <w:rFonts w:hAnsi="宋体"/>
          <w:snapToGrid w:val="0"/>
          <w:sz w:val="21"/>
          <w:szCs w:val="21"/>
        </w:rPr>
        <w:t xml:space="preserve">18.7.3  </w:t>
      </w:r>
      <w:r>
        <w:rPr>
          <w:rFonts w:hint="eastAsia" w:hAnsi="宋体"/>
          <w:snapToGrid w:val="0"/>
          <w:sz w:val="21"/>
          <w:szCs w:val="21"/>
        </w:rPr>
        <w:t>本工程是否需要竣工验收技术鉴定由工程竣工验收委员会确定</w:t>
      </w:r>
      <w:r>
        <w:rPr>
          <w:rFonts w:hint="eastAsia" w:ascii="宋体" w:hAnsi="宋体"/>
          <w:snapToGrid w:val="0"/>
          <w:sz w:val="21"/>
          <w:szCs w:val="21"/>
        </w:rPr>
        <w:t>。</w:t>
      </w:r>
    </w:p>
    <w:p>
      <w:pPr>
        <w:pStyle w:val="7"/>
        <w:snapToGrid w:val="0"/>
        <w:spacing w:line="360" w:lineRule="exact"/>
        <w:rPr>
          <w:rFonts w:ascii="宋体" w:hAnsi="宋体" w:eastAsia="宋体"/>
          <w:sz w:val="21"/>
          <w:szCs w:val="21"/>
        </w:rPr>
      </w:pPr>
      <w:r>
        <w:rPr>
          <w:rFonts w:hint="eastAsia" w:ascii="宋体" w:hAnsi="宋体" w:eastAsia="宋体"/>
          <w:sz w:val="21"/>
          <w:szCs w:val="21"/>
        </w:rPr>
        <w:t>18.8 施工期运行</w:t>
      </w:r>
    </w:p>
    <w:p>
      <w:pPr>
        <w:snapToGrid w:val="0"/>
        <w:spacing w:line="360" w:lineRule="exact"/>
        <w:ind w:firstLine="420" w:firstLineChars="200"/>
        <w:rPr>
          <w:rFonts w:ascii="宋体" w:hAnsi="宋体"/>
          <w:snapToGrid w:val="0"/>
          <w:sz w:val="21"/>
          <w:szCs w:val="21"/>
        </w:rPr>
      </w:pPr>
      <w:r>
        <w:rPr>
          <w:rFonts w:hint="eastAsia" w:ascii="宋体" w:hAnsi="宋体"/>
          <w:snapToGrid w:val="0"/>
          <w:sz w:val="21"/>
          <w:szCs w:val="21"/>
        </w:rPr>
        <w:t>18.8.1 需要在施工期运行的单位工程或工程设备为：</w:t>
      </w:r>
      <w:r>
        <w:rPr>
          <w:rFonts w:hint="eastAsia" w:ascii="宋体" w:hAnsi="宋体"/>
          <w:snapToGrid w:val="0"/>
          <w:sz w:val="21"/>
          <w:szCs w:val="21"/>
          <w:u w:val="single"/>
        </w:rPr>
        <w:t xml:space="preserve">  /  </w:t>
      </w:r>
      <w:r>
        <w:rPr>
          <w:rFonts w:hint="eastAsia" w:ascii="宋体" w:hAnsi="宋体"/>
          <w:snapToGrid w:val="0"/>
          <w:sz w:val="21"/>
          <w:szCs w:val="21"/>
        </w:rPr>
        <w:t>。</w:t>
      </w:r>
    </w:p>
    <w:p>
      <w:pPr>
        <w:pStyle w:val="7"/>
        <w:snapToGrid w:val="0"/>
        <w:spacing w:line="360" w:lineRule="exact"/>
        <w:rPr>
          <w:rFonts w:ascii="宋体" w:hAnsi="宋体" w:eastAsia="宋体"/>
          <w:sz w:val="21"/>
          <w:szCs w:val="21"/>
        </w:rPr>
      </w:pPr>
      <w:r>
        <w:rPr>
          <w:rFonts w:hint="eastAsia" w:ascii="宋体" w:hAnsi="宋体" w:eastAsia="宋体"/>
          <w:sz w:val="21"/>
          <w:szCs w:val="21"/>
        </w:rPr>
        <w:t>18.9 试运行</w:t>
      </w:r>
    </w:p>
    <w:p>
      <w:pPr>
        <w:snapToGrid w:val="0"/>
        <w:spacing w:line="360" w:lineRule="exact"/>
        <w:ind w:firstLine="420" w:firstLineChars="200"/>
        <w:rPr>
          <w:rFonts w:ascii="宋体" w:hAnsi="宋体"/>
          <w:snapToGrid w:val="0"/>
          <w:sz w:val="21"/>
          <w:szCs w:val="21"/>
        </w:rPr>
      </w:pPr>
      <w:r>
        <w:rPr>
          <w:rFonts w:hint="eastAsia" w:ascii="宋体" w:hAnsi="宋体"/>
          <w:snapToGrid w:val="0"/>
          <w:sz w:val="21"/>
          <w:szCs w:val="21"/>
        </w:rPr>
        <w:t>18.9.1 试运行的组织：</w:t>
      </w:r>
      <w:r>
        <w:rPr>
          <w:rFonts w:hint="eastAsia" w:ascii="宋体" w:hAnsi="宋体"/>
          <w:snapToGrid w:val="0"/>
          <w:sz w:val="21"/>
          <w:szCs w:val="21"/>
          <w:u w:val="single"/>
        </w:rPr>
        <w:t xml:space="preserve">  /  </w:t>
      </w:r>
      <w:r>
        <w:rPr>
          <w:rFonts w:hint="eastAsia" w:ascii="宋体" w:hAnsi="宋体"/>
          <w:snapToGrid w:val="0"/>
          <w:sz w:val="21"/>
          <w:szCs w:val="21"/>
        </w:rPr>
        <w:t>；费用承担：</w:t>
      </w:r>
      <w:r>
        <w:rPr>
          <w:rFonts w:hint="eastAsia" w:ascii="宋体" w:hAnsi="宋体"/>
          <w:snapToGrid w:val="0"/>
          <w:sz w:val="21"/>
          <w:szCs w:val="21"/>
          <w:u w:val="single"/>
        </w:rPr>
        <w:t xml:space="preserve">  /  </w:t>
      </w:r>
      <w:r>
        <w:rPr>
          <w:rFonts w:hint="eastAsia" w:ascii="宋体" w:hAnsi="宋体"/>
          <w:snapToGrid w:val="0"/>
          <w:sz w:val="21"/>
          <w:szCs w:val="21"/>
        </w:rPr>
        <w:t>。</w:t>
      </w:r>
    </w:p>
    <w:p>
      <w:pPr>
        <w:pStyle w:val="6"/>
        <w:snapToGrid w:val="0"/>
        <w:spacing w:line="360" w:lineRule="exact"/>
        <w:rPr>
          <w:rFonts w:ascii="宋体" w:hAnsi="宋体" w:eastAsia="宋体"/>
          <w:snapToGrid w:val="0"/>
          <w:sz w:val="21"/>
          <w:szCs w:val="21"/>
        </w:rPr>
      </w:pPr>
      <w:bookmarkStart w:id="336" w:name="_Toc27852"/>
      <w:bookmarkStart w:id="337" w:name="_Toc335853947"/>
      <w:bookmarkStart w:id="338" w:name="_Toc452839297"/>
      <w:bookmarkStart w:id="339" w:name="_Toc405378497"/>
      <w:bookmarkStart w:id="340" w:name="_Toc311407703"/>
      <w:bookmarkStart w:id="341" w:name="_Toc336325297"/>
      <w:r>
        <w:rPr>
          <w:rFonts w:ascii="宋体" w:hAnsi="宋体" w:eastAsia="宋体"/>
          <w:snapToGrid w:val="0"/>
          <w:sz w:val="21"/>
          <w:szCs w:val="21"/>
        </w:rPr>
        <w:t>19缺陷责任与保修责任</w:t>
      </w:r>
      <w:bookmarkEnd w:id="327"/>
      <w:bookmarkEnd w:id="328"/>
      <w:bookmarkEnd w:id="336"/>
      <w:bookmarkEnd w:id="337"/>
      <w:bookmarkEnd w:id="338"/>
      <w:bookmarkEnd w:id="339"/>
      <w:bookmarkEnd w:id="340"/>
      <w:bookmarkEnd w:id="341"/>
    </w:p>
    <w:p>
      <w:pPr>
        <w:pStyle w:val="7"/>
        <w:snapToGrid w:val="0"/>
        <w:spacing w:line="360" w:lineRule="exact"/>
        <w:rPr>
          <w:rFonts w:ascii="宋体" w:hAnsi="宋体" w:eastAsia="宋体"/>
          <w:sz w:val="21"/>
          <w:szCs w:val="21"/>
        </w:rPr>
      </w:pPr>
      <w:r>
        <w:rPr>
          <w:rFonts w:ascii="宋体" w:hAnsi="宋体" w:eastAsia="宋体"/>
          <w:sz w:val="21"/>
          <w:szCs w:val="21"/>
        </w:rPr>
        <w:t>19.</w:t>
      </w:r>
      <w:r>
        <w:rPr>
          <w:rFonts w:hint="eastAsia" w:ascii="宋体" w:hAnsi="宋体" w:eastAsia="宋体"/>
          <w:sz w:val="21"/>
          <w:szCs w:val="21"/>
        </w:rPr>
        <w:t xml:space="preserve">1 </w:t>
      </w:r>
      <w:r>
        <w:rPr>
          <w:rFonts w:ascii="宋体" w:hAnsi="宋体" w:eastAsia="宋体"/>
          <w:sz w:val="21"/>
          <w:szCs w:val="21"/>
        </w:rPr>
        <w:t>缺陷责任</w:t>
      </w:r>
      <w:r>
        <w:rPr>
          <w:rFonts w:hint="eastAsia" w:ascii="宋体" w:hAnsi="宋体" w:eastAsia="宋体"/>
          <w:sz w:val="21"/>
          <w:szCs w:val="21"/>
        </w:rPr>
        <w:t>期（工程质量保修期）的起算时间</w:t>
      </w:r>
    </w:p>
    <w:p>
      <w:pPr>
        <w:snapToGrid w:val="0"/>
        <w:spacing w:line="360" w:lineRule="exact"/>
        <w:ind w:firstLine="420" w:firstLineChars="200"/>
        <w:rPr>
          <w:rFonts w:ascii="宋体" w:hAnsi="宋体"/>
          <w:snapToGrid w:val="0"/>
          <w:sz w:val="21"/>
          <w:szCs w:val="21"/>
        </w:rPr>
      </w:pPr>
      <w:r>
        <w:rPr>
          <w:rFonts w:hint="eastAsia" w:ascii="宋体" w:hAnsi="宋体"/>
          <w:snapToGrid w:val="0"/>
          <w:sz w:val="21"/>
          <w:szCs w:val="21"/>
        </w:rPr>
        <w:t>本工程</w:t>
      </w:r>
      <w:r>
        <w:rPr>
          <w:rFonts w:ascii="宋体" w:hAnsi="宋体"/>
          <w:snapToGrid w:val="0"/>
          <w:sz w:val="21"/>
          <w:szCs w:val="21"/>
        </w:rPr>
        <w:t>缺陷责</w:t>
      </w:r>
      <w:r>
        <w:rPr>
          <w:rFonts w:hint="eastAsia" w:ascii="宋体" w:hAnsi="宋体"/>
          <w:snapToGrid w:val="0"/>
          <w:sz w:val="21"/>
          <w:szCs w:val="21"/>
        </w:rPr>
        <w:t>期（工程质量保修期）</w:t>
      </w:r>
      <w:r>
        <w:rPr>
          <w:rFonts w:ascii="宋体" w:hAnsi="宋体"/>
          <w:snapToGrid w:val="0"/>
          <w:sz w:val="21"/>
          <w:szCs w:val="21"/>
          <w:u w:val="single"/>
        </w:rPr>
        <w:t>为1年</w:t>
      </w:r>
      <w:r>
        <w:rPr>
          <w:rFonts w:ascii="宋体" w:hAnsi="宋体"/>
          <w:snapToGrid w:val="0"/>
          <w:sz w:val="21"/>
          <w:szCs w:val="21"/>
        </w:rPr>
        <w:t>。</w:t>
      </w:r>
    </w:p>
    <w:p>
      <w:pPr>
        <w:pStyle w:val="6"/>
        <w:snapToGrid w:val="0"/>
        <w:spacing w:line="360" w:lineRule="exact"/>
        <w:rPr>
          <w:rFonts w:ascii="宋体" w:hAnsi="宋体" w:eastAsia="宋体"/>
          <w:snapToGrid w:val="0"/>
          <w:sz w:val="21"/>
          <w:szCs w:val="21"/>
        </w:rPr>
      </w:pPr>
      <w:bookmarkStart w:id="342" w:name="_Toc405378498"/>
      <w:bookmarkStart w:id="343" w:name="_Toc311407704"/>
      <w:bookmarkStart w:id="344" w:name="_Toc259802241"/>
      <w:bookmarkStart w:id="345" w:name="_Toc452839298"/>
      <w:bookmarkStart w:id="346" w:name="_Toc335853948"/>
      <w:bookmarkStart w:id="347" w:name="_Toc336325298"/>
      <w:bookmarkStart w:id="348" w:name="_Toc9690"/>
      <w:bookmarkStart w:id="349" w:name="_Toc184635117"/>
      <w:r>
        <w:rPr>
          <w:rFonts w:ascii="宋体" w:hAnsi="宋体" w:eastAsia="宋体"/>
          <w:snapToGrid w:val="0"/>
          <w:sz w:val="21"/>
          <w:szCs w:val="21"/>
        </w:rPr>
        <w:t>20保险</w:t>
      </w:r>
      <w:bookmarkEnd w:id="342"/>
      <w:bookmarkEnd w:id="343"/>
      <w:bookmarkEnd w:id="344"/>
      <w:bookmarkEnd w:id="345"/>
      <w:bookmarkEnd w:id="346"/>
      <w:bookmarkEnd w:id="347"/>
      <w:bookmarkEnd w:id="348"/>
      <w:bookmarkEnd w:id="349"/>
    </w:p>
    <w:p>
      <w:pPr>
        <w:pStyle w:val="7"/>
        <w:snapToGrid w:val="0"/>
        <w:spacing w:line="360" w:lineRule="exact"/>
        <w:rPr>
          <w:rFonts w:ascii="宋体" w:hAnsi="宋体" w:eastAsia="宋体"/>
          <w:sz w:val="21"/>
          <w:szCs w:val="21"/>
        </w:rPr>
      </w:pPr>
      <w:r>
        <w:rPr>
          <w:rFonts w:ascii="宋体" w:hAnsi="宋体" w:eastAsia="宋体"/>
          <w:sz w:val="21"/>
          <w:szCs w:val="21"/>
        </w:rPr>
        <w:t>20.1 工程保险</w:t>
      </w:r>
    </w:p>
    <w:p>
      <w:pPr>
        <w:snapToGrid w:val="0"/>
        <w:spacing w:line="360" w:lineRule="exact"/>
        <w:ind w:firstLine="420" w:firstLineChars="200"/>
        <w:rPr>
          <w:rFonts w:ascii="宋体" w:hAnsi="宋体"/>
          <w:snapToGrid w:val="0"/>
          <w:sz w:val="21"/>
          <w:szCs w:val="21"/>
        </w:rPr>
      </w:pPr>
      <w:r>
        <w:rPr>
          <w:rFonts w:hint="eastAsia" w:ascii="宋体" w:hAnsi="宋体"/>
          <w:snapToGrid w:val="0"/>
          <w:sz w:val="21"/>
          <w:szCs w:val="21"/>
        </w:rPr>
        <w:t>建筑工程一切保险和（或）安装工程一切险投保人：</w:t>
      </w:r>
      <w:r>
        <w:rPr>
          <w:rFonts w:hint="eastAsia" w:ascii="宋体" w:hAnsi="宋体"/>
          <w:snapToGrid w:val="0"/>
          <w:sz w:val="21"/>
          <w:szCs w:val="21"/>
          <w:u w:val="single"/>
        </w:rPr>
        <w:t>由承包人</w:t>
      </w:r>
      <w:r>
        <w:rPr>
          <w:rFonts w:ascii="宋体" w:hAnsi="宋体"/>
          <w:snapToGrid w:val="0"/>
          <w:sz w:val="21"/>
          <w:szCs w:val="21"/>
          <w:u w:val="single"/>
        </w:rPr>
        <w:t>以发包人和承包人的名义投保</w:t>
      </w:r>
      <w:r>
        <w:rPr>
          <w:rFonts w:hint="eastAsia" w:ascii="宋体" w:hAnsi="宋体"/>
          <w:snapToGrid w:val="0"/>
          <w:sz w:val="21"/>
          <w:szCs w:val="21"/>
          <w:u w:val="single"/>
        </w:rPr>
        <w:t>，</w:t>
      </w:r>
    </w:p>
    <w:p>
      <w:pPr>
        <w:snapToGrid w:val="0"/>
        <w:spacing w:line="360" w:lineRule="exact"/>
        <w:ind w:firstLine="420" w:firstLineChars="200"/>
        <w:rPr>
          <w:rFonts w:ascii="宋体" w:hAnsi="宋体"/>
          <w:snapToGrid w:val="0"/>
          <w:sz w:val="21"/>
          <w:szCs w:val="21"/>
        </w:rPr>
      </w:pPr>
      <w:r>
        <w:rPr>
          <w:rFonts w:hint="eastAsia" w:ascii="宋体" w:hAnsi="宋体"/>
          <w:snapToGrid w:val="0"/>
          <w:sz w:val="21"/>
          <w:szCs w:val="21"/>
        </w:rPr>
        <w:t>投保内容：</w:t>
      </w:r>
      <w:r>
        <w:rPr>
          <w:rFonts w:ascii="宋体" w:hAnsi="宋体"/>
          <w:snapToGrid w:val="0"/>
          <w:sz w:val="21"/>
          <w:szCs w:val="21"/>
          <w:u w:val="single"/>
        </w:rPr>
        <w:t>为本合同工程的永久工程、临时工程和设备及已运至施工工地用于永久工程的材料和设备</w:t>
      </w:r>
      <w:r>
        <w:rPr>
          <w:rFonts w:hint="eastAsia" w:ascii="宋体" w:hAnsi="宋体"/>
          <w:snapToGrid w:val="0"/>
          <w:sz w:val="21"/>
          <w:szCs w:val="21"/>
          <w:u w:val="single"/>
        </w:rPr>
        <w:t>；</w:t>
      </w:r>
    </w:p>
    <w:p>
      <w:pPr>
        <w:snapToGrid w:val="0"/>
        <w:spacing w:line="360" w:lineRule="exact"/>
        <w:ind w:firstLine="420" w:firstLineChars="200"/>
        <w:rPr>
          <w:rFonts w:ascii="宋体" w:hAnsi="宋体"/>
          <w:snapToGrid w:val="0"/>
          <w:sz w:val="21"/>
          <w:szCs w:val="21"/>
        </w:rPr>
      </w:pPr>
      <w:r>
        <w:rPr>
          <w:rFonts w:hint="eastAsia" w:ascii="宋体" w:hAnsi="宋体"/>
          <w:snapToGrid w:val="0"/>
          <w:sz w:val="21"/>
          <w:szCs w:val="21"/>
        </w:rPr>
        <w:t>保险金额、保险费率和保险期限：</w:t>
      </w:r>
      <w:r>
        <w:rPr>
          <w:rFonts w:hint="eastAsia" w:ascii="宋体" w:hAnsi="宋体"/>
          <w:snapToGrid w:val="0"/>
          <w:sz w:val="21"/>
          <w:szCs w:val="21"/>
          <w:u w:val="single"/>
        </w:rPr>
        <w:t>保险金额按保险人规定，保险费率</w:t>
      </w:r>
      <w:r>
        <w:rPr>
          <w:rFonts w:ascii="宋体" w:hAnsi="宋体"/>
          <w:snapToGrid w:val="0"/>
          <w:sz w:val="21"/>
          <w:szCs w:val="21"/>
          <w:u w:val="single"/>
        </w:rPr>
        <w:t>由承包人与保险人协商确定</w:t>
      </w:r>
      <w:r>
        <w:rPr>
          <w:rFonts w:hint="eastAsia" w:ascii="宋体" w:hAnsi="宋体"/>
          <w:snapToGrid w:val="0"/>
          <w:sz w:val="21"/>
          <w:szCs w:val="21"/>
          <w:u w:val="single"/>
        </w:rPr>
        <w:t>，保险期限自开工即日算起至</w:t>
      </w:r>
      <w:r>
        <w:rPr>
          <w:rFonts w:ascii="宋体" w:hAnsi="宋体"/>
          <w:snapToGrid w:val="0"/>
          <w:sz w:val="21"/>
          <w:szCs w:val="21"/>
          <w:u w:val="single"/>
        </w:rPr>
        <w:t>至颁发工程移交证书</w:t>
      </w:r>
      <w:r>
        <w:rPr>
          <w:rFonts w:hint="eastAsia" w:ascii="宋体" w:hAnsi="宋体"/>
          <w:snapToGrid w:val="0"/>
          <w:sz w:val="21"/>
          <w:szCs w:val="21"/>
          <w:u w:val="single"/>
        </w:rPr>
        <w:t>。</w:t>
      </w:r>
    </w:p>
    <w:p>
      <w:pPr>
        <w:pStyle w:val="7"/>
        <w:snapToGrid w:val="0"/>
        <w:spacing w:line="360" w:lineRule="exact"/>
        <w:rPr>
          <w:rFonts w:ascii="宋体" w:hAnsi="宋体" w:eastAsia="宋体"/>
          <w:sz w:val="21"/>
          <w:szCs w:val="21"/>
        </w:rPr>
      </w:pPr>
      <w:r>
        <w:rPr>
          <w:rFonts w:ascii="宋体" w:hAnsi="宋体" w:eastAsia="宋体"/>
          <w:sz w:val="21"/>
          <w:szCs w:val="21"/>
        </w:rPr>
        <w:t>20.4 第三者责任险</w:t>
      </w:r>
    </w:p>
    <w:p>
      <w:pPr>
        <w:pStyle w:val="14"/>
        <w:snapToGrid w:val="0"/>
        <w:spacing w:line="360" w:lineRule="exact"/>
        <w:ind w:firstLine="420" w:firstLineChars="200"/>
        <w:rPr>
          <w:rFonts w:hAnsi="宋体"/>
          <w:snapToGrid w:val="0"/>
          <w:kern w:val="0"/>
          <w:szCs w:val="21"/>
        </w:rPr>
      </w:pPr>
      <w:r>
        <w:rPr>
          <w:rFonts w:hAnsi="宋体"/>
          <w:snapToGrid w:val="0"/>
          <w:kern w:val="0"/>
          <w:szCs w:val="21"/>
        </w:rPr>
        <w:t>20.4.2 第三者责任险保险费率：</w:t>
      </w:r>
      <w:r>
        <w:rPr>
          <w:rFonts w:hAnsi="宋体"/>
          <w:snapToGrid w:val="0"/>
          <w:kern w:val="0"/>
          <w:szCs w:val="21"/>
          <w:u w:val="single"/>
        </w:rPr>
        <w:t>由承包人与保险人协商确定</w:t>
      </w:r>
      <w:r>
        <w:rPr>
          <w:rFonts w:hAnsi="宋体"/>
          <w:snapToGrid w:val="0"/>
          <w:kern w:val="0"/>
          <w:szCs w:val="21"/>
        </w:rPr>
        <w:t>；第三者责任险保险金额：</w:t>
      </w:r>
      <w:r>
        <w:rPr>
          <w:rFonts w:hint="eastAsia" w:hAnsi="宋体"/>
          <w:snapToGrid w:val="0"/>
          <w:kern w:val="0"/>
          <w:szCs w:val="21"/>
          <w:u w:val="single"/>
        </w:rPr>
        <w:t>5</w:t>
      </w:r>
      <w:r>
        <w:rPr>
          <w:rFonts w:hAnsi="宋体"/>
          <w:snapToGrid w:val="0"/>
          <w:kern w:val="0"/>
          <w:szCs w:val="21"/>
          <w:u w:val="single"/>
        </w:rPr>
        <w:t>0万元/年</w:t>
      </w:r>
      <w:r>
        <w:rPr>
          <w:rFonts w:hint="eastAsia" w:hAnsi="宋体"/>
          <w:snapToGrid w:val="0"/>
          <w:kern w:val="0"/>
          <w:szCs w:val="21"/>
          <w:u w:val="single"/>
        </w:rPr>
        <w:t>，事故次数不限（不计免赔额）。</w:t>
      </w:r>
    </w:p>
    <w:p>
      <w:pPr>
        <w:pStyle w:val="7"/>
        <w:snapToGrid w:val="0"/>
        <w:spacing w:line="360" w:lineRule="exact"/>
        <w:rPr>
          <w:rFonts w:ascii="宋体" w:hAnsi="宋体" w:eastAsia="宋体"/>
          <w:sz w:val="21"/>
          <w:szCs w:val="21"/>
        </w:rPr>
      </w:pPr>
      <w:r>
        <w:rPr>
          <w:rFonts w:hint="eastAsia" w:ascii="宋体" w:hAnsi="宋体" w:eastAsia="宋体"/>
          <w:sz w:val="21"/>
          <w:szCs w:val="21"/>
        </w:rPr>
        <w:t>20.5 其它保险</w:t>
      </w:r>
    </w:p>
    <w:p>
      <w:pPr>
        <w:pStyle w:val="14"/>
        <w:snapToGrid w:val="0"/>
        <w:spacing w:line="360" w:lineRule="exact"/>
        <w:ind w:firstLine="420" w:firstLineChars="200"/>
        <w:rPr>
          <w:rFonts w:hAnsi="宋体"/>
          <w:snapToGrid w:val="0"/>
          <w:kern w:val="0"/>
          <w:szCs w:val="21"/>
        </w:rPr>
      </w:pPr>
      <w:r>
        <w:rPr>
          <w:rFonts w:hint="eastAsia" w:hAnsi="宋体"/>
          <w:snapToGrid w:val="0"/>
          <w:kern w:val="0"/>
          <w:szCs w:val="21"/>
        </w:rPr>
        <w:t>需要投保的其它内容：</w:t>
      </w:r>
      <w:r>
        <w:rPr>
          <w:rFonts w:hint="eastAsia" w:hAnsi="宋体"/>
          <w:snapToGrid w:val="0"/>
          <w:kern w:val="0"/>
          <w:szCs w:val="21"/>
          <w:u w:val="single"/>
        </w:rPr>
        <w:t xml:space="preserve"> 由承包人自行决定  </w:t>
      </w:r>
      <w:r>
        <w:rPr>
          <w:rFonts w:hint="eastAsia" w:hAnsi="宋体"/>
          <w:snapToGrid w:val="0"/>
          <w:kern w:val="0"/>
          <w:szCs w:val="21"/>
        </w:rPr>
        <w:t>；</w:t>
      </w:r>
    </w:p>
    <w:p>
      <w:pPr>
        <w:pStyle w:val="14"/>
        <w:snapToGrid w:val="0"/>
        <w:spacing w:line="360" w:lineRule="exact"/>
        <w:ind w:firstLine="420" w:firstLineChars="200"/>
        <w:rPr>
          <w:rFonts w:hAnsi="宋体"/>
          <w:snapToGrid w:val="0"/>
          <w:kern w:val="0"/>
          <w:szCs w:val="21"/>
        </w:rPr>
      </w:pPr>
      <w:r>
        <w:rPr>
          <w:rFonts w:hint="eastAsia" w:hAnsi="宋体"/>
          <w:snapToGrid w:val="0"/>
          <w:kern w:val="0"/>
          <w:szCs w:val="21"/>
        </w:rPr>
        <w:t>保险金额、保险费率和保险期限：</w:t>
      </w:r>
      <w:r>
        <w:rPr>
          <w:rFonts w:hint="eastAsia" w:hAnsi="宋体"/>
          <w:snapToGrid w:val="0"/>
          <w:kern w:val="0"/>
          <w:szCs w:val="21"/>
          <w:u w:val="single"/>
        </w:rPr>
        <w:t xml:space="preserve">  /  </w:t>
      </w:r>
      <w:r>
        <w:rPr>
          <w:rFonts w:hint="eastAsia" w:hAnsi="宋体"/>
          <w:snapToGrid w:val="0"/>
          <w:kern w:val="0"/>
          <w:szCs w:val="21"/>
        </w:rPr>
        <w:t>。</w:t>
      </w:r>
    </w:p>
    <w:p>
      <w:pPr>
        <w:pStyle w:val="7"/>
        <w:snapToGrid w:val="0"/>
        <w:spacing w:line="360" w:lineRule="exact"/>
        <w:rPr>
          <w:rFonts w:ascii="宋体" w:hAnsi="宋体" w:eastAsia="宋体"/>
          <w:sz w:val="21"/>
          <w:szCs w:val="21"/>
        </w:rPr>
      </w:pPr>
      <w:r>
        <w:rPr>
          <w:rFonts w:hint="eastAsia" w:ascii="宋体" w:hAnsi="宋体" w:eastAsia="宋体"/>
          <w:sz w:val="21"/>
          <w:szCs w:val="21"/>
        </w:rPr>
        <w:t>20.6 对各项保险的一般要求</w:t>
      </w:r>
    </w:p>
    <w:p>
      <w:pPr>
        <w:pStyle w:val="14"/>
        <w:snapToGrid w:val="0"/>
        <w:spacing w:line="360" w:lineRule="exact"/>
        <w:ind w:firstLine="420" w:firstLineChars="200"/>
        <w:rPr>
          <w:rFonts w:hAnsi="宋体"/>
          <w:snapToGrid w:val="0"/>
          <w:kern w:val="0"/>
          <w:szCs w:val="21"/>
        </w:rPr>
      </w:pPr>
      <w:r>
        <w:rPr>
          <w:rFonts w:hint="eastAsia" w:hAnsi="宋体"/>
          <w:snapToGrid w:val="0"/>
          <w:kern w:val="0"/>
          <w:szCs w:val="21"/>
        </w:rPr>
        <w:t>20. 6.1 保险凭证</w:t>
      </w:r>
    </w:p>
    <w:p>
      <w:pPr>
        <w:pStyle w:val="14"/>
        <w:snapToGrid w:val="0"/>
        <w:spacing w:line="360" w:lineRule="exact"/>
        <w:ind w:firstLine="420" w:firstLineChars="200"/>
        <w:rPr>
          <w:rFonts w:hAnsi="宋体"/>
          <w:snapToGrid w:val="0"/>
          <w:kern w:val="0"/>
          <w:szCs w:val="21"/>
        </w:rPr>
      </w:pPr>
      <w:r>
        <w:rPr>
          <w:rFonts w:hint="eastAsia" w:hAnsi="宋体"/>
          <w:snapToGrid w:val="0"/>
          <w:kern w:val="0"/>
          <w:szCs w:val="21"/>
        </w:rPr>
        <w:t>承包人提交保险凭证的期限：</w:t>
      </w:r>
      <w:r>
        <w:rPr>
          <w:rFonts w:hint="eastAsia" w:hAnsi="宋体"/>
          <w:snapToGrid w:val="0"/>
          <w:kern w:val="0"/>
          <w:szCs w:val="21"/>
          <w:u w:val="single"/>
        </w:rPr>
        <w:t>保险手续办理完毕后7 天内提交</w:t>
      </w:r>
      <w:r>
        <w:rPr>
          <w:rFonts w:hint="eastAsia" w:hAnsi="宋体"/>
          <w:snapToGrid w:val="0"/>
          <w:kern w:val="0"/>
          <w:szCs w:val="21"/>
        </w:rPr>
        <w:t>。</w:t>
      </w:r>
    </w:p>
    <w:p>
      <w:pPr>
        <w:pStyle w:val="14"/>
        <w:snapToGrid w:val="0"/>
        <w:spacing w:line="360" w:lineRule="exact"/>
        <w:ind w:firstLine="420" w:firstLineChars="200"/>
        <w:rPr>
          <w:rFonts w:hAnsi="宋体"/>
          <w:snapToGrid w:val="0"/>
          <w:kern w:val="0"/>
          <w:szCs w:val="21"/>
        </w:rPr>
      </w:pPr>
      <w:r>
        <w:rPr>
          <w:rFonts w:hint="eastAsia" w:cs="宋体"/>
          <w:szCs w:val="21"/>
        </w:rPr>
        <w:t>保险条件：</w:t>
      </w:r>
      <w:r>
        <w:rPr>
          <w:rFonts w:hint="eastAsia" w:cs="宋体"/>
          <w:szCs w:val="21"/>
          <w:u w:val="single"/>
        </w:rPr>
        <w:t>满足合同条款的规定。</w:t>
      </w:r>
    </w:p>
    <w:p>
      <w:pPr>
        <w:pStyle w:val="14"/>
        <w:snapToGrid w:val="0"/>
        <w:spacing w:line="360" w:lineRule="exact"/>
        <w:ind w:firstLine="420" w:firstLineChars="200"/>
        <w:rPr>
          <w:rFonts w:hAnsi="宋体"/>
          <w:snapToGrid w:val="0"/>
          <w:kern w:val="0"/>
          <w:szCs w:val="21"/>
        </w:rPr>
      </w:pPr>
      <w:r>
        <w:rPr>
          <w:rFonts w:hint="eastAsia" w:hAnsi="宋体"/>
          <w:snapToGrid w:val="0"/>
          <w:kern w:val="0"/>
          <w:szCs w:val="21"/>
        </w:rPr>
        <w:t>20.6.4 保险金不足的补偿</w:t>
      </w:r>
    </w:p>
    <w:p>
      <w:pPr>
        <w:pStyle w:val="14"/>
        <w:snapToGrid w:val="0"/>
        <w:spacing w:line="360" w:lineRule="exact"/>
        <w:ind w:firstLine="420" w:firstLineChars="200"/>
        <w:rPr>
          <w:rFonts w:hAnsi="宋体"/>
          <w:snapToGrid w:val="0"/>
          <w:kern w:val="0"/>
          <w:szCs w:val="21"/>
        </w:rPr>
      </w:pPr>
      <w:r>
        <w:rPr>
          <w:rFonts w:hint="eastAsia" w:hAnsi="宋体"/>
          <w:snapToGrid w:val="0"/>
          <w:kern w:val="0"/>
          <w:szCs w:val="21"/>
        </w:rPr>
        <w:t>承包人负责补偿的范围与金额：</w:t>
      </w:r>
      <w:r>
        <w:rPr>
          <w:rFonts w:hint="eastAsia" w:hAnsi="宋体"/>
          <w:snapToGrid w:val="0"/>
          <w:kern w:val="0"/>
          <w:szCs w:val="21"/>
          <w:u w:val="single"/>
        </w:rPr>
        <w:t>保险金不足的补偿均由承包人负责</w:t>
      </w:r>
      <w:r>
        <w:rPr>
          <w:rFonts w:hint="eastAsia" w:hAnsi="宋体"/>
          <w:snapToGrid w:val="0"/>
          <w:kern w:val="0"/>
          <w:szCs w:val="21"/>
        </w:rPr>
        <w:t>。</w:t>
      </w:r>
    </w:p>
    <w:p>
      <w:pPr>
        <w:pStyle w:val="14"/>
        <w:snapToGrid w:val="0"/>
        <w:spacing w:line="360" w:lineRule="exact"/>
        <w:ind w:firstLine="420" w:firstLineChars="200"/>
        <w:rPr>
          <w:rFonts w:hAnsi="宋体"/>
          <w:snapToGrid w:val="0"/>
          <w:kern w:val="0"/>
          <w:szCs w:val="21"/>
        </w:rPr>
      </w:pPr>
      <w:r>
        <w:rPr>
          <w:rFonts w:hint="eastAsia" w:hAnsi="宋体"/>
          <w:snapToGrid w:val="0"/>
          <w:kern w:val="0"/>
          <w:szCs w:val="21"/>
        </w:rPr>
        <w:t>发包人负责补偿的范围与金额：</w:t>
      </w:r>
      <w:r>
        <w:rPr>
          <w:rFonts w:hint="eastAsia" w:hAnsi="宋体"/>
          <w:snapToGrid w:val="0"/>
          <w:kern w:val="0"/>
          <w:szCs w:val="21"/>
          <w:u w:val="single"/>
        </w:rPr>
        <w:t>由于本工程一切保险均由承包人负责投保，其费用均列入报价，故发包人不承担保险金不足的补偿。</w:t>
      </w:r>
    </w:p>
    <w:p>
      <w:pPr>
        <w:pStyle w:val="7"/>
        <w:snapToGrid w:val="0"/>
        <w:spacing w:line="360" w:lineRule="exact"/>
        <w:rPr>
          <w:rFonts w:ascii="宋体" w:hAnsi="宋体" w:eastAsia="宋体"/>
          <w:sz w:val="21"/>
          <w:szCs w:val="21"/>
        </w:rPr>
      </w:pPr>
      <w:r>
        <w:rPr>
          <w:rFonts w:hint="eastAsia" w:ascii="宋体" w:hAnsi="宋体" w:eastAsia="宋体"/>
          <w:sz w:val="21"/>
          <w:szCs w:val="21"/>
        </w:rPr>
        <w:t>24 争议的解决</w:t>
      </w:r>
    </w:p>
    <w:p>
      <w:pPr>
        <w:pStyle w:val="7"/>
        <w:snapToGrid w:val="0"/>
        <w:spacing w:line="360" w:lineRule="exact"/>
        <w:rPr>
          <w:rFonts w:ascii="宋体" w:hAnsi="宋体" w:eastAsia="宋体"/>
          <w:sz w:val="21"/>
          <w:szCs w:val="21"/>
        </w:rPr>
      </w:pPr>
      <w:r>
        <w:rPr>
          <w:rFonts w:hint="eastAsia" w:ascii="宋体" w:hAnsi="宋体" w:eastAsia="宋体"/>
          <w:sz w:val="21"/>
          <w:szCs w:val="21"/>
        </w:rPr>
        <w:t>24.1 争议的解决方式</w:t>
      </w:r>
    </w:p>
    <w:p>
      <w:pPr>
        <w:pStyle w:val="14"/>
        <w:snapToGrid w:val="0"/>
        <w:spacing w:line="360" w:lineRule="exact"/>
        <w:ind w:firstLine="420" w:firstLineChars="200"/>
        <w:rPr>
          <w:rFonts w:hAnsi="宋体"/>
          <w:snapToGrid w:val="0"/>
          <w:kern w:val="0"/>
          <w:szCs w:val="21"/>
        </w:rPr>
      </w:pPr>
      <w:r>
        <w:rPr>
          <w:rFonts w:hint="eastAsia" w:hAnsi="宋体"/>
          <w:snapToGrid w:val="0"/>
          <w:kern w:val="0"/>
          <w:szCs w:val="21"/>
        </w:rPr>
        <w:t>合同当事人友好协商解决不成、不愿提请争议评审或不接受争议评审组意见的，约定的合同争议解决方式：</w:t>
      </w:r>
      <w:r>
        <w:rPr>
          <w:rFonts w:hint="eastAsia" w:hAnsi="宋体"/>
          <w:snapToGrid w:val="0"/>
          <w:kern w:val="0"/>
          <w:szCs w:val="21"/>
          <w:u w:val="single"/>
        </w:rPr>
        <w:t>向本工程所在地人民法院提起诉讼</w:t>
      </w:r>
      <w:r>
        <w:rPr>
          <w:rFonts w:hint="eastAsia" w:hAnsi="宋体"/>
          <w:snapToGrid w:val="0"/>
          <w:kern w:val="0"/>
          <w:szCs w:val="21"/>
        </w:rPr>
        <w:t xml:space="preserve">。 </w:t>
      </w:r>
    </w:p>
    <w:p>
      <w:pPr>
        <w:jc w:val="left"/>
        <w:textAlignment w:val="auto"/>
        <w:rPr>
          <w:rFonts w:ascii="宋体" w:cs="宋体"/>
          <w:b/>
          <w:sz w:val="21"/>
          <w:szCs w:val="21"/>
        </w:rPr>
      </w:pPr>
      <w:bookmarkStart w:id="350" w:name="_Toc178843982"/>
      <w:bookmarkStart w:id="351" w:name="_Toc335853949"/>
      <w:bookmarkStart w:id="352" w:name="_Toc336325299"/>
      <w:bookmarkStart w:id="353" w:name="_Toc311407705"/>
      <w:bookmarkStart w:id="354" w:name="_Toc405378499"/>
      <w:bookmarkStart w:id="355" w:name="_Toc241374762"/>
      <w:r>
        <w:rPr>
          <w:rFonts w:ascii="宋体" w:cs="宋体"/>
          <w:b/>
          <w:sz w:val="21"/>
          <w:szCs w:val="21"/>
        </w:rPr>
        <w:t xml:space="preserve">24.2 </w:t>
      </w:r>
      <w:r>
        <w:rPr>
          <w:rFonts w:hint="eastAsia" w:ascii="宋体" w:cs="宋体"/>
          <w:b/>
          <w:sz w:val="21"/>
          <w:szCs w:val="21"/>
        </w:rPr>
        <w:t>友好解决</w:t>
      </w:r>
    </w:p>
    <w:p>
      <w:pPr>
        <w:spacing w:line="360" w:lineRule="exact"/>
        <w:ind w:firstLine="420"/>
        <w:jc w:val="left"/>
        <w:textAlignment w:val="auto"/>
        <w:rPr>
          <w:rFonts w:ascii="宋体" w:cs="宋体"/>
          <w:sz w:val="21"/>
          <w:szCs w:val="21"/>
        </w:rPr>
      </w:pPr>
      <w:r>
        <w:rPr>
          <w:rFonts w:hint="eastAsia" w:ascii="宋体" w:cs="宋体"/>
          <w:sz w:val="21"/>
          <w:szCs w:val="21"/>
        </w:rPr>
        <w:t>补充：合同当事人可以就争议请第三方或少水利行政主管部门进行调解，调解达成协议的，</w:t>
      </w:r>
    </w:p>
    <w:p>
      <w:pPr>
        <w:spacing w:line="360" w:lineRule="exact"/>
        <w:jc w:val="left"/>
        <w:textAlignment w:val="auto"/>
        <w:rPr>
          <w:rFonts w:ascii="宋体" w:cs="宋体"/>
          <w:sz w:val="21"/>
          <w:szCs w:val="21"/>
        </w:rPr>
      </w:pPr>
      <w:r>
        <w:rPr>
          <w:rFonts w:hint="eastAsia" w:ascii="宋体" w:cs="宋体"/>
          <w:sz w:val="21"/>
          <w:szCs w:val="21"/>
        </w:rPr>
        <w:t>经双方签字并盖章后作为合同补充文件，双方均应遵照执行。</w:t>
      </w:r>
    </w:p>
    <w:p>
      <w:pPr>
        <w:spacing w:line="360" w:lineRule="exact"/>
        <w:jc w:val="left"/>
        <w:textAlignment w:val="auto"/>
        <w:rPr>
          <w:rFonts w:ascii="宋体" w:cs="宋体"/>
          <w:b/>
          <w:sz w:val="21"/>
          <w:szCs w:val="21"/>
        </w:rPr>
      </w:pPr>
      <w:r>
        <w:rPr>
          <w:rFonts w:ascii="宋体" w:cs="宋体"/>
          <w:b/>
          <w:sz w:val="21"/>
          <w:szCs w:val="21"/>
        </w:rPr>
        <w:t xml:space="preserve">24.3 </w:t>
      </w:r>
      <w:r>
        <w:rPr>
          <w:rFonts w:hint="eastAsia" w:ascii="宋体" w:cs="宋体"/>
          <w:b/>
          <w:sz w:val="21"/>
          <w:szCs w:val="21"/>
        </w:rPr>
        <w:t>争议评审</w:t>
      </w:r>
    </w:p>
    <w:p>
      <w:pPr>
        <w:spacing w:line="360" w:lineRule="exact"/>
        <w:ind w:firstLine="420"/>
        <w:jc w:val="left"/>
        <w:textAlignment w:val="auto"/>
        <w:rPr>
          <w:rFonts w:ascii="宋体" w:cs="宋体"/>
          <w:sz w:val="21"/>
          <w:szCs w:val="21"/>
        </w:rPr>
      </w:pPr>
      <w:r>
        <w:rPr>
          <w:rFonts w:ascii="宋体" w:cs="宋体"/>
          <w:sz w:val="21"/>
          <w:szCs w:val="21"/>
        </w:rPr>
        <w:t xml:space="preserve">24.3.7 </w:t>
      </w:r>
      <w:r>
        <w:rPr>
          <w:rFonts w:hint="eastAsia" w:ascii="宋体" w:cs="宋体"/>
          <w:sz w:val="21"/>
          <w:szCs w:val="21"/>
        </w:rPr>
        <w:t>补充：发包人或承包人不接受评审意见，可请省水利行政主管部门进行调解。</w:t>
      </w:r>
    </w:p>
    <w:bookmarkEnd w:id="350"/>
    <w:bookmarkEnd w:id="351"/>
    <w:bookmarkEnd w:id="352"/>
    <w:bookmarkEnd w:id="353"/>
    <w:bookmarkEnd w:id="354"/>
    <w:bookmarkEnd w:id="355"/>
    <w:p>
      <w:pPr>
        <w:spacing w:line="360" w:lineRule="exact"/>
        <w:jc w:val="left"/>
        <w:textAlignment w:val="auto"/>
        <w:rPr>
          <w:rFonts w:ascii="宋体" w:cs="宋体"/>
          <w:b/>
          <w:sz w:val="21"/>
          <w:szCs w:val="21"/>
        </w:rPr>
      </w:pPr>
      <w:bookmarkStart w:id="356" w:name="_Toc452839299"/>
      <w:bookmarkStart w:id="357" w:name="_Toc336325300"/>
      <w:bookmarkStart w:id="358" w:name="_Toc405378500"/>
      <w:r>
        <w:rPr>
          <w:rFonts w:hint="eastAsia" w:ascii="宋体" w:cs="宋体"/>
          <w:b/>
          <w:sz w:val="21"/>
          <w:szCs w:val="21"/>
        </w:rPr>
        <w:t>通用合同条款补充：</w:t>
      </w:r>
      <w:bookmarkEnd w:id="356"/>
      <w:bookmarkStart w:id="359" w:name="_Toc452839300"/>
    </w:p>
    <w:p>
      <w:pPr>
        <w:spacing w:line="360" w:lineRule="exact"/>
        <w:jc w:val="left"/>
        <w:textAlignment w:val="auto"/>
        <w:rPr>
          <w:rFonts w:ascii="宋体" w:cs="宋体"/>
          <w:b/>
          <w:sz w:val="21"/>
          <w:szCs w:val="21"/>
        </w:rPr>
      </w:pPr>
      <w:r>
        <w:rPr>
          <w:rFonts w:hint="eastAsia" w:ascii="宋体" w:cs="宋体"/>
          <w:b/>
          <w:sz w:val="21"/>
          <w:szCs w:val="21"/>
        </w:rPr>
        <w:t>25 合同类型</w:t>
      </w:r>
      <w:bookmarkEnd w:id="359"/>
    </w:p>
    <w:p>
      <w:pPr>
        <w:snapToGrid w:val="0"/>
        <w:spacing w:line="360" w:lineRule="exact"/>
        <w:ind w:firstLine="420"/>
        <w:rPr>
          <w:rFonts w:ascii="宋体" w:hAnsi="宋体"/>
          <w:b/>
          <w:snapToGrid w:val="0"/>
          <w:sz w:val="21"/>
          <w:szCs w:val="21"/>
        </w:rPr>
      </w:pPr>
      <w:r>
        <w:rPr>
          <w:rFonts w:ascii="宋体" w:hAnsi="宋体"/>
          <w:b/>
          <w:snapToGrid w:val="0"/>
          <w:sz w:val="21"/>
          <w:szCs w:val="21"/>
        </w:rPr>
        <w:t>本合同的永久工程采用单价承包，在合同执行期内，单价不变，工程量按实调整。施工临时工程和其他费用均采用分项总价承包，在合同执行期内不作调整。</w:t>
      </w:r>
    </w:p>
    <w:p>
      <w:pPr>
        <w:snapToGrid w:val="0"/>
        <w:spacing w:line="360" w:lineRule="exact"/>
        <w:rPr>
          <w:rFonts w:ascii="宋体" w:hAnsi="宋体"/>
          <w:b/>
          <w:snapToGrid w:val="0"/>
          <w:sz w:val="21"/>
          <w:szCs w:val="21"/>
        </w:rPr>
      </w:pPr>
      <w:r>
        <w:rPr>
          <w:rFonts w:hint="eastAsia" w:ascii="宋体" w:hAnsi="宋体"/>
          <w:b/>
          <w:snapToGrid w:val="0"/>
          <w:sz w:val="21"/>
          <w:szCs w:val="21"/>
        </w:rPr>
        <w:t>通用合同条款补充：</w:t>
      </w:r>
    </w:p>
    <w:p>
      <w:pPr>
        <w:numPr>
          <w:ilvl w:val="0"/>
          <w:numId w:val="8"/>
        </w:numPr>
        <w:spacing w:line="360" w:lineRule="exact"/>
        <w:jc w:val="left"/>
        <w:textAlignment w:val="auto"/>
        <w:rPr>
          <w:rFonts w:ascii="宋体" w:cs="宋体"/>
          <w:sz w:val="21"/>
          <w:szCs w:val="21"/>
        </w:rPr>
      </w:pPr>
      <w:r>
        <w:rPr>
          <w:rFonts w:ascii="宋体" w:cs="宋体"/>
          <w:sz w:val="21"/>
          <w:szCs w:val="21"/>
        </w:rPr>
        <w:t>根据湖政办发〔2017〕98号规定，市外建筑业企业在我市中标建设工程签订合同时应当设立分公司，就地开票，就地缴税。</w:t>
      </w:r>
      <w:r>
        <w:rPr>
          <w:rFonts w:ascii="宋体" w:cs="宋体"/>
          <w:sz w:val="21"/>
          <w:szCs w:val="21"/>
        </w:rPr>
        <w:br w:type="textWrapping"/>
      </w:r>
      <w:r>
        <w:rPr>
          <w:rFonts w:hint="eastAsia" w:ascii="宋体" w:cs="宋体"/>
          <w:sz w:val="21"/>
          <w:szCs w:val="21"/>
        </w:rPr>
        <w:t>2、</w:t>
      </w:r>
      <w:r>
        <w:rPr>
          <w:rFonts w:ascii="宋体" w:cs="宋体"/>
          <w:sz w:val="21"/>
          <w:szCs w:val="21"/>
        </w:rPr>
        <w:t>按照《吴兴区建设领域农民工工资支付监督管理暂行办法实施细则》（吴人社发【2017】25号）要求开设农民工工资支付专用账户，并按《吴兴区建设领域农民工工资支付监督管理暂行办法实施细则》（吴人社发【2017】25号）严格执行农民工资支付相关要求。</w:t>
      </w:r>
    </w:p>
    <w:p>
      <w:pPr>
        <w:numPr>
          <w:ilvl w:val="0"/>
          <w:numId w:val="0"/>
        </w:numPr>
        <w:spacing w:line="360" w:lineRule="exact"/>
        <w:jc w:val="left"/>
        <w:textAlignment w:val="auto"/>
        <w:rPr>
          <w:rFonts w:hint="eastAsia" w:ascii="宋体" w:cs="宋体" w:eastAsiaTheme="minorEastAsia"/>
          <w:sz w:val="21"/>
          <w:szCs w:val="21"/>
          <w:lang w:val="en-US" w:eastAsia="zh-CN"/>
        </w:rPr>
      </w:pPr>
      <w:r>
        <w:rPr>
          <w:rFonts w:hint="eastAsia" w:ascii="宋体" w:cs="宋体"/>
          <w:sz w:val="21"/>
          <w:szCs w:val="21"/>
          <w:lang w:val="en-US" w:eastAsia="zh-CN"/>
        </w:rPr>
        <w:t>3、</w:t>
      </w:r>
      <w:r>
        <w:rPr>
          <w:rFonts w:hint="eastAsia" w:ascii="宋体" w:cs="宋体"/>
          <w:sz w:val="21"/>
          <w:szCs w:val="21"/>
        </w:rPr>
        <w:t>如履约担保递交形式为银行保函或建设工程完工履约保证保险保单保函【提供履约保函的机构需在湖州市区开设营业场所（必须是不可撤销保函，且无条件支付或见索支付）】。至竣工验收合格前如保函已失效，中标单位应对保函进行延期，如未延期，招标人有权解除合同并要求中标单位承担由此造成的一切损失</w:t>
      </w:r>
      <w:r>
        <w:rPr>
          <w:rFonts w:hint="eastAsia" w:ascii="宋体" w:cs="宋体"/>
          <w:sz w:val="21"/>
          <w:szCs w:val="21"/>
          <w:lang w:eastAsia="zh-CN"/>
        </w:rPr>
        <w:t>。</w:t>
      </w:r>
    </w:p>
    <w:bookmarkEnd w:id="357"/>
    <w:bookmarkEnd w:id="358"/>
    <w:p>
      <w:pPr>
        <w:pStyle w:val="5"/>
        <w:jc w:val="center"/>
        <w:rPr>
          <w:bCs/>
          <w:sz w:val="32"/>
          <w:szCs w:val="32"/>
        </w:rPr>
      </w:pPr>
      <w:bookmarkStart w:id="360" w:name="_Toc217819060"/>
      <w:bookmarkStart w:id="361" w:name="_Toc336325301"/>
      <w:r>
        <w:br w:type="page"/>
      </w:r>
      <w:bookmarkStart w:id="362" w:name="_Toc5279"/>
      <w:r>
        <w:rPr>
          <w:rFonts w:hint="eastAsia"/>
        </w:rPr>
        <w:t>第三节</w:t>
      </w:r>
      <w:r>
        <w:t>合同附件格式</w:t>
      </w:r>
      <w:bookmarkEnd w:id="360"/>
      <w:bookmarkEnd w:id="361"/>
      <w:bookmarkEnd w:id="362"/>
    </w:p>
    <w:p>
      <w:pPr>
        <w:pStyle w:val="6"/>
        <w:rPr>
          <w:snapToGrid w:val="0"/>
        </w:rPr>
      </w:pPr>
      <w:bookmarkStart w:id="363" w:name="_Toc217819061"/>
      <w:bookmarkStart w:id="364" w:name="_Toc235848384"/>
      <w:bookmarkStart w:id="365" w:name="_Toc13619"/>
      <w:bookmarkStart w:id="366" w:name="_Toc405378502"/>
      <w:bookmarkStart w:id="367" w:name="_Toc452839302"/>
      <w:bookmarkStart w:id="368" w:name="_Toc336325302"/>
      <w:r>
        <w:rPr>
          <w:snapToGrid w:val="0"/>
        </w:rPr>
        <w:t>附件一</w:t>
      </w:r>
      <w:bookmarkEnd w:id="363"/>
      <w:bookmarkEnd w:id="364"/>
      <w:r>
        <w:rPr>
          <w:rFonts w:hint="eastAsia"/>
          <w:snapToGrid w:val="0"/>
        </w:rPr>
        <w:t>：合同协议书</w:t>
      </w:r>
      <w:bookmarkEnd w:id="365"/>
      <w:bookmarkEnd w:id="366"/>
      <w:bookmarkEnd w:id="367"/>
      <w:bookmarkEnd w:id="368"/>
    </w:p>
    <w:p>
      <w:pPr>
        <w:pStyle w:val="14"/>
        <w:adjustRightInd w:val="0"/>
        <w:spacing w:line="360" w:lineRule="auto"/>
        <w:jc w:val="center"/>
        <w:rPr>
          <w:rFonts w:ascii="Times New Roman" w:hAnsi="Times New Roman"/>
          <w:snapToGrid w:val="0"/>
          <w:kern w:val="0"/>
          <w:sz w:val="24"/>
        </w:rPr>
      </w:pPr>
      <w:r>
        <w:rPr>
          <w:rFonts w:ascii="Times New Roman" w:hAnsi="Times New Roman"/>
          <w:b/>
          <w:snapToGrid w:val="0"/>
          <w:kern w:val="0"/>
          <w:sz w:val="30"/>
          <w:szCs w:val="30"/>
        </w:rPr>
        <w:t>合同协议书</w:t>
      </w:r>
    </w:p>
    <w:p>
      <w:pPr>
        <w:pStyle w:val="14"/>
        <w:adjustRightInd w:val="0"/>
        <w:ind w:left="105" w:leftChars="44" w:firstLine="512" w:firstLineChars="244"/>
        <w:rPr>
          <w:rFonts w:hAnsi="宋体"/>
          <w:snapToGrid w:val="0"/>
          <w:kern w:val="0"/>
          <w:szCs w:val="21"/>
          <w:u w:val="single"/>
        </w:rPr>
      </w:pPr>
      <w:r>
        <w:rPr>
          <w:rFonts w:hint="eastAsia" w:hAnsi="宋体"/>
          <w:snapToGrid w:val="0"/>
          <w:kern w:val="0"/>
          <w:szCs w:val="21"/>
        </w:rPr>
        <w:t>_____________</w:t>
      </w:r>
      <w:r>
        <w:rPr>
          <w:rFonts w:hAnsi="宋体"/>
          <w:snapToGrid w:val="0"/>
          <w:kern w:val="0"/>
          <w:szCs w:val="21"/>
        </w:rPr>
        <w:t>（发包人名称，以下简称“发包人”）为实施</w:t>
      </w:r>
      <w:r>
        <w:rPr>
          <w:rFonts w:hint="eastAsia" w:hAnsi="宋体"/>
          <w:szCs w:val="21"/>
          <w:u w:val="single"/>
        </w:rPr>
        <w:t xml:space="preserve">   </w:t>
      </w:r>
      <w:r>
        <w:rPr>
          <w:rFonts w:hint="eastAsia" w:hAnsi="宋体"/>
          <w:szCs w:val="21"/>
          <w:u w:val="single"/>
          <w:lang w:val="en-US" w:eastAsia="zh-CN"/>
        </w:rPr>
        <w:t xml:space="preserve">       </w:t>
      </w:r>
      <w:r>
        <w:rPr>
          <w:rFonts w:hAnsi="宋体"/>
          <w:snapToGrid w:val="0"/>
          <w:kern w:val="0"/>
          <w:szCs w:val="21"/>
        </w:rPr>
        <w:t>(项目名称)，已接受</w:t>
      </w:r>
      <w:r>
        <w:rPr>
          <w:rFonts w:hint="eastAsia" w:hAnsi="宋体"/>
          <w:snapToGrid w:val="0"/>
          <w:kern w:val="0"/>
          <w:szCs w:val="21"/>
          <w:u w:val="single"/>
        </w:rPr>
        <w:t>__________________</w:t>
      </w:r>
      <w:r>
        <w:rPr>
          <w:rFonts w:hAnsi="宋体"/>
          <w:snapToGrid w:val="0"/>
          <w:kern w:val="0"/>
          <w:szCs w:val="21"/>
        </w:rPr>
        <w:t>（承包人名称，以下简称“承包人”）对该项目标段施工的</w:t>
      </w:r>
      <w:r>
        <w:rPr>
          <w:rFonts w:hint="eastAsia" w:hAnsi="宋体"/>
          <w:snapToGrid w:val="0"/>
          <w:kern w:val="0"/>
          <w:szCs w:val="21"/>
        </w:rPr>
        <w:t>竞包</w:t>
      </w:r>
      <w:r>
        <w:rPr>
          <w:rFonts w:hAnsi="宋体"/>
          <w:snapToGrid w:val="0"/>
          <w:kern w:val="0"/>
          <w:szCs w:val="21"/>
        </w:rPr>
        <w:t>。发包人和承包人共同达成如下协议。</w:t>
      </w:r>
    </w:p>
    <w:p>
      <w:pPr>
        <w:ind w:firstLine="420" w:firstLineChars="200"/>
        <w:rPr>
          <w:rFonts w:ascii="宋体" w:hAnsi="宋体"/>
          <w:snapToGrid w:val="0"/>
          <w:sz w:val="21"/>
          <w:szCs w:val="21"/>
        </w:rPr>
      </w:pPr>
      <w:r>
        <w:rPr>
          <w:rFonts w:ascii="宋体" w:hAnsi="宋体"/>
          <w:snapToGrid w:val="0"/>
          <w:sz w:val="21"/>
          <w:szCs w:val="21"/>
        </w:rPr>
        <w:t>1．本协议书与下列文件一起构成合同文件：</w:t>
      </w:r>
    </w:p>
    <w:p>
      <w:pPr>
        <w:ind w:firstLine="420" w:firstLineChars="200"/>
        <w:rPr>
          <w:rFonts w:ascii="宋体" w:hAnsi="宋体"/>
          <w:snapToGrid w:val="0"/>
          <w:sz w:val="21"/>
          <w:szCs w:val="21"/>
        </w:rPr>
      </w:pPr>
      <w:r>
        <w:rPr>
          <w:rFonts w:ascii="宋体" w:hAnsi="宋体"/>
          <w:snapToGrid w:val="0"/>
          <w:sz w:val="21"/>
          <w:szCs w:val="21"/>
        </w:rPr>
        <w:t>(</w:t>
      </w:r>
      <w:r>
        <w:rPr>
          <w:rFonts w:hint="eastAsia" w:ascii="宋体" w:hAnsi="宋体"/>
          <w:snapToGrid w:val="0"/>
          <w:sz w:val="21"/>
          <w:szCs w:val="21"/>
        </w:rPr>
        <w:t>1) 成交通知书</w:t>
      </w:r>
      <w:r>
        <w:rPr>
          <w:rFonts w:ascii="宋体" w:hAnsi="宋体"/>
          <w:snapToGrid w:val="0"/>
          <w:sz w:val="21"/>
          <w:szCs w:val="21"/>
        </w:rPr>
        <w:t>；</w:t>
      </w:r>
    </w:p>
    <w:p>
      <w:pPr>
        <w:ind w:firstLine="420" w:firstLineChars="200"/>
        <w:rPr>
          <w:rFonts w:ascii="宋体" w:hAnsi="宋体"/>
          <w:snapToGrid w:val="0"/>
          <w:sz w:val="21"/>
          <w:szCs w:val="21"/>
        </w:rPr>
      </w:pPr>
      <w:r>
        <w:rPr>
          <w:rFonts w:ascii="宋体" w:hAnsi="宋体"/>
          <w:snapToGrid w:val="0"/>
          <w:sz w:val="21"/>
          <w:szCs w:val="21"/>
        </w:rPr>
        <w:t>(2</w:t>
      </w:r>
      <w:r>
        <w:rPr>
          <w:rFonts w:hint="eastAsia" w:ascii="宋体" w:hAnsi="宋体"/>
          <w:snapToGrid w:val="0"/>
          <w:sz w:val="21"/>
          <w:szCs w:val="21"/>
        </w:rPr>
        <w:t>) 竞包</w:t>
      </w:r>
      <w:r>
        <w:rPr>
          <w:rFonts w:ascii="宋体" w:hAnsi="宋体"/>
          <w:snapToGrid w:val="0"/>
          <w:sz w:val="21"/>
          <w:szCs w:val="21"/>
        </w:rPr>
        <w:t>函；</w:t>
      </w:r>
    </w:p>
    <w:p>
      <w:pPr>
        <w:ind w:firstLine="420" w:firstLineChars="200"/>
        <w:rPr>
          <w:rFonts w:ascii="宋体" w:hAnsi="宋体"/>
          <w:snapToGrid w:val="0"/>
          <w:sz w:val="21"/>
          <w:szCs w:val="21"/>
        </w:rPr>
      </w:pPr>
      <w:r>
        <w:rPr>
          <w:rFonts w:hint="eastAsia" w:ascii="宋体" w:hAnsi="宋体"/>
          <w:snapToGrid w:val="0"/>
          <w:sz w:val="21"/>
          <w:szCs w:val="21"/>
        </w:rPr>
        <w:t>(3) 发竞包澄清问题、澄清问题的复函、补充通知等相关资料；</w:t>
      </w:r>
    </w:p>
    <w:p>
      <w:pPr>
        <w:ind w:firstLine="420" w:firstLineChars="200"/>
        <w:rPr>
          <w:rFonts w:ascii="宋体" w:hAnsi="宋体"/>
          <w:snapToGrid w:val="0"/>
          <w:sz w:val="21"/>
          <w:szCs w:val="21"/>
        </w:rPr>
      </w:pPr>
      <w:r>
        <w:rPr>
          <w:rFonts w:ascii="宋体" w:hAnsi="宋体"/>
          <w:snapToGrid w:val="0"/>
          <w:sz w:val="21"/>
          <w:szCs w:val="21"/>
        </w:rPr>
        <w:t>(</w:t>
      </w:r>
      <w:r>
        <w:rPr>
          <w:rFonts w:hint="eastAsia" w:ascii="宋体" w:hAnsi="宋体"/>
          <w:snapToGrid w:val="0"/>
          <w:sz w:val="21"/>
          <w:szCs w:val="21"/>
        </w:rPr>
        <w:t xml:space="preserve">4) </w:t>
      </w:r>
      <w:r>
        <w:rPr>
          <w:rFonts w:ascii="宋体" w:hAnsi="宋体"/>
          <w:snapToGrid w:val="0"/>
          <w:sz w:val="21"/>
          <w:szCs w:val="21"/>
        </w:rPr>
        <w:t>专用合同条款；</w:t>
      </w:r>
    </w:p>
    <w:p>
      <w:pPr>
        <w:ind w:firstLine="420" w:firstLineChars="200"/>
        <w:rPr>
          <w:rFonts w:ascii="宋体" w:hAnsi="宋体"/>
          <w:snapToGrid w:val="0"/>
          <w:sz w:val="21"/>
          <w:szCs w:val="21"/>
        </w:rPr>
      </w:pPr>
      <w:r>
        <w:rPr>
          <w:rFonts w:ascii="宋体" w:hAnsi="宋体"/>
          <w:snapToGrid w:val="0"/>
          <w:sz w:val="21"/>
          <w:szCs w:val="21"/>
        </w:rPr>
        <w:t>(</w:t>
      </w:r>
      <w:r>
        <w:rPr>
          <w:rFonts w:hint="eastAsia" w:ascii="宋体" w:hAnsi="宋体"/>
          <w:snapToGrid w:val="0"/>
          <w:sz w:val="21"/>
          <w:szCs w:val="21"/>
        </w:rPr>
        <w:t xml:space="preserve">5) </w:t>
      </w:r>
      <w:r>
        <w:rPr>
          <w:rFonts w:ascii="宋体" w:hAnsi="宋体"/>
          <w:snapToGrid w:val="0"/>
          <w:sz w:val="21"/>
          <w:szCs w:val="21"/>
        </w:rPr>
        <w:t>通用合同条款；</w:t>
      </w:r>
    </w:p>
    <w:p>
      <w:pPr>
        <w:ind w:firstLine="420" w:firstLineChars="200"/>
        <w:rPr>
          <w:rFonts w:ascii="宋体" w:hAnsi="宋体"/>
          <w:snapToGrid w:val="0"/>
          <w:sz w:val="21"/>
          <w:szCs w:val="21"/>
        </w:rPr>
      </w:pPr>
      <w:r>
        <w:rPr>
          <w:rFonts w:ascii="宋体" w:hAnsi="宋体"/>
          <w:snapToGrid w:val="0"/>
          <w:sz w:val="21"/>
          <w:szCs w:val="21"/>
        </w:rPr>
        <w:t>(</w:t>
      </w:r>
      <w:r>
        <w:rPr>
          <w:rFonts w:hint="eastAsia" w:ascii="宋体" w:hAnsi="宋体"/>
          <w:snapToGrid w:val="0"/>
          <w:sz w:val="21"/>
          <w:szCs w:val="21"/>
        </w:rPr>
        <w:t>6) 技术标</w:t>
      </w:r>
      <w:r>
        <w:rPr>
          <w:rFonts w:ascii="宋体" w:hAnsi="宋体"/>
          <w:snapToGrid w:val="0"/>
          <w:sz w:val="21"/>
          <w:szCs w:val="21"/>
        </w:rPr>
        <w:t>准和要求；</w:t>
      </w:r>
    </w:p>
    <w:p>
      <w:pPr>
        <w:ind w:firstLine="420" w:firstLineChars="200"/>
        <w:rPr>
          <w:rFonts w:ascii="宋体" w:hAnsi="宋体"/>
          <w:snapToGrid w:val="0"/>
          <w:sz w:val="21"/>
          <w:szCs w:val="21"/>
        </w:rPr>
      </w:pPr>
      <w:r>
        <w:rPr>
          <w:rFonts w:ascii="宋体" w:hAnsi="宋体"/>
          <w:snapToGrid w:val="0"/>
          <w:sz w:val="21"/>
          <w:szCs w:val="21"/>
        </w:rPr>
        <w:t>(</w:t>
      </w:r>
      <w:r>
        <w:rPr>
          <w:rFonts w:hint="eastAsia" w:ascii="宋体" w:hAnsi="宋体"/>
          <w:snapToGrid w:val="0"/>
          <w:sz w:val="21"/>
          <w:szCs w:val="21"/>
        </w:rPr>
        <w:t xml:space="preserve">7) </w:t>
      </w:r>
      <w:r>
        <w:rPr>
          <w:rFonts w:ascii="宋体" w:hAnsi="宋体"/>
          <w:snapToGrid w:val="0"/>
          <w:sz w:val="21"/>
          <w:szCs w:val="21"/>
        </w:rPr>
        <w:t>图纸；</w:t>
      </w:r>
    </w:p>
    <w:p>
      <w:pPr>
        <w:ind w:firstLine="420" w:firstLineChars="200"/>
        <w:rPr>
          <w:rFonts w:ascii="宋体" w:hAnsi="宋体"/>
          <w:snapToGrid w:val="0"/>
          <w:sz w:val="21"/>
          <w:szCs w:val="21"/>
        </w:rPr>
      </w:pPr>
      <w:r>
        <w:rPr>
          <w:rFonts w:ascii="宋体" w:hAnsi="宋体"/>
          <w:snapToGrid w:val="0"/>
          <w:sz w:val="21"/>
          <w:szCs w:val="21"/>
        </w:rPr>
        <w:t>(</w:t>
      </w:r>
      <w:r>
        <w:rPr>
          <w:rFonts w:hint="eastAsia" w:ascii="宋体" w:hAnsi="宋体"/>
          <w:snapToGrid w:val="0"/>
          <w:sz w:val="21"/>
          <w:szCs w:val="21"/>
        </w:rPr>
        <w:t xml:space="preserve">8) </w:t>
      </w:r>
      <w:r>
        <w:rPr>
          <w:rFonts w:ascii="宋体" w:hAnsi="宋体"/>
          <w:snapToGrid w:val="0"/>
          <w:sz w:val="21"/>
          <w:szCs w:val="21"/>
        </w:rPr>
        <w:t>己标价工程量清单；</w:t>
      </w:r>
    </w:p>
    <w:p>
      <w:pPr>
        <w:ind w:firstLine="420" w:firstLineChars="200"/>
        <w:rPr>
          <w:rFonts w:ascii="宋体" w:hAnsi="宋体"/>
          <w:snapToGrid w:val="0"/>
          <w:sz w:val="21"/>
          <w:szCs w:val="21"/>
        </w:rPr>
      </w:pPr>
      <w:r>
        <w:rPr>
          <w:rFonts w:ascii="宋体" w:hAnsi="宋体"/>
          <w:snapToGrid w:val="0"/>
          <w:sz w:val="21"/>
          <w:szCs w:val="21"/>
        </w:rPr>
        <w:t>(</w:t>
      </w:r>
      <w:r>
        <w:rPr>
          <w:rFonts w:hint="eastAsia" w:ascii="宋体" w:hAnsi="宋体"/>
          <w:snapToGrid w:val="0"/>
          <w:sz w:val="21"/>
          <w:szCs w:val="21"/>
        </w:rPr>
        <w:t>9) 经双方确认进入合同的其他文件。</w:t>
      </w:r>
    </w:p>
    <w:p>
      <w:pPr>
        <w:ind w:firstLine="420" w:firstLineChars="200"/>
        <w:rPr>
          <w:rFonts w:ascii="宋体" w:hAnsi="宋体"/>
          <w:snapToGrid w:val="0"/>
          <w:sz w:val="21"/>
          <w:szCs w:val="21"/>
        </w:rPr>
      </w:pPr>
      <w:r>
        <w:rPr>
          <w:rFonts w:ascii="宋体" w:hAnsi="宋体"/>
          <w:snapToGrid w:val="0"/>
          <w:sz w:val="21"/>
          <w:szCs w:val="21"/>
        </w:rPr>
        <w:t>2．上述文件互相补充和解释，如有不明确或不一致之处，以合同约定次序在先者为准。</w:t>
      </w:r>
    </w:p>
    <w:p>
      <w:pPr>
        <w:ind w:firstLine="420" w:firstLineChars="200"/>
        <w:rPr>
          <w:rFonts w:ascii="宋体" w:hAnsi="宋体"/>
          <w:snapToGrid w:val="0"/>
          <w:sz w:val="21"/>
          <w:szCs w:val="21"/>
        </w:rPr>
      </w:pPr>
      <w:r>
        <w:rPr>
          <w:rFonts w:ascii="宋体" w:hAnsi="宋体"/>
          <w:snapToGrid w:val="0"/>
          <w:sz w:val="21"/>
          <w:szCs w:val="21"/>
        </w:rPr>
        <w:t>3．签约合同价：人民币（大写）</w:t>
      </w:r>
      <w:r>
        <w:rPr>
          <w:rFonts w:hint="eastAsia" w:ascii="宋体" w:hAnsi="宋体"/>
          <w:snapToGrid w:val="0"/>
          <w:sz w:val="21"/>
          <w:szCs w:val="21"/>
        </w:rPr>
        <w:t>_________</w:t>
      </w:r>
      <w:r>
        <w:rPr>
          <w:rFonts w:ascii="宋体" w:hAnsi="宋体"/>
          <w:snapToGrid w:val="0"/>
          <w:sz w:val="21"/>
          <w:szCs w:val="21"/>
        </w:rPr>
        <w:t>元（￥</w:t>
      </w:r>
      <w:r>
        <w:rPr>
          <w:rFonts w:hint="eastAsia" w:ascii="宋体" w:hAnsi="宋体"/>
          <w:snapToGrid w:val="0"/>
          <w:sz w:val="21"/>
          <w:szCs w:val="21"/>
        </w:rPr>
        <w:t>________</w:t>
      </w:r>
      <w:r>
        <w:rPr>
          <w:rFonts w:ascii="宋体" w:hAnsi="宋体"/>
          <w:snapToGrid w:val="0"/>
          <w:sz w:val="21"/>
          <w:szCs w:val="21"/>
        </w:rPr>
        <w:t>）。</w:t>
      </w:r>
    </w:p>
    <w:p>
      <w:pPr>
        <w:ind w:firstLine="420" w:firstLineChars="200"/>
        <w:rPr>
          <w:rFonts w:ascii="宋体" w:hAnsi="宋体"/>
          <w:snapToGrid w:val="0"/>
          <w:sz w:val="21"/>
          <w:szCs w:val="21"/>
          <w:u w:val="single"/>
        </w:rPr>
      </w:pPr>
      <w:r>
        <w:rPr>
          <w:rFonts w:ascii="宋体" w:hAnsi="宋体"/>
          <w:snapToGrid w:val="0"/>
          <w:sz w:val="21"/>
          <w:szCs w:val="21"/>
        </w:rPr>
        <w:t>4．承包人项目负责人：</w:t>
      </w:r>
      <w:r>
        <w:rPr>
          <w:rFonts w:hint="eastAsia" w:ascii="宋体" w:hAnsi="宋体"/>
          <w:snapToGrid w:val="0"/>
          <w:sz w:val="21"/>
          <w:szCs w:val="21"/>
        </w:rPr>
        <w:t>___________，项目技术负责人：_________。</w:t>
      </w:r>
    </w:p>
    <w:p>
      <w:pPr>
        <w:ind w:firstLine="420" w:firstLineChars="200"/>
        <w:rPr>
          <w:rFonts w:ascii="宋体" w:hAnsi="宋体"/>
          <w:snapToGrid w:val="0"/>
          <w:sz w:val="21"/>
          <w:szCs w:val="21"/>
        </w:rPr>
      </w:pPr>
      <w:r>
        <w:rPr>
          <w:rFonts w:ascii="宋体" w:hAnsi="宋体"/>
          <w:snapToGrid w:val="0"/>
          <w:sz w:val="21"/>
          <w:szCs w:val="21"/>
        </w:rPr>
        <w:t>5．工程质量符合标准。</w:t>
      </w:r>
    </w:p>
    <w:p>
      <w:pPr>
        <w:ind w:firstLine="420" w:firstLineChars="200"/>
        <w:rPr>
          <w:rFonts w:ascii="宋体" w:hAnsi="宋体"/>
          <w:snapToGrid w:val="0"/>
          <w:sz w:val="21"/>
          <w:szCs w:val="21"/>
        </w:rPr>
      </w:pPr>
      <w:r>
        <w:rPr>
          <w:rFonts w:ascii="宋体" w:hAnsi="宋体"/>
          <w:snapToGrid w:val="0"/>
          <w:sz w:val="21"/>
          <w:szCs w:val="21"/>
        </w:rPr>
        <w:t>6．承包人承诺按合同约定承担工程的实施、完成及缺陷修复。</w:t>
      </w:r>
    </w:p>
    <w:p>
      <w:pPr>
        <w:ind w:firstLine="420" w:firstLineChars="200"/>
        <w:rPr>
          <w:rFonts w:ascii="宋体" w:hAnsi="宋体"/>
          <w:snapToGrid w:val="0"/>
          <w:sz w:val="21"/>
          <w:szCs w:val="21"/>
        </w:rPr>
      </w:pPr>
      <w:r>
        <w:rPr>
          <w:rFonts w:ascii="宋体" w:hAnsi="宋体"/>
          <w:snapToGrid w:val="0"/>
          <w:sz w:val="21"/>
          <w:szCs w:val="21"/>
        </w:rPr>
        <w:t>7．发包人承诺按合同约定的条件、时间和方式向承包人支付合同价款。</w:t>
      </w:r>
    </w:p>
    <w:p>
      <w:pPr>
        <w:ind w:firstLine="420" w:firstLineChars="200"/>
        <w:rPr>
          <w:rFonts w:ascii="宋体" w:hAnsi="宋体"/>
          <w:snapToGrid w:val="0"/>
          <w:sz w:val="21"/>
          <w:szCs w:val="21"/>
        </w:rPr>
      </w:pPr>
      <w:r>
        <w:rPr>
          <w:rFonts w:ascii="宋体" w:hAnsi="宋体"/>
          <w:snapToGrid w:val="0"/>
          <w:sz w:val="21"/>
          <w:szCs w:val="21"/>
        </w:rPr>
        <w:t>8．承包人应按照监理人指示开工，工期为</w:t>
      </w:r>
      <w:r>
        <w:rPr>
          <w:rFonts w:hint="eastAsia" w:ascii="宋体" w:hAnsi="宋体"/>
          <w:snapToGrid w:val="0"/>
          <w:sz w:val="21"/>
          <w:szCs w:val="21"/>
        </w:rPr>
        <w:t>月</w:t>
      </w:r>
      <w:r>
        <w:rPr>
          <w:rFonts w:ascii="宋体" w:hAnsi="宋体"/>
          <w:snapToGrid w:val="0"/>
          <w:sz w:val="21"/>
          <w:szCs w:val="21"/>
        </w:rPr>
        <w:t>。</w:t>
      </w:r>
    </w:p>
    <w:p>
      <w:pPr>
        <w:ind w:firstLine="420" w:firstLineChars="200"/>
        <w:rPr>
          <w:rFonts w:ascii="宋体" w:hAnsi="宋体"/>
          <w:snapToGrid w:val="0"/>
          <w:sz w:val="21"/>
          <w:szCs w:val="21"/>
        </w:rPr>
      </w:pPr>
      <w:r>
        <w:rPr>
          <w:rFonts w:ascii="宋体" w:hAnsi="宋体"/>
          <w:snapToGrid w:val="0"/>
          <w:sz w:val="21"/>
          <w:szCs w:val="21"/>
        </w:rPr>
        <w:t>9．本协议书一式份，合同双方各执一份。</w:t>
      </w:r>
    </w:p>
    <w:p>
      <w:pPr>
        <w:ind w:firstLine="420" w:firstLineChars="200"/>
        <w:rPr>
          <w:rFonts w:ascii="宋体" w:hAnsi="宋体"/>
          <w:snapToGrid w:val="0"/>
          <w:sz w:val="21"/>
          <w:szCs w:val="21"/>
        </w:rPr>
      </w:pPr>
      <w:r>
        <w:rPr>
          <w:rFonts w:ascii="宋体" w:hAnsi="宋体"/>
          <w:snapToGrid w:val="0"/>
          <w:sz w:val="21"/>
          <w:szCs w:val="21"/>
        </w:rPr>
        <w:t>10．合同未尽事宜，双方另行签订补充协议。补充协议是合同的组成部分。</w:t>
      </w:r>
    </w:p>
    <w:p>
      <w:pPr>
        <w:rPr>
          <w:rFonts w:ascii="宋体" w:hAnsi="宋体" w:eastAsia="宋体" w:cs="宋体"/>
          <w:snapToGrid w:val="0"/>
          <w:sz w:val="21"/>
          <w:szCs w:val="21"/>
          <w:u w:val="single"/>
        </w:rPr>
      </w:pPr>
      <w:r>
        <w:rPr>
          <w:rFonts w:hint="eastAsia" w:ascii="宋体" w:hAnsi="宋体"/>
          <w:snapToGrid w:val="0"/>
          <w:sz w:val="21"/>
          <w:szCs w:val="21"/>
        </w:rPr>
        <w:t>发包人</w:t>
      </w:r>
      <w:r>
        <w:rPr>
          <w:rFonts w:hint="eastAsia" w:ascii="宋体" w:hAnsi="宋体" w:eastAsia="宋体" w:cs="宋体"/>
          <w:snapToGrid w:val="0"/>
          <w:sz w:val="21"/>
          <w:szCs w:val="21"/>
        </w:rPr>
        <w:t>：</w:t>
      </w:r>
      <w:r>
        <w:rPr>
          <w:rFonts w:hint="eastAsia" w:ascii="宋体" w:hAnsi="宋体" w:eastAsia="宋体" w:cs="宋体"/>
          <w:snapToGrid w:val="0"/>
          <w:sz w:val="21"/>
          <w:szCs w:val="21"/>
          <w:u w:val="single"/>
        </w:rPr>
        <w:t xml:space="preserve">          （盖单位章）</w:t>
      </w:r>
      <w:r>
        <w:rPr>
          <w:rFonts w:hint="eastAsia" w:ascii="宋体" w:hAnsi="宋体"/>
          <w:snapToGrid w:val="0"/>
          <w:sz w:val="21"/>
          <w:szCs w:val="21"/>
        </w:rPr>
        <w:t>承包人</w:t>
      </w:r>
      <w:r>
        <w:rPr>
          <w:rFonts w:hint="eastAsia" w:ascii="宋体" w:hAnsi="宋体" w:eastAsia="宋体" w:cs="宋体"/>
          <w:snapToGrid w:val="0"/>
          <w:sz w:val="21"/>
          <w:szCs w:val="21"/>
        </w:rPr>
        <w:t>：</w:t>
      </w:r>
      <w:r>
        <w:rPr>
          <w:rFonts w:hint="eastAsia" w:ascii="宋体" w:hAnsi="宋体" w:eastAsia="宋体" w:cs="宋体"/>
          <w:snapToGrid w:val="0"/>
          <w:sz w:val="21"/>
          <w:szCs w:val="21"/>
          <w:u w:val="single"/>
        </w:rPr>
        <w:t xml:space="preserve">    （盖单位章）    </w:t>
      </w:r>
    </w:p>
    <w:p>
      <w:pPr>
        <w:rPr>
          <w:rFonts w:ascii="宋体" w:hAnsi="宋体" w:eastAsia="宋体" w:cs="宋体"/>
          <w:snapToGrid w:val="0"/>
          <w:sz w:val="21"/>
          <w:szCs w:val="21"/>
        </w:rPr>
      </w:pPr>
      <w:r>
        <w:rPr>
          <w:rFonts w:hint="eastAsia" w:ascii="宋体" w:hAnsi="宋体"/>
          <w:snapToGrid w:val="0"/>
          <w:sz w:val="21"/>
          <w:szCs w:val="21"/>
        </w:rPr>
        <w:t>法定代表人</w:t>
      </w:r>
      <w:r>
        <w:rPr>
          <w:rFonts w:hint="eastAsia" w:ascii="宋体" w:hAnsi="宋体" w:eastAsia="宋体" w:cs="宋体"/>
          <w:snapToGrid w:val="0"/>
          <w:sz w:val="21"/>
          <w:szCs w:val="21"/>
        </w:rPr>
        <w:t>： __</w:t>
      </w:r>
      <w:r>
        <w:rPr>
          <w:rFonts w:hint="eastAsia" w:ascii="宋体" w:hAnsi="宋体" w:eastAsia="宋体" w:cs="宋体"/>
          <w:snapToGrid w:val="0"/>
          <w:sz w:val="21"/>
          <w:szCs w:val="21"/>
          <w:u w:val="single"/>
        </w:rPr>
        <w:t xml:space="preserve">   （签字）   </w:t>
      </w:r>
      <w:r>
        <w:rPr>
          <w:rFonts w:hint="eastAsia" w:ascii="宋体" w:hAnsi="宋体"/>
          <w:snapToGrid w:val="0"/>
          <w:sz w:val="21"/>
          <w:szCs w:val="21"/>
        </w:rPr>
        <w:t>法定代表人</w:t>
      </w:r>
      <w:r>
        <w:rPr>
          <w:rFonts w:hint="eastAsia" w:ascii="宋体" w:hAnsi="宋体" w:eastAsia="宋体" w:cs="宋体"/>
          <w:snapToGrid w:val="0"/>
          <w:sz w:val="21"/>
          <w:szCs w:val="21"/>
        </w:rPr>
        <w:t>：</w:t>
      </w:r>
      <w:r>
        <w:rPr>
          <w:rFonts w:hint="eastAsia" w:ascii="宋体" w:hAnsi="宋体" w:eastAsia="宋体" w:cs="宋体"/>
          <w:snapToGrid w:val="0"/>
          <w:sz w:val="21"/>
          <w:szCs w:val="21"/>
          <w:u w:val="single"/>
        </w:rPr>
        <w:t xml:space="preserve"> （签字）</w:t>
      </w:r>
    </w:p>
    <w:p>
      <w:pPr>
        <w:pStyle w:val="14"/>
        <w:adjustRightInd w:val="0"/>
        <w:rPr>
          <w:rFonts w:hAnsi="宋体" w:eastAsiaTheme="minorEastAsia"/>
          <w:snapToGrid w:val="0"/>
          <w:kern w:val="0"/>
          <w:szCs w:val="21"/>
        </w:rPr>
      </w:pPr>
      <w:r>
        <w:rPr>
          <w:rFonts w:hint="eastAsia" w:hAnsi="宋体" w:eastAsiaTheme="minorEastAsia"/>
          <w:snapToGrid w:val="0"/>
          <w:kern w:val="0"/>
          <w:szCs w:val="21"/>
        </w:rPr>
        <w:t>或其委托代理人                                 或其委托代理人</w:t>
      </w:r>
    </w:p>
    <w:p>
      <w:pPr>
        <w:pStyle w:val="14"/>
        <w:adjustRightInd w:val="0"/>
        <w:ind w:firstLine="840" w:firstLineChars="400"/>
        <w:rPr>
          <w:rFonts w:hAnsi="宋体"/>
          <w:snapToGrid w:val="0"/>
          <w:kern w:val="0"/>
          <w:szCs w:val="21"/>
        </w:rPr>
      </w:pPr>
      <w:r>
        <w:rPr>
          <w:rFonts w:hAnsi="宋体"/>
          <w:snapToGrid w:val="0"/>
          <w:kern w:val="0"/>
          <w:szCs w:val="21"/>
        </w:rPr>
        <w:t>年</w:t>
      </w:r>
      <w:r>
        <w:rPr>
          <w:rFonts w:hint="eastAsia" w:hAnsi="宋体"/>
          <w:snapToGrid w:val="0"/>
          <w:kern w:val="0"/>
          <w:szCs w:val="21"/>
          <w:lang w:val="en-US" w:eastAsia="zh-CN"/>
        </w:rPr>
        <w:t xml:space="preserve"> </w:t>
      </w:r>
      <w:r>
        <w:rPr>
          <w:rFonts w:hAnsi="宋体"/>
          <w:snapToGrid w:val="0"/>
          <w:kern w:val="0"/>
          <w:szCs w:val="21"/>
        </w:rPr>
        <w:t>月</w:t>
      </w:r>
      <w:r>
        <w:rPr>
          <w:rFonts w:hint="eastAsia" w:hAnsi="宋体"/>
          <w:snapToGrid w:val="0"/>
          <w:kern w:val="0"/>
          <w:szCs w:val="21"/>
          <w:lang w:val="en-US" w:eastAsia="zh-CN"/>
        </w:rPr>
        <w:t xml:space="preserve"> </w:t>
      </w:r>
      <w:r>
        <w:rPr>
          <w:rFonts w:hAnsi="宋体"/>
          <w:snapToGrid w:val="0"/>
          <w:kern w:val="0"/>
          <w:szCs w:val="21"/>
        </w:rPr>
        <w:t>日                年</w:t>
      </w:r>
      <w:r>
        <w:rPr>
          <w:rFonts w:hint="eastAsia" w:hAnsi="宋体"/>
          <w:snapToGrid w:val="0"/>
          <w:kern w:val="0"/>
          <w:szCs w:val="21"/>
          <w:lang w:val="en-US" w:eastAsia="zh-CN"/>
        </w:rPr>
        <w:t xml:space="preserve"> </w:t>
      </w:r>
      <w:r>
        <w:rPr>
          <w:rFonts w:hAnsi="宋体"/>
          <w:snapToGrid w:val="0"/>
          <w:kern w:val="0"/>
          <w:szCs w:val="21"/>
        </w:rPr>
        <w:t>月</w:t>
      </w:r>
      <w:r>
        <w:rPr>
          <w:rFonts w:hint="eastAsia" w:hAnsi="宋体"/>
          <w:snapToGrid w:val="0"/>
          <w:kern w:val="0"/>
          <w:szCs w:val="21"/>
          <w:lang w:val="en-US" w:eastAsia="zh-CN"/>
        </w:rPr>
        <w:t xml:space="preserve"> </w:t>
      </w:r>
      <w:r>
        <w:rPr>
          <w:rFonts w:hAnsi="宋体"/>
          <w:snapToGrid w:val="0"/>
          <w:kern w:val="0"/>
          <w:szCs w:val="21"/>
        </w:rPr>
        <w:t>日</w:t>
      </w:r>
    </w:p>
    <w:p>
      <w:pPr>
        <w:pStyle w:val="6"/>
        <w:rPr>
          <w:snapToGrid w:val="0"/>
        </w:rPr>
      </w:pPr>
      <w:bookmarkStart w:id="369" w:name="_Toc217819063"/>
      <w:bookmarkStart w:id="370" w:name="_Toc235848386"/>
      <w:bookmarkStart w:id="371" w:name="_Toc452839304"/>
      <w:bookmarkStart w:id="372" w:name="_Toc5015"/>
      <w:bookmarkStart w:id="373" w:name="_Toc405378505"/>
      <w:bookmarkStart w:id="374" w:name="_Toc336325305"/>
      <w:r>
        <w:rPr>
          <w:snapToGrid w:val="0"/>
        </w:rPr>
        <w:t>附件</w:t>
      </w:r>
      <w:bookmarkEnd w:id="369"/>
      <w:bookmarkEnd w:id="370"/>
      <w:r>
        <w:rPr>
          <w:rFonts w:hint="eastAsia"/>
          <w:snapToGrid w:val="0"/>
          <w:lang w:eastAsia="zh-CN"/>
        </w:rPr>
        <w:t>二</w:t>
      </w:r>
      <w:r>
        <w:rPr>
          <w:rFonts w:hint="eastAsia"/>
          <w:snapToGrid w:val="0"/>
        </w:rPr>
        <w:t>：工程廉政责任书</w:t>
      </w:r>
      <w:bookmarkEnd w:id="371"/>
      <w:bookmarkEnd w:id="372"/>
      <w:bookmarkEnd w:id="373"/>
      <w:bookmarkEnd w:id="374"/>
    </w:p>
    <w:p>
      <w:pPr>
        <w:pStyle w:val="46"/>
        <w:adjustRightInd w:val="0"/>
        <w:spacing w:line="380" w:lineRule="exact"/>
        <w:jc w:val="center"/>
        <w:rPr>
          <w:b/>
          <w:snapToGrid w:val="0"/>
          <w:kern w:val="0"/>
          <w:sz w:val="30"/>
          <w:szCs w:val="30"/>
        </w:rPr>
      </w:pPr>
      <w:r>
        <w:rPr>
          <w:rFonts w:hint="eastAsia"/>
          <w:b/>
          <w:snapToGrid w:val="0"/>
          <w:kern w:val="0"/>
          <w:sz w:val="30"/>
          <w:szCs w:val="30"/>
        </w:rPr>
        <w:t>工程廉政责任书（格式）</w:t>
      </w:r>
    </w:p>
    <w:p>
      <w:pPr>
        <w:spacing w:line="380" w:lineRule="exact"/>
        <w:ind w:firstLine="420" w:firstLineChars="200"/>
        <w:rPr>
          <w:rFonts w:ascii="宋体" w:hAnsi="宋体"/>
          <w:snapToGrid w:val="0"/>
          <w:sz w:val="21"/>
          <w:szCs w:val="21"/>
        </w:rPr>
      </w:pPr>
      <w:r>
        <w:rPr>
          <w:rFonts w:hint="eastAsia" w:ascii="宋体" w:hAnsi="宋体"/>
          <w:snapToGrid w:val="0"/>
          <w:sz w:val="21"/>
          <w:szCs w:val="21"/>
        </w:rPr>
        <w:t>为加强工程建设中的廉政建设，保证工程建设高效优质完成，保证建设资金的安全和有效使用，工程的项目法人__________(以下称甲方)与承包商__________（以下称乙方），特订立如下责任书。</w:t>
      </w:r>
    </w:p>
    <w:p>
      <w:pPr>
        <w:spacing w:line="380" w:lineRule="exact"/>
        <w:ind w:firstLine="420" w:firstLineChars="200"/>
        <w:rPr>
          <w:rFonts w:ascii="宋体" w:hAnsi="宋体"/>
          <w:snapToGrid w:val="0"/>
          <w:sz w:val="21"/>
          <w:szCs w:val="21"/>
        </w:rPr>
      </w:pPr>
      <w:r>
        <w:rPr>
          <w:rFonts w:hint="eastAsia" w:ascii="宋体" w:hAnsi="宋体"/>
          <w:snapToGrid w:val="0"/>
          <w:sz w:val="21"/>
          <w:szCs w:val="21"/>
        </w:rPr>
        <w:t>第一条  甲乙双方的权利和义务</w:t>
      </w:r>
    </w:p>
    <w:p>
      <w:pPr>
        <w:numPr>
          <w:ilvl w:val="0"/>
          <w:numId w:val="9"/>
        </w:numPr>
        <w:autoSpaceDE/>
        <w:autoSpaceDN/>
        <w:spacing w:line="380" w:lineRule="exact"/>
        <w:ind w:left="0" w:firstLine="420" w:firstLineChars="200"/>
        <w:textAlignment w:val="auto"/>
        <w:rPr>
          <w:rFonts w:ascii="宋体" w:hAnsi="宋体"/>
          <w:snapToGrid w:val="0"/>
          <w:sz w:val="21"/>
          <w:szCs w:val="21"/>
        </w:rPr>
      </w:pPr>
      <w:r>
        <w:rPr>
          <w:rFonts w:hint="eastAsia" w:ascii="宋体" w:hAnsi="宋体"/>
          <w:snapToGrid w:val="0"/>
          <w:sz w:val="21"/>
          <w:szCs w:val="21"/>
        </w:rPr>
        <w:t>严格遵守党和国家工程建设的有关法律法规及水利部门的有关规定。</w:t>
      </w:r>
    </w:p>
    <w:p>
      <w:pPr>
        <w:numPr>
          <w:ilvl w:val="0"/>
          <w:numId w:val="9"/>
        </w:numPr>
        <w:autoSpaceDE/>
        <w:autoSpaceDN/>
        <w:spacing w:line="380" w:lineRule="exact"/>
        <w:ind w:left="0" w:firstLine="420" w:firstLineChars="200"/>
        <w:textAlignment w:val="auto"/>
        <w:rPr>
          <w:rFonts w:ascii="宋体" w:hAnsi="宋体"/>
          <w:snapToGrid w:val="0"/>
          <w:sz w:val="21"/>
          <w:szCs w:val="21"/>
        </w:rPr>
      </w:pPr>
      <w:r>
        <w:rPr>
          <w:rFonts w:hint="eastAsia" w:ascii="宋体" w:hAnsi="宋体"/>
          <w:snapToGrid w:val="0"/>
          <w:sz w:val="21"/>
          <w:szCs w:val="21"/>
        </w:rPr>
        <w:t>严格执行工程的合同文件，自觉按合同办事。</w:t>
      </w:r>
    </w:p>
    <w:p>
      <w:pPr>
        <w:numPr>
          <w:ilvl w:val="0"/>
          <w:numId w:val="9"/>
        </w:numPr>
        <w:autoSpaceDE/>
        <w:autoSpaceDN/>
        <w:spacing w:line="380" w:lineRule="exact"/>
        <w:ind w:left="0" w:firstLine="420" w:firstLineChars="200"/>
        <w:textAlignment w:val="auto"/>
        <w:rPr>
          <w:rFonts w:ascii="宋体" w:hAnsi="宋体"/>
          <w:snapToGrid w:val="0"/>
          <w:sz w:val="21"/>
          <w:szCs w:val="21"/>
        </w:rPr>
      </w:pPr>
      <w:r>
        <w:rPr>
          <w:rFonts w:hint="eastAsia" w:ascii="宋体" w:hAnsi="宋体"/>
          <w:snapToGrid w:val="0"/>
          <w:sz w:val="21"/>
          <w:szCs w:val="21"/>
        </w:rPr>
        <w:t>双方的业务活动坚持公开、公平、公正、诚信、透明的原则（除法律认定的商业秘密和合同文件另有规定之外），不得损害国家和集体利益，违反工程建设管理规定。</w:t>
      </w:r>
    </w:p>
    <w:p>
      <w:pPr>
        <w:numPr>
          <w:ilvl w:val="0"/>
          <w:numId w:val="9"/>
        </w:numPr>
        <w:autoSpaceDE/>
        <w:autoSpaceDN/>
        <w:spacing w:line="380" w:lineRule="exact"/>
        <w:ind w:left="0" w:firstLine="420" w:firstLineChars="200"/>
        <w:textAlignment w:val="auto"/>
        <w:rPr>
          <w:rFonts w:ascii="宋体" w:hAnsi="宋体"/>
          <w:snapToGrid w:val="0"/>
          <w:sz w:val="21"/>
          <w:szCs w:val="21"/>
        </w:rPr>
      </w:pPr>
      <w:r>
        <w:rPr>
          <w:rFonts w:hint="eastAsia" w:ascii="宋体" w:hAnsi="宋体"/>
          <w:snapToGrid w:val="0"/>
          <w:sz w:val="21"/>
          <w:szCs w:val="21"/>
        </w:rPr>
        <w:t>建立健全廉政制度、监督制度和处罚制度，开展廉政教育，设立廉政告示牌，公布举报电话。</w:t>
      </w:r>
    </w:p>
    <w:p>
      <w:pPr>
        <w:numPr>
          <w:ilvl w:val="0"/>
          <w:numId w:val="9"/>
        </w:numPr>
        <w:autoSpaceDE/>
        <w:autoSpaceDN/>
        <w:spacing w:line="380" w:lineRule="exact"/>
        <w:ind w:left="0" w:firstLine="420" w:firstLineChars="200"/>
        <w:textAlignment w:val="auto"/>
        <w:rPr>
          <w:rFonts w:ascii="宋体" w:hAnsi="宋体"/>
          <w:snapToGrid w:val="0"/>
          <w:sz w:val="21"/>
          <w:szCs w:val="21"/>
        </w:rPr>
      </w:pPr>
      <w:r>
        <w:rPr>
          <w:rFonts w:hint="eastAsia" w:ascii="宋体" w:hAnsi="宋体"/>
          <w:snapToGrid w:val="0"/>
          <w:sz w:val="21"/>
          <w:szCs w:val="21"/>
        </w:rPr>
        <w:t>发现对方在业务活动中有违反廉政规定的行为，有及时提醒对方纠正的权利和义务。</w:t>
      </w:r>
    </w:p>
    <w:p>
      <w:pPr>
        <w:numPr>
          <w:ilvl w:val="0"/>
          <w:numId w:val="9"/>
        </w:numPr>
        <w:autoSpaceDE/>
        <w:autoSpaceDN/>
        <w:spacing w:line="380" w:lineRule="exact"/>
        <w:ind w:left="0" w:firstLine="420" w:firstLineChars="200"/>
        <w:textAlignment w:val="auto"/>
        <w:rPr>
          <w:rFonts w:ascii="宋体" w:hAnsi="宋体"/>
          <w:snapToGrid w:val="0"/>
          <w:sz w:val="21"/>
          <w:szCs w:val="21"/>
        </w:rPr>
      </w:pPr>
      <w:r>
        <w:rPr>
          <w:rFonts w:hint="eastAsia" w:ascii="宋体" w:hAnsi="宋体"/>
          <w:snapToGrid w:val="0"/>
          <w:sz w:val="21"/>
          <w:szCs w:val="21"/>
        </w:rPr>
        <w:t>发现对方严重违反本责任书义务条款的行为，有向其上级有关部门举报、建议给予处理并要求告知处理结果的权利。</w:t>
      </w:r>
    </w:p>
    <w:p>
      <w:pPr>
        <w:spacing w:line="380" w:lineRule="exact"/>
        <w:ind w:firstLine="420" w:firstLineChars="200"/>
        <w:rPr>
          <w:rFonts w:ascii="宋体" w:hAnsi="宋体"/>
          <w:snapToGrid w:val="0"/>
          <w:sz w:val="21"/>
          <w:szCs w:val="21"/>
        </w:rPr>
      </w:pPr>
      <w:r>
        <w:rPr>
          <w:rFonts w:hint="eastAsia" w:ascii="宋体" w:hAnsi="宋体"/>
          <w:snapToGrid w:val="0"/>
          <w:sz w:val="21"/>
          <w:szCs w:val="21"/>
        </w:rPr>
        <w:t>第二条  甲方的义务</w:t>
      </w:r>
    </w:p>
    <w:p>
      <w:pPr>
        <w:numPr>
          <w:ilvl w:val="0"/>
          <w:numId w:val="10"/>
        </w:numPr>
        <w:autoSpaceDE/>
        <w:autoSpaceDN/>
        <w:spacing w:line="380" w:lineRule="exact"/>
        <w:ind w:left="0" w:firstLine="420" w:firstLineChars="200"/>
        <w:textAlignment w:val="auto"/>
        <w:rPr>
          <w:rFonts w:ascii="宋体" w:hAnsi="宋体"/>
          <w:snapToGrid w:val="0"/>
          <w:sz w:val="21"/>
          <w:szCs w:val="21"/>
        </w:rPr>
      </w:pPr>
      <w:r>
        <w:rPr>
          <w:rFonts w:hint="eastAsia" w:ascii="宋体" w:hAnsi="宋体"/>
          <w:snapToGrid w:val="0"/>
          <w:sz w:val="21"/>
          <w:szCs w:val="21"/>
        </w:rPr>
        <w:t>甲方及其工作人员不得索要或接受乙方的礼金、礼券、有价证券和物品，不得到乙方报销任何由甲方或个人支付的费用等。</w:t>
      </w:r>
    </w:p>
    <w:p>
      <w:pPr>
        <w:numPr>
          <w:ilvl w:val="0"/>
          <w:numId w:val="10"/>
        </w:numPr>
        <w:autoSpaceDE/>
        <w:autoSpaceDN/>
        <w:spacing w:line="380" w:lineRule="exact"/>
        <w:ind w:left="0" w:firstLine="420" w:firstLineChars="200"/>
        <w:textAlignment w:val="auto"/>
        <w:rPr>
          <w:rFonts w:ascii="宋体" w:hAnsi="宋体"/>
          <w:snapToGrid w:val="0"/>
          <w:sz w:val="21"/>
          <w:szCs w:val="21"/>
        </w:rPr>
      </w:pPr>
      <w:r>
        <w:rPr>
          <w:rFonts w:hint="eastAsia" w:ascii="宋体" w:hAnsi="宋体"/>
          <w:snapToGrid w:val="0"/>
          <w:sz w:val="21"/>
          <w:szCs w:val="21"/>
        </w:rPr>
        <w:t>甲方不得有意刁难、拖延承包商工程款，不得违反规定批拨工程建设费用等。</w:t>
      </w:r>
    </w:p>
    <w:p>
      <w:pPr>
        <w:numPr>
          <w:ilvl w:val="0"/>
          <w:numId w:val="10"/>
        </w:numPr>
        <w:autoSpaceDE/>
        <w:autoSpaceDN/>
        <w:spacing w:line="380" w:lineRule="exact"/>
        <w:ind w:left="0" w:firstLine="420" w:firstLineChars="200"/>
        <w:textAlignment w:val="auto"/>
        <w:rPr>
          <w:rFonts w:ascii="宋体" w:hAnsi="宋体"/>
          <w:snapToGrid w:val="0"/>
          <w:sz w:val="21"/>
          <w:szCs w:val="21"/>
        </w:rPr>
      </w:pPr>
      <w:r>
        <w:rPr>
          <w:rFonts w:hint="eastAsia" w:ascii="宋体" w:hAnsi="宋体"/>
          <w:snapToGrid w:val="0"/>
          <w:sz w:val="21"/>
          <w:szCs w:val="21"/>
        </w:rPr>
        <w:t>甲方工作人员不得参加乙方安排的宴请和娱乐活动；不得接受乙方提供的通讯工具、交通工具和高档办公用品等。</w:t>
      </w:r>
    </w:p>
    <w:p>
      <w:pPr>
        <w:numPr>
          <w:ilvl w:val="0"/>
          <w:numId w:val="10"/>
        </w:numPr>
        <w:autoSpaceDE/>
        <w:autoSpaceDN/>
        <w:spacing w:line="380" w:lineRule="exact"/>
        <w:ind w:left="0" w:firstLine="420" w:firstLineChars="200"/>
        <w:textAlignment w:val="auto"/>
        <w:rPr>
          <w:rFonts w:ascii="宋体" w:hAnsi="宋体"/>
          <w:snapToGrid w:val="0"/>
          <w:sz w:val="21"/>
          <w:szCs w:val="21"/>
        </w:rPr>
      </w:pPr>
      <w:r>
        <w:rPr>
          <w:rFonts w:hint="eastAsia" w:ascii="宋体" w:hAnsi="宋体"/>
          <w:snapToGrid w:val="0"/>
          <w:sz w:val="21"/>
          <w:szCs w:val="21"/>
        </w:rPr>
        <w:t>甲方及其工作人员不得要求或者接受乙方为其住房装修、操办婚丧嫁娶、安排配偶子女的工作以及出国出境、旅游等。</w:t>
      </w:r>
    </w:p>
    <w:p>
      <w:pPr>
        <w:numPr>
          <w:ilvl w:val="0"/>
          <w:numId w:val="10"/>
        </w:numPr>
        <w:autoSpaceDE/>
        <w:autoSpaceDN/>
        <w:spacing w:line="380" w:lineRule="exact"/>
        <w:ind w:left="0" w:firstLine="420" w:firstLineChars="200"/>
        <w:textAlignment w:val="auto"/>
        <w:rPr>
          <w:rFonts w:ascii="宋体" w:hAnsi="宋体"/>
          <w:snapToGrid w:val="0"/>
          <w:sz w:val="21"/>
          <w:szCs w:val="21"/>
        </w:rPr>
      </w:pPr>
      <w:r>
        <w:rPr>
          <w:rFonts w:hint="eastAsia" w:ascii="宋体" w:hAnsi="宋体"/>
          <w:snapToGrid w:val="0"/>
          <w:sz w:val="21"/>
          <w:szCs w:val="21"/>
        </w:rPr>
        <w:t>甲方工作人员的配偶、子女及下属单位不得从事与甲方工程有关的材料设备供应、工程分包、劳务等经济活动。</w:t>
      </w:r>
    </w:p>
    <w:p>
      <w:pPr>
        <w:numPr>
          <w:ilvl w:val="0"/>
          <w:numId w:val="10"/>
        </w:numPr>
        <w:autoSpaceDE/>
        <w:autoSpaceDN/>
        <w:spacing w:line="380" w:lineRule="exact"/>
        <w:ind w:left="0" w:firstLine="420" w:firstLineChars="200"/>
        <w:textAlignment w:val="auto"/>
        <w:rPr>
          <w:rFonts w:ascii="宋体" w:hAnsi="宋体"/>
          <w:snapToGrid w:val="0"/>
          <w:sz w:val="21"/>
          <w:szCs w:val="21"/>
        </w:rPr>
      </w:pPr>
      <w:r>
        <w:rPr>
          <w:rFonts w:hint="eastAsia" w:ascii="宋体" w:hAnsi="宋体"/>
          <w:snapToGrid w:val="0"/>
          <w:sz w:val="21"/>
          <w:szCs w:val="21"/>
        </w:rPr>
        <w:t>甲方及其工作人员不得以任何理由向乙方推荐分包单位，不得要求乙方购买合同规定外的材料和设备。</w:t>
      </w:r>
    </w:p>
    <w:p>
      <w:pPr>
        <w:spacing w:line="380" w:lineRule="exact"/>
        <w:ind w:firstLine="420" w:firstLineChars="200"/>
        <w:rPr>
          <w:rFonts w:ascii="宋体" w:hAnsi="宋体"/>
          <w:snapToGrid w:val="0"/>
          <w:sz w:val="21"/>
          <w:szCs w:val="21"/>
        </w:rPr>
      </w:pPr>
      <w:r>
        <w:rPr>
          <w:rFonts w:hint="eastAsia" w:ascii="宋体" w:hAnsi="宋体"/>
          <w:snapToGrid w:val="0"/>
          <w:sz w:val="21"/>
          <w:szCs w:val="21"/>
        </w:rPr>
        <w:t>第三条  乙方义务</w:t>
      </w:r>
    </w:p>
    <w:p>
      <w:pPr>
        <w:numPr>
          <w:ilvl w:val="1"/>
          <w:numId w:val="9"/>
        </w:numPr>
        <w:autoSpaceDE/>
        <w:autoSpaceDN/>
        <w:spacing w:line="380" w:lineRule="exact"/>
        <w:ind w:left="0" w:firstLine="502"/>
        <w:textAlignment w:val="auto"/>
        <w:rPr>
          <w:rFonts w:ascii="宋体" w:hAnsi="宋体"/>
          <w:snapToGrid w:val="0"/>
          <w:sz w:val="21"/>
          <w:szCs w:val="21"/>
        </w:rPr>
      </w:pPr>
      <w:r>
        <w:rPr>
          <w:rFonts w:hint="eastAsia" w:ascii="宋体" w:hAnsi="宋体"/>
          <w:snapToGrid w:val="0"/>
          <w:sz w:val="21"/>
          <w:szCs w:val="21"/>
        </w:rPr>
        <w:t>乙方不得以任何理由向甲方及其工作人员行贿或馈赠礼金、礼券、有价证券、礼品。</w:t>
      </w:r>
    </w:p>
    <w:p>
      <w:pPr>
        <w:numPr>
          <w:ilvl w:val="1"/>
          <w:numId w:val="9"/>
        </w:numPr>
        <w:autoSpaceDE/>
        <w:autoSpaceDN/>
        <w:spacing w:line="380" w:lineRule="exact"/>
        <w:ind w:left="0" w:firstLine="502"/>
        <w:textAlignment w:val="auto"/>
        <w:rPr>
          <w:rFonts w:ascii="宋体" w:hAnsi="宋体"/>
          <w:snapToGrid w:val="0"/>
          <w:sz w:val="21"/>
          <w:szCs w:val="21"/>
        </w:rPr>
      </w:pPr>
      <w:r>
        <w:rPr>
          <w:rFonts w:hint="eastAsia" w:ascii="宋体" w:hAnsi="宋体"/>
          <w:snapToGrid w:val="0"/>
          <w:sz w:val="21"/>
          <w:szCs w:val="21"/>
        </w:rPr>
        <w:t>乙方不得以任何名义为甲方及其工作人员报销应由甲方单位或个人支付的任何费用。</w:t>
      </w:r>
    </w:p>
    <w:p>
      <w:pPr>
        <w:numPr>
          <w:ilvl w:val="1"/>
          <w:numId w:val="9"/>
        </w:numPr>
        <w:autoSpaceDE/>
        <w:autoSpaceDN/>
        <w:spacing w:line="380" w:lineRule="exact"/>
        <w:ind w:left="0" w:firstLine="502"/>
        <w:textAlignment w:val="auto"/>
        <w:rPr>
          <w:rFonts w:ascii="宋体" w:hAnsi="宋体"/>
          <w:snapToGrid w:val="0"/>
          <w:sz w:val="21"/>
          <w:szCs w:val="21"/>
        </w:rPr>
      </w:pPr>
      <w:r>
        <w:rPr>
          <w:rFonts w:hint="eastAsia" w:ascii="宋体" w:hAnsi="宋体"/>
          <w:snapToGrid w:val="0"/>
          <w:sz w:val="21"/>
          <w:szCs w:val="21"/>
        </w:rPr>
        <w:t>乙方不得要求甲方违反规定，批拨、追加工程建设费用等。</w:t>
      </w:r>
    </w:p>
    <w:p>
      <w:pPr>
        <w:numPr>
          <w:ilvl w:val="1"/>
          <w:numId w:val="9"/>
        </w:numPr>
        <w:autoSpaceDE/>
        <w:autoSpaceDN/>
        <w:spacing w:line="380" w:lineRule="exact"/>
        <w:ind w:left="0" w:firstLine="502"/>
        <w:textAlignment w:val="auto"/>
        <w:rPr>
          <w:rFonts w:ascii="宋体" w:hAnsi="宋体"/>
          <w:snapToGrid w:val="0"/>
          <w:sz w:val="21"/>
          <w:szCs w:val="21"/>
        </w:rPr>
      </w:pPr>
      <w:r>
        <w:rPr>
          <w:rFonts w:hint="eastAsia" w:ascii="宋体" w:hAnsi="宋体"/>
          <w:snapToGrid w:val="0"/>
          <w:sz w:val="21"/>
          <w:szCs w:val="21"/>
        </w:rPr>
        <w:t>乙方不得以任何理由安排甲方工作人员参加宴请及娱乐活动。</w:t>
      </w:r>
    </w:p>
    <w:p>
      <w:pPr>
        <w:numPr>
          <w:ilvl w:val="1"/>
          <w:numId w:val="9"/>
        </w:numPr>
        <w:autoSpaceDE/>
        <w:autoSpaceDN/>
        <w:spacing w:line="380" w:lineRule="exact"/>
        <w:ind w:left="0" w:firstLine="502"/>
        <w:textAlignment w:val="auto"/>
        <w:rPr>
          <w:rFonts w:ascii="宋体" w:hAnsi="宋体"/>
          <w:snapToGrid w:val="0"/>
          <w:sz w:val="21"/>
          <w:szCs w:val="21"/>
        </w:rPr>
      </w:pPr>
      <w:r>
        <w:rPr>
          <w:rFonts w:hint="eastAsia" w:ascii="宋体" w:hAnsi="宋体"/>
          <w:snapToGrid w:val="0"/>
          <w:sz w:val="21"/>
          <w:szCs w:val="21"/>
        </w:rPr>
        <w:t>乙方不得为甲方单位和个人购置或提供通讯工具、交通工具和高档办公室用品等。</w:t>
      </w:r>
    </w:p>
    <w:p>
      <w:pPr>
        <w:spacing w:line="380" w:lineRule="exact"/>
        <w:ind w:firstLine="420" w:firstLineChars="200"/>
        <w:rPr>
          <w:rFonts w:ascii="宋体" w:hAnsi="宋体"/>
          <w:snapToGrid w:val="0"/>
          <w:sz w:val="21"/>
          <w:szCs w:val="21"/>
        </w:rPr>
      </w:pPr>
      <w:r>
        <w:rPr>
          <w:rFonts w:hint="eastAsia" w:ascii="宋体" w:hAnsi="宋体"/>
          <w:snapToGrid w:val="0"/>
          <w:sz w:val="21"/>
          <w:szCs w:val="21"/>
        </w:rPr>
        <w:t>第四条  违约责任</w:t>
      </w:r>
    </w:p>
    <w:p>
      <w:pPr>
        <w:spacing w:line="380" w:lineRule="exact"/>
        <w:ind w:firstLine="420" w:firstLineChars="200"/>
        <w:rPr>
          <w:rFonts w:ascii="宋体" w:hAnsi="宋体"/>
          <w:snapToGrid w:val="0"/>
          <w:sz w:val="21"/>
          <w:szCs w:val="21"/>
        </w:rPr>
      </w:pPr>
      <w:r>
        <w:rPr>
          <w:rFonts w:hint="eastAsia" w:ascii="宋体" w:hAnsi="宋体"/>
          <w:snapToGrid w:val="0"/>
          <w:sz w:val="21"/>
          <w:szCs w:val="21"/>
        </w:rPr>
        <w:t>（一）甲方及其工作人员违反本责任书第一、二条，按管理权限，依据有关规定给予党纪、政纪或组织处理；涉嫌犯罪的，移送司法机关追究刑事责任；给乙方单位造成经济损失的，应予以赔偿。</w:t>
      </w:r>
    </w:p>
    <w:p>
      <w:pPr>
        <w:spacing w:line="380" w:lineRule="exact"/>
        <w:ind w:firstLine="420" w:firstLineChars="200"/>
        <w:rPr>
          <w:rFonts w:ascii="宋体" w:hAnsi="宋体"/>
          <w:snapToGrid w:val="0"/>
          <w:sz w:val="21"/>
          <w:szCs w:val="21"/>
        </w:rPr>
      </w:pPr>
      <w:r>
        <w:rPr>
          <w:rFonts w:hint="eastAsia" w:ascii="宋体" w:hAnsi="宋体"/>
          <w:snapToGrid w:val="0"/>
          <w:sz w:val="21"/>
          <w:szCs w:val="21"/>
        </w:rPr>
        <w:t>（二）乙方及其工作人员违反本责任书第一、三条，按管理权限，依据有关规定，给予党纪、政纪、组织处理或停止承接业务处理；给甲方单位造成经济损失的，应予以赔偿；情节严重的，甲方建议有关工程建设主管部门给予乙方一至三年内不得参与工程建设项目投标的处罚。</w:t>
      </w:r>
    </w:p>
    <w:p>
      <w:pPr>
        <w:spacing w:line="380" w:lineRule="exact"/>
        <w:ind w:firstLine="420" w:firstLineChars="200"/>
        <w:rPr>
          <w:rFonts w:ascii="宋体" w:hAnsi="宋体"/>
          <w:snapToGrid w:val="0"/>
          <w:sz w:val="21"/>
          <w:szCs w:val="21"/>
        </w:rPr>
      </w:pPr>
      <w:r>
        <w:rPr>
          <w:rFonts w:hint="eastAsia" w:ascii="宋体" w:hAnsi="宋体"/>
          <w:snapToGrid w:val="0"/>
          <w:sz w:val="21"/>
          <w:szCs w:val="21"/>
        </w:rPr>
        <w:t>第五条  双方约定</w:t>
      </w:r>
    </w:p>
    <w:p>
      <w:pPr>
        <w:pStyle w:val="16"/>
        <w:snapToGrid/>
        <w:spacing w:line="380" w:lineRule="exact"/>
        <w:ind w:left="480"/>
        <w:rPr>
          <w:rFonts w:ascii="宋体" w:hAnsi="宋体"/>
          <w:snapToGrid w:val="0"/>
          <w:sz w:val="21"/>
          <w:szCs w:val="21"/>
        </w:rPr>
      </w:pPr>
      <w:r>
        <w:rPr>
          <w:rFonts w:hint="eastAsia" w:ascii="宋体" w:hAnsi="宋体"/>
          <w:snapToGrid w:val="0"/>
          <w:sz w:val="21"/>
          <w:szCs w:val="21"/>
        </w:rPr>
        <w:t>本责任书由纪检监察机关负责监督执行。纪检监察机关对本责任书执行情况</w:t>
      </w:r>
    </w:p>
    <w:p>
      <w:pPr>
        <w:pStyle w:val="16"/>
        <w:snapToGrid/>
        <w:spacing w:line="380" w:lineRule="exact"/>
        <w:rPr>
          <w:rFonts w:ascii="宋体" w:hAnsi="宋体"/>
          <w:snapToGrid w:val="0"/>
          <w:sz w:val="21"/>
          <w:szCs w:val="21"/>
        </w:rPr>
      </w:pPr>
      <w:r>
        <w:rPr>
          <w:rFonts w:hint="eastAsia" w:ascii="宋体" w:hAnsi="宋体"/>
          <w:snapToGrid w:val="0"/>
          <w:sz w:val="21"/>
          <w:szCs w:val="21"/>
        </w:rPr>
        <w:t>进行抽查。提出属于本责任书规定范围的处理意见。</w:t>
      </w:r>
    </w:p>
    <w:p>
      <w:pPr>
        <w:spacing w:line="380" w:lineRule="exact"/>
        <w:ind w:firstLine="420" w:firstLineChars="200"/>
        <w:rPr>
          <w:rFonts w:ascii="宋体" w:hAnsi="宋体"/>
          <w:snapToGrid w:val="0"/>
          <w:sz w:val="21"/>
          <w:szCs w:val="21"/>
        </w:rPr>
      </w:pPr>
      <w:r>
        <w:rPr>
          <w:rFonts w:hint="eastAsia" w:ascii="宋体" w:hAnsi="宋体"/>
          <w:snapToGrid w:val="0"/>
          <w:sz w:val="21"/>
          <w:szCs w:val="21"/>
        </w:rPr>
        <w:t>第六条  本责任书有效期同甲乙双方签署之日起至该工程项目工程款支付完结时止。</w:t>
      </w:r>
    </w:p>
    <w:p>
      <w:pPr>
        <w:spacing w:line="380" w:lineRule="exact"/>
        <w:ind w:firstLine="420" w:firstLineChars="200"/>
        <w:rPr>
          <w:rFonts w:ascii="宋体" w:hAnsi="宋体"/>
          <w:snapToGrid w:val="0"/>
          <w:sz w:val="21"/>
          <w:szCs w:val="21"/>
        </w:rPr>
      </w:pPr>
      <w:r>
        <w:rPr>
          <w:rFonts w:hint="eastAsia" w:ascii="宋体" w:hAnsi="宋体"/>
          <w:snapToGrid w:val="0"/>
          <w:sz w:val="21"/>
          <w:szCs w:val="21"/>
        </w:rPr>
        <w:t>第七条  本责任书作为本工程施工承包合同的附件，与工程施工合同具有同等的法律效力，经甲、乙双方签署后生效。</w:t>
      </w:r>
    </w:p>
    <w:p>
      <w:pPr>
        <w:spacing w:line="380" w:lineRule="exact"/>
        <w:ind w:firstLine="420" w:firstLineChars="200"/>
        <w:rPr>
          <w:rFonts w:ascii="宋体" w:hAnsi="宋体"/>
          <w:snapToGrid w:val="0"/>
          <w:sz w:val="21"/>
          <w:szCs w:val="21"/>
        </w:rPr>
      </w:pPr>
      <w:r>
        <w:rPr>
          <w:rFonts w:hint="eastAsia" w:ascii="宋体" w:hAnsi="宋体"/>
          <w:snapToGrid w:val="0"/>
          <w:sz w:val="21"/>
          <w:szCs w:val="21"/>
        </w:rPr>
        <w:t>第八条  本责任书甲、乙双方各执一份，送交监督单位一份。</w:t>
      </w:r>
    </w:p>
    <w:p>
      <w:pPr>
        <w:spacing w:line="380" w:lineRule="exact"/>
        <w:ind w:firstLine="420" w:firstLineChars="200"/>
        <w:rPr>
          <w:rFonts w:ascii="宋体" w:hAnsi="宋体"/>
          <w:snapToGrid w:val="0"/>
          <w:sz w:val="21"/>
          <w:szCs w:val="21"/>
        </w:rPr>
      </w:pPr>
      <w:r>
        <w:rPr>
          <w:rFonts w:hint="eastAsia" w:ascii="宋体" w:hAnsi="宋体"/>
          <w:snapToGrid w:val="0"/>
          <w:sz w:val="21"/>
          <w:szCs w:val="21"/>
        </w:rPr>
        <w:t>甲方单位：___________________（盖章）       乙方单位：__________________ （盖章）</w:t>
      </w:r>
    </w:p>
    <w:p>
      <w:pPr>
        <w:spacing w:line="380" w:lineRule="exact"/>
        <w:ind w:firstLine="420" w:firstLineChars="200"/>
        <w:rPr>
          <w:rFonts w:ascii="宋体" w:hAnsi="宋体"/>
          <w:snapToGrid w:val="0"/>
          <w:sz w:val="21"/>
          <w:szCs w:val="21"/>
        </w:rPr>
      </w:pPr>
      <w:r>
        <w:rPr>
          <w:rFonts w:hint="eastAsia" w:ascii="宋体" w:hAnsi="宋体"/>
          <w:snapToGrid w:val="0"/>
          <w:sz w:val="21"/>
          <w:szCs w:val="21"/>
        </w:rPr>
        <w:t>法定代表人：________________                法定代表人：___________________</w:t>
      </w:r>
    </w:p>
    <w:p>
      <w:pPr>
        <w:spacing w:line="380" w:lineRule="exact"/>
        <w:ind w:firstLine="420" w:firstLineChars="200"/>
        <w:rPr>
          <w:rFonts w:ascii="宋体" w:hAnsi="宋体"/>
          <w:snapToGrid w:val="0"/>
          <w:sz w:val="21"/>
          <w:szCs w:val="21"/>
        </w:rPr>
      </w:pPr>
      <w:r>
        <w:rPr>
          <w:rFonts w:hint="eastAsia" w:ascii="宋体" w:hAnsi="宋体"/>
          <w:snapToGrid w:val="0"/>
          <w:sz w:val="21"/>
          <w:szCs w:val="21"/>
        </w:rPr>
        <w:t>地址：_____________________                 地址：___________________</w:t>
      </w:r>
    </w:p>
    <w:p>
      <w:pPr>
        <w:spacing w:line="380" w:lineRule="exact"/>
        <w:ind w:firstLine="420" w:firstLineChars="200"/>
        <w:rPr>
          <w:rFonts w:ascii="宋体" w:hAnsi="宋体"/>
          <w:snapToGrid w:val="0"/>
          <w:sz w:val="21"/>
          <w:szCs w:val="21"/>
        </w:rPr>
      </w:pPr>
      <w:r>
        <w:rPr>
          <w:rFonts w:hint="eastAsia" w:ascii="宋体" w:hAnsi="宋体"/>
          <w:snapToGrid w:val="0"/>
          <w:sz w:val="21"/>
          <w:szCs w:val="21"/>
        </w:rPr>
        <w:t>电话：_____________________                 电话：___________________</w:t>
      </w:r>
    </w:p>
    <w:p>
      <w:pPr>
        <w:spacing w:line="380" w:lineRule="exact"/>
        <w:ind w:firstLine="840" w:firstLineChars="400"/>
        <w:rPr>
          <w:rFonts w:ascii="宋体" w:hAnsi="宋体"/>
          <w:snapToGrid w:val="0"/>
          <w:sz w:val="21"/>
          <w:szCs w:val="21"/>
        </w:rPr>
      </w:pPr>
      <w:bookmarkStart w:id="375" w:name="_Toc55455449"/>
      <w:r>
        <w:rPr>
          <w:rFonts w:hint="eastAsia" w:ascii="宋体" w:hAnsi="宋体"/>
          <w:snapToGrid w:val="0"/>
          <w:sz w:val="21"/>
          <w:szCs w:val="21"/>
        </w:rPr>
        <w:t>年    月    日                            年    月    日</w:t>
      </w:r>
      <w:bookmarkEnd w:id="375"/>
    </w:p>
    <w:p>
      <w:pPr>
        <w:widowControl/>
        <w:autoSpaceDE/>
        <w:autoSpaceDN/>
        <w:adjustRightInd/>
        <w:jc w:val="left"/>
        <w:textAlignment w:val="auto"/>
        <w:rPr>
          <w:rFonts w:eastAsia="黑体"/>
          <w:b/>
          <w:snapToGrid w:val="0"/>
        </w:rPr>
      </w:pPr>
      <w:bookmarkStart w:id="376" w:name="_Toc336325306"/>
    </w:p>
    <w:p>
      <w:pPr>
        <w:jc w:val="left"/>
        <w:textAlignment w:val="auto"/>
        <w:rPr>
          <w:rFonts w:ascii="宋体" w:cs="宋体"/>
          <w:szCs w:val="24"/>
        </w:rPr>
      </w:pPr>
      <w:r>
        <w:rPr>
          <w:snapToGrid w:val="0"/>
        </w:rPr>
        <w:br w:type="page"/>
      </w:r>
      <w:bookmarkStart w:id="377" w:name="_Toc405378506"/>
      <w:r>
        <w:rPr>
          <w:b/>
          <w:snapToGrid w:val="0"/>
        </w:rPr>
        <w:t>附件</w:t>
      </w:r>
      <w:r>
        <w:rPr>
          <w:rFonts w:hint="eastAsia"/>
          <w:b/>
          <w:snapToGrid w:val="0"/>
          <w:lang w:eastAsia="zh-CN"/>
        </w:rPr>
        <w:t>三</w:t>
      </w:r>
      <w:r>
        <w:rPr>
          <w:rFonts w:hint="eastAsia"/>
          <w:b/>
          <w:snapToGrid w:val="0"/>
        </w:rPr>
        <w:t>：</w:t>
      </w:r>
      <w:bookmarkEnd w:id="376"/>
      <w:bookmarkEnd w:id="377"/>
      <w:r>
        <w:rPr>
          <w:rFonts w:hint="eastAsia" w:ascii="宋体" w:cs="宋体"/>
          <w:b/>
          <w:sz w:val="32"/>
          <w:szCs w:val="32"/>
        </w:rPr>
        <w:t>安全文明施工协议</w:t>
      </w:r>
    </w:p>
    <w:p>
      <w:pPr>
        <w:ind w:firstLine="420" w:firstLineChars="200"/>
        <w:jc w:val="left"/>
        <w:textAlignment w:val="auto"/>
        <w:rPr>
          <w:rFonts w:ascii="宋体" w:cs="宋体"/>
          <w:sz w:val="21"/>
          <w:szCs w:val="21"/>
          <w:u w:val="single"/>
        </w:rPr>
      </w:pPr>
      <w:r>
        <w:rPr>
          <w:rFonts w:hint="eastAsia" w:ascii="宋体" w:cs="宋体"/>
          <w:sz w:val="21"/>
          <w:szCs w:val="21"/>
        </w:rPr>
        <w:t>工程名称:</w:t>
      </w:r>
    </w:p>
    <w:p>
      <w:pPr>
        <w:ind w:firstLine="420" w:firstLineChars="200"/>
        <w:jc w:val="left"/>
        <w:textAlignment w:val="auto"/>
        <w:rPr>
          <w:rFonts w:ascii="宋体" w:cs="宋体"/>
          <w:sz w:val="21"/>
          <w:szCs w:val="21"/>
          <w:u w:val="single"/>
        </w:rPr>
      </w:pPr>
      <w:r>
        <w:rPr>
          <w:rFonts w:hint="eastAsia" w:ascii="宋体" w:cs="宋体"/>
          <w:sz w:val="21"/>
          <w:szCs w:val="21"/>
        </w:rPr>
        <w:t>甲方：</w:t>
      </w:r>
    </w:p>
    <w:p>
      <w:pPr>
        <w:ind w:firstLine="420" w:firstLineChars="200"/>
        <w:jc w:val="left"/>
        <w:textAlignment w:val="auto"/>
        <w:rPr>
          <w:rFonts w:ascii="宋体" w:cs="宋体"/>
          <w:sz w:val="21"/>
          <w:szCs w:val="21"/>
          <w:u w:val="single"/>
        </w:rPr>
      </w:pPr>
      <w:r>
        <w:rPr>
          <w:rFonts w:hint="eastAsia" w:ascii="宋体" w:cs="宋体"/>
          <w:sz w:val="21"/>
          <w:szCs w:val="21"/>
        </w:rPr>
        <w:t>乙方：</w:t>
      </w:r>
    </w:p>
    <w:p>
      <w:pPr>
        <w:ind w:firstLine="525" w:firstLineChars="250"/>
        <w:jc w:val="left"/>
        <w:textAlignment w:val="auto"/>
        <w:rPr>
          <w:rFonts w:ascii="宋体" w:cs="宋体"/>
          <w:sz w:val="21"/>
          <w:szCs w:val="21"/>
        </w:rPr>
      </w:pPr>
      <w:r>
        <w:rPr>
          <w:rFonts w:hint="eastAsia" w:ascii="宋体" w:cs="宋体"/>
          <w:sz w:val="21"/>
          <w:szCs w:val="21"/>
        </w:rPr>
        <w:t>为切实加强工程项目安全文明管理力度，不断提高安全文明生产的管理水平。依照《中华人民共和国安全生产法》、《中华人民共和国建筑法》、《中华人民共和国合同法》以及政府相关法规的规定，为明确甲、乙双方责任，确保安全文明生产，保证相关人员在工程建设过程中人身健康安全，预防发生各类施工安全事故，经双方协商，甲、乙双方自愿签订本协议。</w:t>
      </w:r>
    </w:p>
    <w:p>
      <w:pPr>
        <w:jc w:val="left"/>
        <w:textAlignment w:val="auto"/>
        <w:rPr>
          <w:rFonts w:ascii="宋体" w:cs="宋体"/>
          <w:sz w:val="21"/>
          <w:szCs w:val="21"/>
        </w:rPr>
      </w:pPr>
      <w:r>
        <w:rPr>
          <w:rFonts w:ascii="宋体" w:cs="宋体"/>
          <w:sz w:val="21"/>
          <w:szCs w:val="21"/>
        </w:rPr>
        <w:t>1.</w:t>
      </w:r>
      <w:r>
        <w:rPr>
          <w:rFonts w:hint="eastAsia" w:ascii="宋体" w:cs="宋体"/>
          <w:sz w:val="21"/>
          <w:szCs w:val="21"/>
        </w:rPr>
        <w:t>安全施工</w:t>
      </w:r>
    </w:p>
    <w:p>
      <w:pPr>
        <w:ind w:firstLine="210" w:firstLineChars="100"/>
        <w:jc w:val="left"/>
        <w:textAlignment w:val="auto"/>
        <w:rPr>
          <w:rFonts w:ascii="宋体" w:cs="宋体"/>
          <w:sz w:val="21"/>
          <w:szCs w:val="21"/>
        </w:rPr>
      </w:pPr>
      <w:r>
        <w:rPr>
          <w:rFonts w:ascii="宋体" w:cs="宋体"/>
          <w:sz w:val="21"/>
          <w:szCs w:val="21"/>
        </w:rPr>
        <w:t>1.1</w:t>
      </w:r>
      <w:r>
        <w:rPr>
          <w:rFonts w:hint="eastAsia" w:ascii="宋体" w:cs="宋体"/>
          <w:sz w:val="21"/>
          <w:szCs w:val="21"/>
        </w:rPr>
        <w:t>甲方的责任</w:t>
      </w:r>
    </w:p>
    <w:p>
      <w:pPr>
        <w:ind w:firstLine="210" w:firstLineChars="100"/>
        <w:jc w:val="left"/>
        <w:textAlignment w:val="auto"/>
        <w:rPr>
          <w:rFonts w:ascii="宋体" w:cs="宋体"/>
          <w:sz w:val="21"/>
          <w:szCs w:val="21"/>
        </w:rPr>
      </w:pPr>
      <w:r>
        <w:rPr>
          <w:rFonts w:ascii="宋体" w:cs="宋体"/>
          <w:sz w:val="21"/>
          <w:szCs w:val="21"/>
        </w:rPr>
        <w:t>1.1.1</w:t>
      </w:r>
      <w:r>
        <w:rPr>
          <w:rFonts w:hint="eastAsia" w:ascii="宋体" w:cs="宋体"/>
          <w:sz w:val="21"/>
          <w:szCs w:val="21"/>
        </w:rPr>
        <w:t>贯彻落实国家及政府有关施工现场安全生产、文明施工的法规和管理规定，对施工现场进行全面的安全生产管理和监督检查。</w:t>
      </w:r>
    </w:p>
    <w:p>
      <w:pPr>
        <w:ind w:firstLine="210" w:firstLineChars="100"/>
        <w:jc w:val="left"/>
        <w:textAlignment w:val="auto"/>
        <w:rPr>
          <w:rFonts w:ascii="宋体" w:cs="宋体"/>
          <w:sz w:val="21"/>
          <w:szCs w:val="21"/>
        </w:rPr>
      </w:pPr>
      <w:r>
        <w:rPr>
          <w:rFonts w:ascii="宋体" w:cs="宋体"/>
          <w:sz w:val="21"/>
          <w:szCs w:val="21"/>
        </w:rPr>
        <w:t>1.1.2</w:t>
      </w:r>
      <w:r>
        <w:rPr>
          <w:rFonts w:hint="eastAsia" w:ascii="宋体" w:cs="宋体"/>
          <w:sz w:val="21"/>
          <w:szCs w:val="21"/>
        </w:rPr>
        <w:t>依照甲、乙双方的约定，提供施工现场安全生产条件。如交付使用前双方要办理交接手续，由甲方按照政府有关安全标准对乙方进行日常监督检查等。</w:t>
      </w:r>
    </w:p>
    <w:p>
      <w:pPr>
        <w:ind w:firstLine="210" w:firstLineChars="100"/>
        <w:jc w:val="left"/>
        <w:textAlignment w:val="auto"/>
        <w:rPr>
          <w:rFonts w:ascii="宋体" w:cs="宋体"/>
          <w:sz w:val="21"/>
          <w:szCs w:val="21"/>
        </w:rPr>
      </w:pPr>
      <w:r>
        <w:rPr>
          <w:rFonts w:ascii="宋体" w:cs="宋体"/>
          <w:sz w:val="21"/>
          <w:szCs w:val="21"/>
        </w:rPr>
        <w:t>1.1.3</w:t>
      </w:r>
      <w:r>
        <w:rPr>
          <w:rFonts w:hint="eastAsia" w:ascii="宋体" w:cs="宋体"/>
          <w:sz w:val="21"/>
          <w:szCs w:val="21"/>
        </w:rPr>
        <w:t>对乙方施工区域进行安全生产和文明施工检查。及时纠正乙方施工人员违章指挥和违章作业行为，对乙方人员在生产工作中违反有关安全生产规章制度的行为予以制止和纠正；对严重违章行为有权勒令停止其工作。对乙方施工区域内的重大安全事故隐患，开具隐患通知单，限期整改；如在规定时间内未能整改，有权对乙方进行处罚。</w:t>
      </w:r>
    </w:p>
    <w:p>
      <w:pPr>
        <w:ind w:firstLine="210" w:firstLineChars="100"/>
        <w:jc w:val="left"/>
        <w:textAlignment w:val="auto"/>
        <w:rPr>
          <w:rFonts w:ascii="宋体" w:cs="宋体"/>
          <w:sz w:val="21"/>
          <w:szCs w:val="21"/>
        </w:rPr>
      </w:pPr>
      <w:r>
        <w:rPr>
          <w:rFonts w:ascii="宋体" w:cs="宋体"/>
          <w:sz w:val="21"/>
          <w:szCs w:val="21"/>
        </w:rPr>
        <w:t>1.1.4</w:t>
      </w:r>
      <w:r>
        <w:rPr>
          <w:rFonts w:hint="eastAsia" w:ascii="宋体" w:cs="宋体"/>
          <w:sz w:val="21"/>
          <w:szCs w:val="21"/>
        </w:rPr>
        <w:t>建立健全的施工现场各项安全生产管理制度。</w:t>
      </w:r>
    </w:p>
    <w:p>
      <w:pPr>
        <w:ind w:firstLine="210" w:firstLineChars="100"/>
        <w:jc w:val="left"/>
        <w:textAlignment w:val="auto"/>
        <w:rPr>
          <w:rFonts w:ascii="宋体" w:cs="宋体"/>
          <w:sz w:val="21"/>
          <w:szCs w:val="21"/>
        </w:rPr>
      </w:pPr>
      <w:r>
        <w:rPr>
          <w:rFonts w:ascii="宋体" w:cs="宋体"/>
          <w:sz w:val="21"/>
          <w:szCs w:val="21"/>
        </w:rPr>
        <w:t>1.1.5</w:t>
      </w:r>
      <w:r>
        <w:rPr>
          <w:rFonts w:hint="eastAsia" w:ascii="宋体" w:cs="宋体"/>
          <w:sz w:val="21"/>
          <w:szCs w:val="21"/>
        </w:rPr>
        <w:t>乙方发生生产安全事故时，甲方应提供必要的协助救援并协助处理善后事宜。</w:t>
      </w:r>
    </w:p>
    <w:p>
      <w:pPr>
        <w:ind w:firstLine="210" w:firstLineChars="100"/>
        <w:jc w:val="left"/>
        <w:textAlignment w:val="auto"/>
        <w:rPr>
          <w:rFonts w:ascii="宋体" w:cs="宋体"/>
          <w:sz w:val="21"/>
          <w:szCs w:val="21"/>
        </w:rPr>
      </w:pPr>
      <w:r>
        <w:rPr>
          <w:rFonts w:ascii="宋体" w:cs="宋体"/>
          <w:sz w:val="21"/>
          <w:szCs w:val="21"/>
        </w:rPr>
        <w:t>1.2</w:t>
      </w:r>
      <w:r>
        <w:rPr>
          <w:rFonts w:hint="eastAsia" w:ascii="宋体" w:cs="宋体"/>
          <w:sz w:val="21"/>
          <w:szCs w:val="21"/>
        </w:rPr>
        <w:t>乙方的责任</w:t>
      </w:r>
    </w:p>
    <w:p>
      <w:pPr>
        <w:ind w:firstLine="210" w:firstLineChars="100"/>
        <w:jc w:val="left"/>
        <w:textAlignment w:val="auto"/>
        <w:rPr>
          <w:rFonts w:ascii="宋体" w:cs="宋体"/>
          <w:sz w:val="21"/>
          <w:szCs w:val="21"/>
        </w:rPr>
      </w:pPr>
      <w:r>
        <w:rPr>
          <w:rFonts w:ascii="宋体" w:cs="宋体"/>
          <w:sz w:val="21"/>
          <w:szCs w:val="21"/>
        </w:rPr>
        <w:t>1.2.1</w:t>
      </w:r>
      <w:r>
        <w:rPr>
          <w:rFonts w:hint="eastAsia" w:ascii="宋体" w:cs="宋体"/>
          <w:sz w:val="21"/>
          <w:szCs w:val="21"/>
        </w:rPr>
        <w:t>贯彻落实国家及政府有关施工现场安全生产的法规和管理制度，建立健全安全生产责任制和安全生产管理制度，对承包施工区域的安全生产管理负全面责任。乙方应完善健全自己的安全管理组织体制，建立施工现场的安全生产保证体系，在安全管理工作中对自单位人员全面负责。方施工人员违反有关安全生产规程制度时，甲方有权予以纠正制止并给予经济处罚，直至停止乙方的工作。</w:t>
      </w:r>
    </w:p>
    <w:p>
      <w:pPr>
        <w:ind w:firstLine="210" w:firstLineChars="100"/>
        <w:jc w:val="left"/>
        <w:textAlignment w:val="auto"/>
        <w:rPr>
          <w:rFonts w:ascii="宋体" w:cs="宋体"/>
          <w:sz w:val="21"/>
          <w:szCs w:val="21"/>
        </w:rPr>
      </w:pPr>
      <w:r>
        <w:rPr>
          <w:rFonts w:hint="eastAsia" w:ascii="宋体" w:cs="宋体"/>
          <w:sz w:val="21"/>
          <w:szCs w:val="21"/>
        </w:rPr>
        <w:t>乙方进驻工地后十四（</w:t>
      </w:r>
      <w:r>
        <w:rPr>
          <w:rFonts w:ascii="宋体" w:cs="宋体"/>
          <w:sz w:val="21"/>
          <w:szCs w:val="21"/>
        </w:rPr>
        <w:t>14</w:t>
      </w:r>
      <w:r>
        <w:rPr>
          <w:rFonts w:hint="eastAsia" w:ascii="宋体" w:cs="宋体"/>
          <w:sz w:val="21"/>
          <w:szCs w:val="21"/>
        </w:rPr>
        <w:t>）天内制定工地</w:t>
      </w:r>
      <w:r>
        <w:rPr>
          <w:rFonts w:ascii="宋体" w:cs="宋体"/>
          <w:sz w:val="21"/>
          <w:szCs w:val="21"/>
        </w:rPr>
        <w:t>/</w:t>
      </w:r>
      <w:r>
        <w:rPr>
          <w:rFonts w:hint="eastAsia" w:ascii="宋体" w:cs="宋体"/>
          <w:sz w:val="21"/>
          <w:szCs w:val="21"/>
        </w:rPr>
        <w:t>施工安全预防设施的详细计划书，并提交给甲方审批。甲方可以驳回、批准或修订该计划书，乙方应根据甲方意见做出修订。乙方须委任一名常驻工地的管理人员为工地</w:t>
      </w:r>
      <w:r>
        <w:rPr>
          <w:rFonts w:ascii="宋体" w:cs="宋体"/>
          <w:sz w:val="21"/>
          <w:szCs w:val="21"/>
        </w:rPr>
        <w:t>/</w:t>
      </w:r>
      <w:r>
        <w:rPr>
          <w:rFonts w:hint="eastAsia" w:ascii="宋体" w:cs="宋体"/>
          <w:sz w:val="21"/>
          <w:szCs w:val="21"/>
        </w:rPr>
        <w:t>施工安全监理及甲方主任，确保该已被甲方批准的计划书得以正确执行及保证整项工程施工期内完全遵守政府部门所颁布的安全规则及避免发生任何意外。乙方应每周向甲方提交工地</w:t>
      </w:r>
      <w:r>
        <w:rPr>
          <w:rFonts w:ascii="宋体" w:cs="宋体"/>
          <w:sz w:val="21"/>
          <w:szCs w:val="21"/>
        </w:rPr>
        <w:t>/</w:t>
      </w:r>
      <w:r>
        <w:rPr>
          <w:rFonts w:hint="eastAsia" w:ascii="宋体" w:cs="宋体"/>
          <w:sz w:val="21"/>
          <w:szCs w:val="21"/>
        </w:rPr>
        <w:t>施工安全报告。若甲方认为乙方在工地的安全设施或处理方法不符合要求时，可发出停工指令直至修复妥当符合安全规则。停工期内的所有间接及直接损失全部由乙方负责。</w:t>
      </w:r>
    </w:p>
    <w:p>
      <w:pPr>
        <w:ind w:firstLine="315" w:firstLineChars="150"/>
        <w:jc w:val="left"/>
        <w:textAlignment w:val="auto"/>
        <w:rPr>
          <w:rFonts w:ascii="宋体" w:cs="宋体"/>
          <w:sz w:val="21"/>
          <w:szCs w:val="21"/>
        </w:rPr>
      </w:pPr>
      <w:r>
        <w:rPr>
          <w:rFonts w:ascii="宋体" w:cs="宋体"/>
          <w:sz w:val="21"/>
          <w:szCs w:val="21"/>
        </w:rPr>
        <w:t>1.2.2</w:t>
      </w:r>
      <w:r>
        <w:rPr>
          <w:rFonts w:hint="eastAsia" w:ascii="宋体" w:cs="宋体"/>
          <w:sz w:val="21"/>
          <w:szCs w:val="21"/>
        </w:rPr>
        <w:t>接受甲方的施工资质审查，并负责提供有关资料（包括单位营业执照，安全生产许可证、</w:t>
      </w:r>
    </w:p>
    <w:p>
      <w:pPr>
        <w:jc w:val="left"/>
        <w:textAlignment w:val="auto"/>
        <w:rPr>
          <w:rFonts w:ascii="宋体" w:cs="宋体"/>
          <w:sz w:val="21"/>
          <w:szCs w:val="21"/>
        </w:rPr>
      </w:pPr>
      <w:r>
        <w:rPr>
          <w:rFonts w:hint="eastAsia" w:ascii="宋体" w:cs="宋体"/>
          <w:sz w:val="21"/>
          <w:szCs w:val="21"/>
        </w:rPr>
        <w:t>资质证书等）。严格按照施工资质范围施工，不得承接超资质范围的施工任务。严格遵守《中华人民共和国建筑法》和政府有关规定，不得将承包项目违法转包。</w:t>
      </w:r>
    </w:p>
    <w:p>
      <w:pPr>
        <w:ind w:firstLine="315" w:firstLineChars="150"/>
        <w:jc w:val="left"/>
        <w:textAlignment w:val="auto"/>
        <w:rPr>
          <w:rFonts w:ascii="宋体" w:cs="宋体"/>
          <w:sz w:val="21"/>
          <w:szCs w:val="21"/>
        </w:rPr>
      </w:pPr>
      <w:r>
        <w:rPr>
          <w:rFonts w:ascii="宋体" w:cs="宋体"/>
          <w:sz w:val="21"/>
          <w:szCs w:val="21"/>
        </w:rPr>
        <w:t>1.2.3</w:t>
      </w:r>
      <w:r>
        <w:rPr>
          <w:rFonts w:hint="eastAsia" w:ascii="宋体" w:cs="宋体"/>
          <w:sz w:val="21"/>
          <w:szCs w:val="21"/>
        </w:rPr>
        <w:t>服从甲方现场安全生产管理。严格按照市建委标准化劳务人员登记表进行劳务人员登记并签订劳动合同，进行标准化统一管理。特种工种上岗证持证率</w:t>
      </w:r>
      <w:r>
        <w:rPr>
          <w:rFonts w:ascii="宋体" w:cs="宋体"/>
          <w:sz w:val="21"/>
          <w:szCs w:val="21"/>
        </w:rPr>
        <w:t>100</w:t>
      </w:r>
      <w:r>
        <w:rPr>
          <w:rFonts w:hint="eastAsia" w:ascii="宋体" w:cs="宋体"/>
          <w:sz w:val="21"/>
          <w:szCs w:val="21"/>
        </w:rPr>
        <w:t>％，如“电工、电焊工、架工、塔吊工、信号工”及普通工等工种的各种操作上岗证，收集存档、先验原件、上岗证复印证件必须乙方盖单位红章送交甲方项目部安全员处存档备查，严格按照安全监督部门关于特种工种的相关规定，做到人证相符，严禁无证人员上岗操作。</w:t>
      </w:r>
    </w:p>
    <w:p>
      <w:pPr>
        <w:ind w:firstLine="315" w:firstLineChars="150"/>
        <w:jc w:val="left"/>
        <w:textAlignment w:val="auto"/>
        <w:rPr>
          <w:rFonts w:ascii="宋体" w:cs="宋体"/>
          <w:sz w:val="21"/>
          <w:szCs w:val="21"/>
        </w:rPr>
      </w:pPr>
      <w:r>
        <w:rPr>
          <w:rFonts w:ascii="宋体" w:cs="宋体"/>
          <w:sz w:val="21"/>
          <w:szCs w:val="21"/>
        </w:rPr>
        <w:t>1.2.4</w:t>
      </w:r>
      <w:r>
        <w:rPr>
          <w:rFonts w:hint="eastAsia" w:ascii="宋体" w:cs="宋体"/>
          <w:sz w:val="21"/>
          <w:szCs w:val="21"/>
        </w:rPr>
        <w:t>乙方对所承担的施工项目，必须制订并且提交给甲方安全生产管理方案及各重大施工项目安全专项实施方案，如“塔吊、脚手架、大模板、深基坑、临电”等方案要有专人管理；并结合工程实际制定好保证安全的“三大措施”</w:t>
      </w:r>
      <w:r>
        <w:rPr>
          <w:rFonts w:ascii="宋体" w:cs="宋体"/>
          <w:sz w:val="21"/>
          <w:szCs w:val="21"/>
        </w:rPr>
        <w:t xml:space="preserve"> (</w:t>
      </w:r>
      <w:r>
        <w:rPr>
          <w:rFonts w:hint="eastAsia" w:ascii="宋体" w:cs="宋体"/>
          <w:sz w:val="21"/>
          <w:szCs w:val="21"/>
        </w:rPr>
        <w:t>组织、技术、安全措施</w:t>
      </w:r>
      <w:r>
        <w:rPr>
          <w:rFonts w:ascii="宋体" w:cs="宋体"/>
          <w:sz w:val="21"/>
          <w:szCs w:val="21"/>
        </w:rPr>
        <w:t>)</w:t>
      </w:r>
      <w:r>
        <w:rPr>
          <w:rFonts w:hint="eastAsia" w:ascii="宋体" w:cs="宋体"/>
          <w:sz w:val="21"/>
          <w:szCs w:val="21"/>
        </w:rPr>
        <w:t>，经甲方审查确认合格后监督实施。</w:t>
      </w:r>
    </w:p>
    <w:p>
      <w:pPr>
        <w:ind w:firstLine="315" w:firstLineChars="150"/>
        <w:jc w:val="left"/>
        <w:textAlignment w:val="auto"/>
        <w:rPr>
          <w:rFonts w:ascii="宋体" w:cs="宋体"/>
          <w:sz w:val="21"/>
          <w:szCs w:val="21"/>
        </w:rPr>
      </w:pPr>
      <w:r>
        <w:rPr>
          <w:rFonts w:ascii="宋体" w:cs="宋体"/>
          <w:sz w:val="21"/>
          <w:szCs w:val="21"/>
        </w:rPr>
        <w:t>1.2.5</w:t>
      </w:r>
      <w:r>
        <w:rPr>
          <w:rFonts w:hint="eastAsia" w:ascii="宋体" w:cs="宋体"/>
          <w:sz w:val="21"/>
          <w:szCs w:val="21"/>
        </w:rPr>
        <w:t>按照政府有关安全管理规定，定期组织安全生产培训教育和安全生产活动。在安全教育或安全活动中如需要可要求甲方提供帮助。工程开工前，乙方必须组织全体施工人员分工种进行入场三级安全教育、技能和安全规定考试，合格并建立每个职工专一安全教育档案后方可进入现场施工。需调换工种、增补或调动人员者，在上岗前均必须进行安全教育和技能安全规定考试，并报给监理方备案。</w:t>
      </w:r>
    </w:p>
    <w:p>
      <w:pPr>
        <w:ind w:firstLine="315" w:firstLineChars="150"/>
        <w:jc w:val="left"/>
        <w:textAlignment w:val="auto"/>
        <w:rPr>
          <w:rFonts w:ascii="宋体" w:cs="宋体"/>
          <w:sz w:val="21"/>
          <w:szCs w:val="21"/>
        </w:rPr>
      </w:pPr>
      <w:r>
        <w:rPr>
          <w:rFonts w:ascii="宋体" w:cs="宋体"/>
          <w:sz w:val="21"/>
          <w:szCs w:val="21"/>
        </w:rPr>
        <w:t>1.2.6</w:t>
      </w:r>
      <w:r>
        <w:rPr>
          <w:rFonts w:hint="eastAsia" w:ascii="宋体" w:cs="宋体"/>
          <w:sz w:val="21"/>
          <w:szCs w:val="21"/>
        </w:rPr>
        <w:t>乙方应按《中华人民共和国劳动法》等法律、法规、规定用工，严禁使用未成年工和有职业禁忌的人员进行施工作业。</w:t>
      </w:r>
    </w:p>
    <w:p>
      <w:pPr>
        <w:ind w:firstLine="315" w:firstLineChars="150"/>
        <w:jc w:val="left"/>
        <w:textAlignment w:val="auto"/>
        <w:rPr>
          <w:rFonts w:ascii="宋体" w:cs="宋体"/>
          <w:sz w:val="21"/>
          <w:szCs w:val="21"/>
        </w:rPr>
      </w:pPr>
      <w:r>
        <w:rPr>
          <w:rFonts w:ascii="宋体" w:cs="宋体"/>
          <w:sz w:val="21"/>
          <w:szCs w:val="21"/>
        </w:rPr>
        <w:t>1.2.7</w:t>
      </w:r>
      <w:r>
        <w:rPr>
          <w:rFonts w:hint="eastAsia" w:ascii="宋体" w:cs="宋体"/>
          <w:sz w:val="21"/>
          <w:szCs w:val="21"/>
        </w:rPr>
        <w:t>工程开工前，必须向全体施工人员进行书面安全技术交底，让全体施工人员掌握工程特点及施工安全措施。</w:t>
      </w:r>
    </w:p>
    <w:p>
      <w:pPr>
        <w:ind w:firstLine="210" w:firstLineChars="100"/>
        <w:jc w:val="left"/>
        <w:textAlignment w:val="auto"/>
        <w:rPr>
          <w:rFonts w:ascii="宋体" w:cs="宋体"/>
          <w:sz w:val="21"/>
          <w:szCs w:val="21"/>
        </w:rPr>
      </w:pPr>
      <w:r>
        <w:rPr>
          <w:rFonts w:ascii="宋体" w:cs="宋体"/>
          <w:sz w:val="21"/>
          <w:szCs w:val="21"/>
        </w:rPr>
        <w:t>1.2.8</w:t>
      </w:r>
      <w:r>
        <w:rPr>
          <w:rFonts w:hint="eastAsia" w:ascii="宋体" w:cs="宋体"/>
          <w:sz w:val="21"/>
          <w:szCs w:val="21"/>
        </w:rPr>
        <w:t>乙方应自觉接受甲方的监督和指导。对甲方检查提出的安全整改通知，必须在限期内及时整改。施工中一旦发生人身事故或危及生产运行的不安全情况，必须立即向甲方报告。</w:t>
      </w:r>
    </w:p>
    <w:p>
      <w:pPr>
        <w:ind w:firstLine="210" w:firstLineChars="100"/>
        <w:jc w:val="left"/>
        <w:textAlignment w:val="auto"/>
        <w:rPr>
          <w:rFonts w:ascii="宋体" w:cs="宋体"/>
          <w:sz w:val="21"/>
          <w:szCs w:val="21"/>
        </w:rPr>
      </w:pPr>
      <w:r>
        <w:rPr>
          <w:rFonts w:ascii="宋体" w:cs="宋体"/>
          <w:sz w:val="21"/>
          <w:szCs w:val="21"/>
        </w:rPr>
        <w:t>1.2.9</w:t>
      </w:r>
      <w:r>
        <w:rPr>
          <w:rFonts w:hint="eastAsia" w:ascii="宋体" w:cs="宋体"/>
          <w:sz w:val="21"/>
          <w:szCs w:val="21"/>
        </w:rPr>
        <w:t>乙方必须按国家有关规定，为施工人员配备合格的劳动防护用品及安全用具，并保证施工工具、器械使用安全。乙方施工人员应对所在的施工区域、作业环境、操作设施、设备、工器具等进行认真检查，对于检查中发现的问题及隐患，必须先整改后施工。对施工现场脚手架每天开工前须派专人进行检查，发现隐患应及时整改。各类安全防护设施、遮栏、安全标志牌、警告牌和接地线等乙方不得擅自拆除、更改。</w:t>
      </w:r>
    </w:p>
    <w:p>
      <w:pPr>
        <w:ind w:firstLine="315" w:firstLineChars="150"/>
        <w:jc w:val="left"/>
        <w:textAlignment w:val="auto"/>
        <w:rPr>
          <w:rFonts w:ascii="宋体" w:cs="宋体"/>
          <w:sz w:val="21"/>
          <w:szCs w:val="21"/>
        </w:rPr>
      </w:pPr>
      <w:r>
        <w:rPr>
          <w:rFonts w:ascii="宋体" w:cs="宋体"/>
          <w:sz w:val="21"/>
          <w:szCs w:val="21"/>
        </w:rPr>
        <w:t>1.2.10</w:t>
      </w:r>
      <w:r>
        <w:rPr>
          <w:rFonts w:hint="eastAsia" w:ascii="宋体" w:cs="宋体"/>
          <w:sz w:val="21"/>
          <w:szCs w:val="21"/>
        </w:rPr>
        <w:t>对乙方承包范围的施工用电负有全部管理责任。</w:t>
      </w:r>
      <w:r>
        <w:rPr>
          <w:rFonts w:ascii="宋体" w:cs="宋体"/>
          <w:sz w:val="21"/>
          <w:szCs w:val="21"/>
        </w:rPr>
        <w:t>B</w:t>
      </w:r>
      <w:r>
        <w:rPr>
          <w:rFonts w:hint="eastAsia" w:ascii="宋体" w:cs="宋体"/>
          <w:sz w:val="21"/>
          <w:szCs w:val="21"/>
        </w:rPr>
        <w:t>级配电箱以下部分必须符合有关安全用电标准。</w:t>
      </w:r>
    </w:p>
    <w:p>
      <w:pPr>
        <w:ind w:firstLine="315" w:firstLineChars="150"/>
        <w:jc w:val="left"/>
        <w:textAlignment w:val="auto"/>
        <w:rPr>
          <w:rFonts w:ascii="宋体" w:cs="宋体"/>
          <w:sz w:val="21"/>
          <w:szCs w:val="21"/>
        </w:rPr>
      </w:pPr>
      <w:r>
        <w:rPr>
          <w:rFonts w:ascii="宋体" w:cs="宋体"/>
          <w:sz w:val="21"/>
          <w:szCs w:val="21"/>
        </w:rPr>
        <w:t>1.2.11</w:t>
      </w:r>
      <w:r>
        <w:rPr>
          <w:rFonts w:hint="eastAsia" w:ascii="宋体" w:cs="宋体"/>
          <w:sz w:val="21"/>
          <w:szCs w:val="21"/>
        </w:rPr>
        <w:t>在施工期间所使用的各种设备及工用具等均应符合施工要求。对乙方自行携带和使用的机械设备负有安全管理和维护保养的责任，并符合政府有关安全标准。使（租）用大型机械设备时，应在使用前向甲方备案。开工前应对施工机械、工器具及安全防护设施进行一次检查，确保符合安全规定并不超过检验周期。</w:t>
      </w:r>
    </w:p>
    <w:p>
      <w:pPr>
        <w:ind w:firstLine="315" w:firstLineChars="150"/>
        <w:jc w:val="left"/>
        <w:textAlignment w:val="auto"/>
        <w:rPr>
          <w:rFonts w:ascii="宋体" w:cs="宋体"/>
          <w:sz w:val="21"/>
          <w:szCs w:val="21"/>
        </w:rPr>
      </w:pPr>
      <w:r>
        <w:rPr>
          <w:rFonts w:ascii="宋体" w:cs="宋体"/>
          <w:sz w:val="21"/>
          <w:szCs w:val="21"/>
        </w:rPr>
        <w:t>1.2.12</w:t>
      </w:r>
      <w:r>
        <w:rPr>
          <w:rFonts w:hint="eastAsia" w:ascii="宋体" w:cs="宋体"/>
          <w:sz w:val="21"/>
          <w:szCs w:val="21"/>
        </w:rPr>
        <w:t>按照《中华人民共和国安全生产法》和政府有关安全管理规定，及时将《生产安全事故应急救援预案》报甲方备案。</w:t>
      </w:r>
    </w:p>
    <w:p>
      <w:pPr>
        <w:ind w:firstLine="315" w:firstLineChars="150"/>
        <w:jc w:val="left"/>
        <w:textAlignment w:val="auto"/>
        <w:rPr>
          <w:rFonts w:ascii="宋体" w:cs="宋体"/>
          <w:sz w:val="21"/>
          <w:szCs w:val="21"/>
        </w:rPr>
      </w:pPr>
      <w:r>
        <w:rPr>
          <w:rFonts w:ascii="宋体" w:cs="宋体"/>
          <w:sz w:val="21"/>
          <w:szCs w:val="21"/>
        </w:rPr>
        <w:t>1.2.13</w:t>
      </w:r>
      <w:r>
        <w:rPr>
          <w:rFonts w:hint="eastAsia" w:ascii="宋体" w:cs="宋体"/>
          <w:sz w:val="21"/>
          <w:szCs w:val="21"/>
        </w:rPr>
        <w:t>乙方应遵守工程建设安全生产有关管理规定，严格按安全标准组织施工，并随时接受行业安全检查人员依法实施的监督检查，采取必要的安全防护措施，消除事故隐患，有关费用已包含在合同价款中，不再另行计取。由于乙方安全措施不力造成事故的责任和因此发生的费用，由乙方承担。</w:t>
      </w:r>
    </w:p>
    <w:p>
      <w:pPr>
        <w:ind w:firstLine="315" w:firstLineChars="150"/>
        <w:jc w:val="left"/>
        <w:textAlignment w:val="auto"/>
        <w:rPr>
          <w:rFonts w:ascii="宋体" w:cs="宋体"/>
          <w:sz w:val="21"/>
          <w:szCs w:val="21"/>
        </w:rPr>
      </w:pPr>
      <w:r>
        <w:rPr>
          <w:rFonts w:ascii="宋体" w:cs="宋体"/>
          <w:sz w:val="21"/>
          <w:szCs w:val="21"/>
        </w:rPr>
        <w:t>1.2.13.1</w:t>
      </w:r>
      <w:r>
        <w:rPr>
          <w:rFonts w:hint="eastAsia" w:ascii="宋体" w:cs="宋体"/>
          <w:sz w:val="21"/>
          <w:szCs w:val="21"/>
        </w:rPr>
        <w:t>遵守所有适用的安全规则，阻止未经授权的人员进入现场；</w:t>
      </w:r>
    </w:p>
    <w:p>
      <w:pPr>
        <w:ind w:firstLine="315" w:firstLineChars="150"/>
        <w:jc w:val="left"/>
        <w:textAlignment w:val="auto"/>
        <w:rPr>
          <w:rFonts w:ascii="宋体" w:cs="宋体"/>
          <w:sz w:val="21"/>
          <w:szCs w:val="21"/>
        </w:rPr>
      </w:pPr>
      <w:r>
        <w:rPr>
          <w:rFonts w:hint="eastAsia" w:ascii="宋体" w:cs="宋体"/>
          <w:sz w:val="21"/>
          <w:szCs w:val="21"/>
        </w:rPr>
        <w:t>1</w:t>
      </w:r>
      <w:r>
        <w:rPr>
          <w:rFonts w:ascii="宋体" w:cs="宋体"/>
          <w:sz w:val="21"/>
          <w:szCs w:val="21"/>
        </w:rPr>
        <w:t>.2.13.2</w:t>
      </w:r>
      <w:r>
        <w:rPr>
          <w:rFonts w:hint="eastAsia" w:ascii="宋体" w:cs="宋体"/>
          <w:sz w:val="21"/>
          <w:szCs w:val="21"/>
        </w:rPr>
        <w:t>高度重视并照料有权在现场的所有人员的安全；</w:t>
      </w:r>
    </w:p>
    <w:p>
      <w:pPr>
        <w:ind w:firstLine="315" w:firstLineChars="150"/>
        <w:jc w:val="left"/>
        <w:textAlignment w:val="auto"/>
        <w:rPr>
          <w:rFonts w:ascii="宋体" w:cs="宋体"/>
          <w:sz w:val="21"/>
          <w:szCs w:val="21"/>
        </w:rPr>
      </w:pPr>
      <w:r>
        <w:rPr>
          <w:rFonts w:ascii="宋体" w:cs="宋体"/>
          <w:sz w:val="21"/>
          <w:szCs w:val="21"/>
        </w:rPr>
        <w:t>1.2.13.3</w:t>
      </w:r>
      <w:r>
        <w:rPr>
          <w:rFonts w:hint="eastAsia" w:ascii="宋体" w:cs="宋体"/>
          <w:sz w:val="21"/>
          <w:szCs w:val="21"/>
        </w:rPr>
        <w:t>保持现场和清除工程不需要的障碍物，并及时从现场清除运走任何废料、垃圾或不再需要的临时工程，以避免对现场人员造成危险；</w:t>
      </w:r>
    </w:p>
    <w:p>
      <w:pPr>
        <w:ind w:firstLine="210" w:firstLineChars="100"/>
        <w:jc w:val="left"/>
        <w:textAlignment w:val="auto"/>
        <w:rPr>
          <w:rFonts w:ascii="宋体" w:cs="宋体"/>
          <w:sz w:val="21"/>
          <w:szCs w:val="21"/>
        </w:rPr>
      </w:pPr>
      <w:r>
        <w:rPr>
          <w:rFonts w:ascii="宋体" w:cs="宋体"/>
          <w:sz w:val="21"/>
          <w:szCs w:val="21"/>
        </w:rPr>
        <w:t>1.2.13.4</w:t>
      </w:r>
      <w:r>
        <w:rPr>
          <w:rFonts w:hint="eastAsia" w:ascii="宋体" w:cs="宋体"/>
          <w:sz w:val="21"/>
          <w:szCs w:val="21"/>
        </w:rPr>
        <w:t>在按照竣工验收的规定移交前，提供围栏、照明、警告信号、保卫、看守，并保持现</w:t>
      </w:r>
    </w:p>
    <w:p>
      <w:pPr>
        <w:jc w:val="left"/>
        <w:textAlignment w:val="auto"/>
        <w:rPr>
          <w:rFonts w:ascii="宋体" w:cs="宋体"/>
          <w:sz w:val="21"/>
          <w:szCs w:val="21"/>
        </w:rPr>
      </w:pPr>
      <w:r>
        <w:rPr>
          <w:rFonts w:hint="eastAsia" w:ascii="宋体" w:cs="宋体"/>
          <w:sz w:val="21"/>
          <w:szCs w:val="21"/>
        </w:rPr>
        <w:t>场内外清洁；</w:t>
      </w:r>
    </w:p>
    <w:p>
      <w:pPr>
        <w:ind w:firstLine="210" w:firstLineChars="100"/>
        <w:jc w:val="left"/>
        <w:textAlignment w:val="auto"/>
        <w:rPr>
          <w:rFonts w:ascii="宋体" w:cs="宋体"/>
          <w:sz w:val="21"/>
          <w:szCs w:val="21"/>
        </w:rPr>
      </w:pPr>
      <w:r>
        <w:rPr>
          <w:rFonts w:ascii="宋体" w:cs="宋体"/>
          <w:sz w:val="21"/>
          <w:szCs w:val="21"/>
        </w:rPr>
        <w:t>1.2.13.5</w:t>
      </w:r>
      <w:r>
        <w:rPr>
          <w:rFonts w:hint="eastAsia" w:ascii="宋体" w:cs="宋体"/>
          <w:sz w:val="21"/>
          <w:szCs w:val="21"/>
        </w:rPr>
        <w:t>在施工现场制作、张贴、悬挂广告宣传时，应事先征得甲方的同意并符合政府的有关</w:t>
      </w:r>
    </w:p>
    <w:p>
      <w:pPr>
        <w:jc w:val="left"/>
        <w:textAlignment w:val="auto"/>
        <w:rPr>
          <w:rFonts w:ascii="宋体" w:cs="宋体"/>
          <w:sz w:val="21"/>
          <w:szCs w:val="21"/>
        </w:rPr>
      </w:pPr>
      <w:r>
        <w:rPr>
          <w:rFonts w:hint="eastAsia" w:ascii="宋体" w:cs="宋体"/>
          <w:sz w:val="21"/>
          <w:szCs w:val="21"/>
        </w:rPr>
        <w:t>规定。如果因乙方未履行上述职责，致使在本工程实施过程中造成安全质量事故或其它政府罚款，</w:t>
      </w:r>
    </w:p>
    <w:p>
      <w:pPr>
        <w:jc w:val="left"/>
        <w:textAlignment w:val="auto"/>
        <w:rPr>
          <w:rFonts w:ascii="宋体" w:cs="宋体"/>
          <w:sz w:val="21"/>
          <w:szCs w:val="21"/>
        </w:rPr>
      </w:pPr>
      <w:r>
        <w:rPr>
          <w:rFonts w:hint="eastAsia" w:ascii="宋体" w:cs="宋体"/>
          <w:sz w:val="21"/>
          <w:szCs w:val="21"/>
        </w:rPr>
        <w:t>乙方应立即书面报告甲方代表，并承担由此产生的一切责任及所有费用。</w:t>
      </w:r>
    </w:p>
    <w:p>
      <w:pPr>
        <w:ind w:firstLine="315" w:firstLineChars="150"/>
        <w:jc w:val="left"/>
        <w:textAlignment w:val="auto"/>
        <w:rPr>
          <w:rFonts w:ascii="宋体" w:cs="宋体"/>
          <w:sz w:val="21"/>
          <w:szCs w:val="21"/>
        </w:rPr>
      </w:pPr>
      <w:r>
        <w:rPr>
          <w:rFonts w:ascii="宋体" w:cs="宋体"/>
          <w:sz w:val="21"/>
          <w:szCs w:val="21"/>
        </w:rPr>
        <w:t>1.2.14</w:t>
      </w:r>
      <w:r>
        <w:rPr>
          <w:rFonts w:hint="eastAsia" w:ascii="宋体" w:cs="宋体"/>
          <w:sz w:val="21"/>
          <w:szCs w:val="21"/>
        </w:rPr>
        <w:t>乙方应按照国家及相关地区有关现场施工的消防要求于现场配备适量质量合格的灭火</w:t>
      </w:r>
    </w:p>
    <w:p>
      <w:pPr>
        <w:jc w:val="left"/>
        <w:textAlignment w:val="auto"/>
        <w:rPr>
          <w:rFonts w:ascii="宋体" w:cs="宋体"/>
          <w:sz w:val="21"/>
          <w:szCs w:val="21"/>
        </w:rPr>
      </w:pPr>
      <w:r>
        <w:rPr>
          <w:rFonts w:hint="eastAsia" w:ascii="宋体" w:cs="宋体"/>
          <w:sz w:val="21"/>
          <w:szCs w:val="21"/>
        </w:rPr>
        <w:t>器、消火栓、变压器沙坑等以保证现场消防安全。所有的消防安全措施与责任均由乙方承担，并须达到甲方和有关政府部门的要求。</w:t>
      </w:r>
    </w:p>
    <w:p>
      <w:pPr>
        <w:ind w:firstLine="210" w:firstLineChars="100"/>
        <w:jc w:val="left"/>
        <w:textAlignment w:val="auto"/>
        <w:rPr>
          <w:rFonts w:ascii="宋体" w:cs="宋体"/>
          <w:sz w:val="21"/>
          <w:szCs w:val="21"/>
        </w:rPr>
      </w:pPr>
      <w:r>
        <w:rPr>
          <w:rFonts w:ascii="宋体" w:cs="宋体"/>
          <w:sz w:val="21"/>
          <w:szCs w:val="21"/>
        </w:rPr>
        <w:t>1.2.15</w:t>
      </w:r>
      <w:r>
        <w:rPr>
          <w:rFonts w:hint="eastAsia" w:ascii="宋体" w:cs="宋体"/>
          <w:sz w:val="21"/>
          <w:szCs w:val="21"/>
        </w:rPr>
        <w:t>乙方须遵从并按照政府部门有关施工作业安全、现场安全的条例。在动力设备、输电线</w:t>
      </w:r>
    </w:p>
    <w:p>
      <w:pPr>
        <w:jc w:val="left"/>
        <w:textAlignment w:val="auto"/>
        <w:rPr>
          <w:rFonts w:ascii="宋体" w:cs="宋体"/>
          <w:sz w:val="21"/>
          <w:szCs w:val="21"/>
        </w:rPr>
      </w:pPr>
      <w:r>
        <w:rPr>
          <w:rFonts w:hint="eastAsia" w:ascii="宋体" w:cs="宋体"/>
          <w:sz w:val="21"/>
          <w:szCs w:val="21"/>
        </w:rPr>
        <w:t>路、地下管线、易燃易爆地段以及临街交通要道等重要地点附近施工时乙方应采取必要、特殊的安全防护措施以保证其雇员、现场其他人员及第三者的安全。包括该安全措施的建立及日常维护。在建筑物临边、洞口、交叉、高处等作业地点设置及维护安全防护措施，包括安全护栏、临时封闭隔断等。在进行爆破、有毒有害等高危作业时，乙方应该采取的必要、特殊的安全防护措施以保证避免发生任何意外。</w:t>
      </w:r>
    </w:p>
    <w:p>
      <w:pPr>
        <w:ind w:firstLine="210" w:firstLineChars="100"/>
        <w:jc w:val="left"/>
        <w:textAlignment w:val="auto"/>
        <w:rPr>
          <w:rFonts w:ascii="宋体" w:cs="宋体"/>
          <w:sz w:val="21"/>
          <w:szCs w:val="21"/>
        </w:rPr>
      </w:pPr>
      <w:r>
        <w:rPr>
          <w:rFonts w:ascii="宋体" w:cs="宋体"/>
          <w:sz w:val="21"/>
          <w:szCs w:val="21"/>
        </w:rPr>
        <w:t>1.2.16</w:t>
      </w:r>
      <w:r>
        <w:rPr>
          <w:rFonts w:hint="eastAsia" w:ascii="宋体" w:cs="宋体"/>
          <w:sz w:val="21"/>
          <w:szCs w:val="21"/>
        </w:rPr>
        <w:t>其他安全施工环境创建与保持。按工程项目当地政府安全施工要求可能增加的其他措施</w:t>
      </w:r>
    </w:p>
    <w:p>
      <w:pPr>
        <w:jc w:val="left"/>
        <w:textAlignment w:val="auto"/>
        <w:rPr>
          <w:rFonts w:ascii="宋体" w:cs="宋体"/>
          <w:sz w:val="21"/>
          <w:szCs w:val="21"/>
        </w:rPr>
      </w:pPr>
      <w:r>
        <w:rPr>
          <w:rFonts w:hint="eastAsia" w:ascii="宋体" w:cs="宋体"/>
          <w:sz w:val="21"/>
          <w:szCs w:val="21"/>
        </w:rPr>
        <w:t>及费用。如在工地内各通道的安全照明；为其雇员提供和保持一切所需的安全防护衣物和设备；按政府部门要求在日间和夜间挂起旗帜、讯号和标记，保障行人的安全等。</w:t>
      </w:r>
    </w:p>
    <w:p>
      <w:pPr>
        <w:ind w:firstLine="210" w:firstLineChars="100"/>
        <w:jc w:val="left"/>
        <w:textAlignment w:val="auto"/>
        <w:rPr>
          <w:rFonts w:ascii="宋体" w:cs="宋体"/>
          <w:sz w:val="21"/>
          <w:szCs w:val="21"/>
        </w:rPr>
      </w:pPr>
      <w:r>
        <w:rPr>
          <w:rFonts w:ascii="宋体" w:cs="宋体"/>
          <w:sz w:val="21"/>
          <w:szCs w:val="21"/>
        </w:rPr>
        <w:t>1.2.15</w:t>
      </w:r>
      <w:r>
        <w:rPr>
          <w:rFonts w:hint="eastAsia" w:ascii="宋体" w:cs="宋体"/>
          <w:sz w:val="21"/>
          <w:szCs w:val="21"/>
        </w:rPr>
        <w:t>乙方在动力设备、输电线路、地下管道、密封防震车间、易燃易爆地段以及临街交通要</w:t>
      </w:r>
    </w:p>
    <w:p>
      <w:pPr>
        <w:jc w:val="left"/>
        <w:textAlignment w:val="auto"/>
        <w:rPr>
          <w:rFonts w:ascii="宋体" w:cs="宋体"/>
          <w:sz w:val="21"/>
          <w:szCs w:val="21"/>
        </w:rPr>
      </w:pPr>
      <w:r>
        <w:rPr>
          <w:rFonts w:hint="eastAsia" w:ascii="宋体" w:cs="宋体"/>
          <w:sz w:val="21"/>
          <w:szCs w:val="21"/>
        </w:rPr>
        <w:t>道附近施工时，施工开始前应向监理方提出安全防护措施，经监理方认可后实施，有关费用已包含在合同价款中。</w:t>
      </w:r>
    </w:p>
    <w:p>
      <w:pPr>
        <w:ind w:firstLine="210" w:firstLineChars="100"/>
        <w:jc w:val="left"/>
        <w:textAlignment w:val="auto"/>
        <w:rPr>
          <w:rFonts w:ascii="宋体" w:cs="宋体"/>
          <w:sz w:val="21"/>
          <w:szCs w:val="21"/>
        </w:rPr>
      </w:pPr>
      <w:r>
        <w:rPr>
          <w:rFonts w:ascii="宋体" w:cs="宋体"/>
          <w:sz w:val="21"/>
          <w:szCs w:val="21"/>
        </w:rPr>
        <w:t>1.2.16</w:t>
      </w:r>
      <w:r>
        <w:rPr>
          <w:rFonts w:hint="eastAsia" w:ascii="宋体" w:cs="宋体"/>
          <w:sz w:val="21"/>
          <w:szCs w:val="21"/>
        </w:rPr>
        <w:t>实施爆破作业，在放射、毒害性环境中施工（含储存、运输、使用）及使用毒害性、腐</w:t>
      </w:r>
    </w:p>
    <w:p>
      <w:pPr>
        <w:jc w:val="left"/>
        <w:textAlignment w:val="auto"/>
        <w:rPr>
          <w:rFonts w:ascii="宋体" w:cs="宋体"/>
          <w:sz w:val="21"/>
          <w:szCs w:val="21"/>
        </w:rPr>
      </w:pPr>
      <w:r>
        <w:rPr>
          <w:rFonts w:hint="eastAsia" w:ascii="宋体" w:cs="宋体"/>
          <w:sz w:val="21"/>
          <w:szCs w:val="21"/>
        </w:rPr>
        <w:t>蚀性物品施工时，乙方应在施工前</w:t>
      </w:r>
      <w:r>
        <w:rPr>
          <w:rFonts w:ascii="宋体" w:cs="宋体"/>
          <w:sz w:val="21"/>
          <w:szCs w:val="21"/>
        </w:rPr>
        <w:t>14</w:t>
      </w:r>
      <w:r>
        <w:rPr>
          <w:rFonts w:hint="eastAsia" w:ascii="宋体" w:cs="宋体"/>
          <w:sz w:val="21"/>
          <w:szCs w:val="21"/>
        </w:rPr>
        <w:t>天以书面通知监理方，并提出相应的安全防护措施，经监理方认可后实施，有关费用已包含在合同价款中。</w:t>
      </w:r>
    </w:p>
    <w:p>
      <w:pPr>
        <w:jc w:val="left"/>
        <w:textAlignment w:val="auto"/>
        <w:rPr>
          <w:rFonts w:ascii="宋体" w:cs="宋体"/>
          <w:sz w:val="21"/>
          <w:szCs w:val="21"/>
        </w:rPr>
      </w:pPr>
      <w:r>
        <w:rPr>
          <w:rFonts w:ascii="宋体" w:cs="宋体"/>
          <w:sz w:val="21"/>
          <w:szCs w:val="21"/>
        </w:rPr>
        <w:t>1.3</w:t>
      </w:r>
      <w:r>
        <w:rPr>
          <w:rFonts w:hint="eastAsia" w:ascii="宋体" w:cs="宋体"/>
          <w:sz w:val="21"/>
          <w:szCs w:val="21"/>
        </w:rPr>
        <w:t>承担事故的责任</w:t>
      </w:r>
    </w:p>
    <w:p>
      <w:pPr>
        <w:ind w:firstLine="210" w:firstLineChars="100"/>
        <w:jc w:val="left"/>
        <w:textAlignment w:val="auto"/>
        <w:rPr>
          <w:rFonts w:ascii="宋体" w:cs="宋体"/>
          <w:sz w:val="21"/>
          <w:szCs w:val="21"/>
        </w:rPr>
      </w:pPr>
      <w:r>
        <w:rPr>
          <w:rFonts w:ascii="宋体" w:cs="宋体"/>
          <w:sz w:val="21"/>
          <w:szCs w:val="21"/>
        </w:rPr>
        <w:t>1.3.1</w:t>
      </w:r>
      <w:r>
        <w:rPr>
          <w:rFonts w:hint="eastAsia" w:ascii="宋体" w:cs="宋体"/>
          <w:sz w:val="21"/>
          <w:szCs w:val="21"/>
        </w:rPr>
        <w:t>由于乙方责任造成生产安全事故，导致甲方或第三方人员伤亡时，由乙方承担事故责任和经济责任。</w:t>
      </w:r>
    </w:p>
    <w:p>
      <w:pPr>
        <w:ind w:firstLine="210" w:firstLineChars="100"/>
        <w:jc w:val="left"/>
        <w:textAlignment w:val="auto"/>
        <w:rPr>
          <w:rFonts w:ascii="宋体" w:cs="宋体"/>
          <w:sz w:val="21"/>
          <w:szCs w:val="21"/>
        </w:rPr>
      </w:pPr>
      <w:r>
        <w:rPr>
          <w:rFonts w:ascii="宋体" w:cs="宋体"/>
          <w:sz w:val="21"/>
          <w:szCs w:val="21"/>
        </w:rPr>
        <w:t>1.3.2</w:t>
      </w:r>
      <w:r>
        <w:rPr>
          <w:rFonts w:hint="eastAsia" w:ascii="宋体" w:cs="宋体"/>
          <w:sz w:val="21"/>
          <w:szCs w:val="21"/>
        </w:rPr>
        <w:t>由于甲方责任或第三方责任造成生产安全事故，乙方有义务负责协助处理善后事宜。</w:t>
      </w:r>
    </w:p>
    <w:p>
      <w:pPr>
        <w:ind w:firstLine="210" w:firstLineChars="100"/>
        <w:jc w:val="left"/>
        <w:textAlignment w:val="auto"/>
        <w:rPr>
          <w:rFonts w:ascii="宋体" w:cs="宋体"/>
          <w:sz w:val="21"/>
          <w:szCs w:val="21"/>
        </w:rPr>
      </w:pPr>
      <w:r>
        <w:rPr>
          <w:rFonts w:ascii="宋体" w:cs="宋体"/>
          <w:sz w:val="21"/>
          <w:szCs w:val="21"/>
        </w:rPr>
        <w:t>1.3.3</w:t>
      </w:r>
      <w:r>
        <w:rPr>
          <w:rFonts w:hint="eastAsia" w:ascii="宋体" w:cs="宋体"/>
          <w:sz w:val="21"/>
          <w:szCs w:val="21"/>
        </w:rPr>
        <w:t>由于双方责任造成的生产安全事故，根据政府有关部门的责任划分承担相应的事故责任和经济责任。</w:t>
      </w:r>
    </w:p>
    <w:p>
      <w:pPr>
        <w:ind w:firstLine="210" w:firstLineChars="100"/>
        <w:jc w:val="left"/>
        <w:textAlignment w:val="auto"/>
        <w:rPr>
          <w:rFonts w:ascii="宋体" w:cs="宋体"/>
          <w:sz w:val="21"/>
          <w:szCs w:val="21"/>
        </w:rPr>
      </w:pPr>
      <w:r>
        <w:rPr>
          <w:rFonts w:ascii="宋体" w:cs="宋体"/>
          <w:sz w:val="21"/>
          <w:szCs w:val="21"/>
        </w:rPr>
        <w:t>1.3.4</w:t>
      </w:r>
      <w:r>
        <w:rPr>
          <w:rFonts w:hint="eastAsia" w:ascii="宋体" w:cs="宋体"/>
          <w:sz w:val="21"/>
          <w:szCs w:val="21"/>
        </w:rPr>
        <w:t>发生生产安全事故后，要先抢救人员生命并保护现场，必须在</w:t>
      </w:r>
      <w:r>
        <w:rPr>
          <w:rFonts w:ascii="宋体" w:cs="宋体"/>
          <w:sz w:val="21"/>
          <w:szCs w:val="21"/>
        </w:rPr>
        <w:t>30</w:t>
      </w:r>
      <w:r>
        <w:rPr>
          <w:rFonts w:hint="eastAsia" w:ascii="宋体" w:cs="宋体"/>
          <w:sz w:val="21"/>
          <w:szCs w:val="21"/>
        </w:rPr>
        <w:t>分钟内向甲方报告，并按照政府有关规定向有关主管部门报告。迟报或者隐瞒不报生产安全事故，承担事故的全部责任。</w:t>
      </w:r>
    </w:p>
    <w:p>
      <w:pPr>
        <w:ind w:firstLine="210" w:firstLineChars="100"/>
        <w:jc w:val="left"/>
        <w:textAlignment w:val="auto"/>
        <w:rPr>
          <w:rFonts w:ascii="宋体" w:cs="宋体"/>
          <w:sz w:val="21"/>
          <w:szCs w:val="21"/>
        </w:rPr>
      </w:pPr>
      <w:r>
        <w:rPr>
          <w:rFonts w:ascii="宋体" w:cs="宋体"/>
          <w:sz w:val="21"/>
          <w:szCs w:val="21"/>
        </w:rPr>
        <w:t>1.3.5</w:t>
      </w:r>
      <w:r>
        <w:rPr>
          <w:rFonts w:hint="eastAsia" w:ascii="宋体" w:cs="宋体"/>
          <w:sz w:val="21"/>
          <w:szCs w:val="21"/>
        </w:rPr>
        <w:t>乙方应依法为其施工现场作业人员办理意外伤害保险或工伤保险。</w:t>
      </w:r>
    </w:p>
    <w:p>
      <w:pPr>
        <w:jc w:val="left"/>
        <w:textAlignment w:val="auto"/>
        <w:rPr>
          <w:rFonts w:ascii="宋体" w:cs="宋体"/>
          <w:sz w:val="21"/>
          <w:szCs w:val="21"/>
        </w:rPr>
      </w:pPr>
      <w:r>
        <w:rPr>
          <w:rFonts w:ascii="宋体" w:cs="宋体"/>
          <w:sz w:val="21"/>
          <w:szCs w:val="21"/>
        </w:rPr>
        <w:t>1.4</w:t>
      </w:r>
      <w:r>
        <w:rPr>
          <w:rFonts w:hint="eastAsia" w:ascii="宋体" w:cs="宋体"/>
          <w:sz w:val="21"/>
          <w:szCs w:val="21"/>
        </w:rPr>
        <w:t>安全施工处罚条例</w:t>
      </w:r>
    </w:p>
    <w:p>
      <w:pPr>
        <w:ind w:firstLine="315" w:firstLineChars="150"/>
        <w:jc w:val="left"/>
        <w:textAlignment w:val="auto"/>
        <w:rPr>
          <w:rFonts w:ascii="宋体" w:cs="宋体"/>
          <w:sz w:val="21"/>
          <w:szCs w:val="21"/>
        </w:rPr>
      </w:pPr>
      <w:r>
        <w:rPr>
          <w:rFonts w:ascii="宋体" w:cs="宋体"/>
          <w:sz w:val="21"/>
          <w:szCs w:val="21"/>
        </w:rPr>
        <w:t>1.4.1</w:t>
      </w:r>
      <w:r>
        <w:rPr>
          <w:rFonts w:hint="eastAsia" w:ascii="宋体" w:cs="宋体"/>
          <w:sz w:val="21"/>
          <w:szCs w:val="21"/>
        </w:rPr>
        <w:t>乙方要对所有进入施工现场人员，上岗前进行安全教育，针对各工种安全技术操作规程进行培训，做好安全技术交底和书面记录，无书面记录的罚款</w:t>
      </w:r>
      <w:r>
        <w:rPr>
          <w:rFonts w:ascii="宋体" w:cs="宋体"/>
          <w:sz w:val="21"/>
          <w:szCs w:val="21"/>
        </w:rPr>
        <w:t>500</w:t>
      </w:r>
      <w:r>
        <w:rPr>
          <w:rFonts w:hint="eastAsia" w:ascii="宋体" w:cs="宋体"/>
          <w:sz w:val="21"/>
          <w:szCs w:val="21"/>
        </w:rPr>
        <w:t>元。</w:t>
      </w:r>
    </w:p>
    <w:p>
      <w:pPr>
        <w:ind w:firstLine="210" w:firstLineChars="100"/>
        <w:jc w:val="left"/>
        <w:textAlignment w:val="auto"/>
        <w:rPr>
          <w:rFonts w:ascii="宋体" w:cs="宋体"/>
          <w:sz w:val="21"/>
          <w:szCs w:val="21"/>
        </w:rPr>
      </w:pPr>
      <w:r>
        <w:rPr>
          <w:rFonts w:ascii="宋体" w:cs="宋体"/>
          <w:sz w:val="21"/>
          <w:szCs w:val="21"/>
        </w:rPr>
        <w:t>1.4.2</w:t>
      </w:r>
      <w:r>
        <w:rPr>
          <w:rFonts w:hint="eastAsia" w:ascii="宋体" w:cs="宋体"/>
          <w:sz w:val="21"/>
          <w:szCs w:val="21"/>
        </w:rPr>
        <w:t>施工作业人员进入现场必须要戴好安全帽，凡发现在施工现场不戴安全帽者，每人每次罚款人民币</w:t>
      </w:r>
      <w:r>
        <w:rPr>
          <w:rFonts w:ascii="宋体" w:cs="宋体"/>
          <w:sz w:val="21"/>
          <w:szCs w:val="21"/>
        </w:rPr>
        <w:t>50</w:t>
      </w:r>
      <w:r>
        <w:rPr>
          <w:rFonts w:hint="eastAsia" w:ascii="宋体" w:cs="宋体"/>
          <w:sz w:val="21"/>
          <w:szCs w:val="21"/>
        </w:rPr>
        <w:t>元。</w:t>
      </w:r>
    </w:p>
    <w:p>
      <w:pPr>
        <w:ind w:firstLine="210" w:firstLineChars="100"/>
        <w:jc w:val="left"/>
        <w:textAlignment w:val="auto"/>
        <w:rPr>
          <w:rFonts w:ascii="宋体" w:cs="宋体"/>
          <w:sz w:val="21"/>
          <w:szCs w:val="21"/>
        </w:rPr>
      </w:pPr>
      <w:r>
        <w:rPr>
          <w:rFonts w:ascii="宋体" w:cs="宋体"/>
          <w:sz w:val="21"/>
          <w:szCs w:val="21"/>
        </w:rPr>
        <w:t>1.4.3</w:t>
      </w:r>
      <w:r>
        <w:rPr>
          <w:rFonts w:hint="eastAsia" w:ascii="宋体" w:cs="宋体"/>
          <w:sz w:val="21"/>
          <w:szCs w:val="21"/>
        </w:rPr>
        <w:t>对于“四口五临边”做到“有洞必盖、有边必有栏”的防护措施，并配置醒目警告标志，</w:t>
      </w:r>
    </w:p>
    <w:p>
      <w:pPr>
        <w:jc w:val="left"/>
        <w:textAlignment w:val="auto"/>
        <w:rPr>
          <w:rFonts w:ascii="宋体" w:cs="宋体"/>
          <w:sz w:val="21"/>
          <w:szCs w:val="21"/>
        </w:rPr>
      </w:pPr>
      <w:r>
        <w:rPr>
          <w:rFonts w:hint="eastAsia" w:ascii="宋体" w:cs="宋体"/>
          <w:sz w:val="21"/>
          <w:szCs w:val="21"/>
        </w:rPr>
        <w:t>无防护措施者罚款</w:t>
      </w:r>
      <w:r>
        <w:rPr>
          <w:rFonts w:ascii="宋体" w:cs="宋体"/>
          <w:sz w:val="21"/>
          <w:szCs w:val="21"/>
        </w:rPr>
        <w:t>1000</w:t>
      </w:r>
      <w:r>
        <w:rPr>
          <w:rFonts w:hint="eastAsia" w:ascii="宋体" w:cs="宋体"/>
          <w:sz w:val="21"/>
          <w:szCs w:val="21"/>
        </w:rPr>
        <w:t>元，无警告标志罚款</w:t>
      </w:r>
      <w:r>
        <w:rPr>
          <w:rFonts w:ascii="宋体" w:cs="宋体"/>
          <w:sz w:val="21"/>
          <w:szCs w:val="21"/>
        </w:rPr>
        <w:t>100</w:t>
      </w:r>
      <w:r>
        <w:rPr>
          <w:rFonts w:hint="eastAsia" w:ascii="宋体" w:cs="宋体"/>
          <w:sz w:val="21"/>
          <w:szCs w:val="21"/>
        </w:rPr>
        <w:t>元。</w:t>
      </w:r>
    </w:p>
    <w:p>
      <w:pPr>
        <w:ind w:firstLine="315" w:firstLineChars="150"/>
        <w:jc w:val="left"/>
        <w:textAlignment w:val="auto"/>
        <w:rPr>
          <w:rFonts w:ascii="宋体" w:cs="宋体"/>
          <w:sz w:val="21"/>
          <w:szCs w:val="21"/>
        </w:rPr>
      </w:pPr>
      <w:r>
        <w:rPr>
          <w:rFonts w:ascii="宋体" w:cs="宋体"/>
          <w:sz w:val="21"/>
          <w:szCs w:val="21"/>
        </w:rPr>
        <w:t>1.4.4</w:t>
      </w:r>
      <w:r>
        <w:rPr>
          <w:rFonts w:hint="eastAsia" w:ascii="宋体" w:cs="宋体"/>
          <w:sz w:val="21"/>
          <w:szCs w:val="21"/>
        </w:rPr>
        <w:t>施工用电按</w:t>
      </w:r>
      <w:r>
        <w:rPr>
          <w:rFonts w:ascii="宋体" w:cs="宋体"/>
          <w:sz w:val="21"/>
          <w:szCs w:val="21"/>
        </w:rPr>
        <w:t>JGJ46-88</w:t>
      </w:r>
      <w:r>
        <w:rPr>
          <w:rFonts w:hint="eastAsia" w:ascii="宋体" w:cs="宋体"/>
          <w:sz w:val="21"/>
          <w:szCs w:val="21"/>
        </w:rPr>
        <w:t>《施工现场临时用电安全技术规范》施工，现场电缆线必须穿管埋设或架空敷设。对易触及或接近带电体的地方均采用绝缘保护和安全隔离措施。现场夜间施工时，施工通道保证有足够高度的夜间照明灯，现场有电工值班巡视。</w:t>
      </w:r>
    </w:p>
    <w:p>
      <w:pPr>
        <w:ind w:firstLine="210" w:firstLineChars="100"/>
        <w:jc w:val="left"/>
        <w:textAlignment w:val="auto"/>
        <w:rPr>
          <w:rFonts w:ascii="宋体" w:cs="宋体"/>
          <w:sz w:val="21"/>
          <w:szCs w:val="21"/>
        </w:rPr>
      </w:pPr>
      <w:r>
        <w:rPr>
          <w:rFonts w:ascii="宋体" w:cs="宋体"/>
          <w:sz w:val="21"/>
          <w:szCs w:val="21"/>
        </w:rPr>
        <w:t>1.4.5</w:t>
      </w:r>
      <w:r>
        <w:rPr>
          <w:rFonts w:hint="eastAsia" w:ascii="宋体" w:cs="宋体"/>
          <w:sz w:val="21"/>
          <w:szCs w:val="21"/>
        </w:rPr>
        <w:t>特殊工种按</w:t>
      </w:r>
      <w:r>
        <w:rPr>
          <w:rFonts w:ascii="宋体" w:cs="宋体"/>
          <w:sz w:val="21"/>
          <w:szCs w:val="21"/>
        </w:rPr>
        <w:t>G35306</w:t>
      </w:r>
      <w:r>
        <w:rPr>
          <w:rFonts w:hint="eastAsia" w:ascii="宋体" w:cs="宋体"/>
          <w:sz w:val="21"/>
          <w:szCs w:val="21"/>
        </w:rPr>
        <w:t>—</w:t>
      </w:r>
      <w:r>
        <w:rPr>
          <w:rFonts w:ascii="宋体" w:cs="宋体"/>
          <w:sz w:val="21"/>
          <w:szCs w:val="21"/>
        </w:rPr>
        <w:t>85</w:t>
      </w:r>
      <w:r>
        <w:rPr>
          <w:rFonts w:hint="eastAsia" w:ascii="宋体" w:cs="宋体"/>
          <w:sz w:val="21"/>
          <w:szCs w:val="21"/>
        </w:rPr>
        <w:t>，特殊技术安全部分检查验收合格后方可挂牌使用。脚手架搭、拆过程中，须有专人监护，设置一道安全警戒线，由专业架子工负责搭、拆。违者立即停工整改，并提出书面警告，罚款</w:t>
      </w:r>
      <w:r>
        <w:rPr>
          <w:rFonts w:ascii="宋体" w:cs="宋体"/>
          <w:sz w:val="21"/>
          <w:szCs w:val="21"/>
        </w:rPr>
        <w:t>1000</w:t>
      </w:r>
      <w:r>
        <w:rPr>
          <w:rFonts w:hint="eastAsia" w:ascii="宋体" w:cs="宋体"/>
          <w:sz w:val="21"/>
          <w:szCs w:val="21"/>
        </w:rPr>
        <w:t>元—</w:t>
      </w:r>
      <w:r>
        <w:rPr>
          <w:rFonts w:ascii="宋体" w:cs="宋体"/>
          <w:sz w:val="21"/>
          <w:szCs w:val="21"/>
        </w:rPr>
        <w:t>5000</w:t>
      </w:r>
      <w:r>
        <w:rPr>
          <w:rFonts w:hint="eastAsia" w:ascii="宋体" w:cs="宋体"/>
          <w:sz w:val="21"/>
          <w:szCs w:val="21"/>
        </w:rPr>
        <w:t>元。</w:t>
      </w:r>
    </w:p>
    <w:p>
      <w:pPr>
        <w:ind w:firstLine="210" w:firstLineChars="100"/>
        <w:jc w:val="left"/>
        <w:textAlignment w:val="auto"/>
        <w:rPr>
          <w:rFonts w:ascii="宋体" w:cs="宋体"/>
          <w:sz w:val="21"/>
          <w:szCs w:val="21"/>
        </w:rPr>
      </w:pPr>
      <w:r>
        <w:rPr>
          <w:rFonts w:ascii="宋体" w:cs="宋体"/>
          <w:sz w:val="21"/>
          <w:szCs w:val="21"/>
        </w:rPr>
        <w:t>1.4.6</w:t>
      </w:r>
      <w:r>
        <w:rPr>
          <w:rFonts w:hint="eastAsia" w:ascii="宋体" w:cs="宋体"/>
          <w:sz w:val="21"/>
          <w:szCs w:val="21"/>
        </w:rPr>
        <w:t>工地应配备齐全的防火器材，否则酌情给予罚款</w:t>
      </w:r>
      <w:r>
        <w:rPr>
          <w:rFonts w:ascii="宋体" w:cs="宋体"/>
          <w:sz w:val="21"/>
          <w:szCs w:val="21"/>
        </w:rPr>
        <w:t>500</w:t>
      </w:r>
      <w:r>
        <w:rPr>
          <w:rFonts w:hint="eastAsia" w:ascii="宋体" w:cs="宋体"/>
          <w:sz w:val="21"/>
          <w:szCs w:val="21"/>
        </w:rPr>
        <w:t>元—</w:t>
      </w:r>
      <w:r>
        <w:rPr>
          <w:rFonts w:ascii="宋体" w:cs="宋体"/>
          <w:sz w:val="21"/>
          <w:szCs w:val="21"/>
        </w:rPr>
        <w:t>1000</w:t>
      </w:r>
      <w:r>
        <w:rPr>
          <w:rFonts w:hint="eastAsia" w:ascii="宋体" w:cs="宋体"/>
          <w:sz w:val="21"/>
          <w:szCs w:val="21"/>
        </w:rPr>
        <w:t>元。</w:t>
      </w:r>
    </w:p>
    <w:p>
      <w:pPr>
        <w:ind w:firstLine="210" w:firstLineChars="100"/>
        <w:jc w:val="left"/>
        <w:textAlignment w:val="auto"/>
        <w:rPr>
          <w:rFonts w:ascii="宋体" w:cs="宋体"/>
          <w:sz w:val="21"/>
          <w:szCs w:val="21"/>
        </w:rPr>
      </w:pPr>
      <w:r>
        <w:rPr>
          <w:rFonts w:ascii="宋体" w:cs="宋体"/>
          <w:sz w:val="21"/>
          <w:szCs w:val="21"/>
        </w:rPr>
        <w:t>1.4.7</w:t>
      </w:r>
      <w:r>
        <w:rPr>
          <w:rFonts w:hint="eastAsia" w:ascii="宋体" w:cs="宋体"/>
          <w:sz w:val="21"/>
          <w:szCs w:val="21"/>
        </w:rPr>
        <w:t>对提出的问题要限时整改，若到期仍未整改，立即停工，并出书面警告，罚款</w:t>
      </w:r>
      <w:r>
        <w:rPr>
          <w:rFonts w:ascii="宋体" w:cs="宋体"/>
          <w:sz w:val="21"/>
          <w:szCs w:val="21"/>
        </w:rPr>
        <w:t>1000</w:t>
      </w:r>
      <w:r>
        <w:rPr>
          <w:rFonts w:hint="eastAsia" w:ascii="宋体" w:cs="宋体"/>
          <w:sz w:val="21"/>
          <w:szCs w:val="21"/>
        </w:rPr>
        <w:t>元—</w:t>
      </w:r>
      <w:r>
        <w:rPr>
          <w:rFonts w:ascii="宋体" w:cs="宋体"/>
          <w:sz w:val="21"/>
          <w:szCs w:val="21"/>
        </w:rPr>
        <w:t>5000</w:t>
      </w:r>
      <w:r>
        <w:rPr>
          <w:rFonts w:hint="eastAsia" w:ascii="宋体" w:cs="宋体"/>
          <w:sz w:val="21"/>
          <w:szCs w:val="21"/>
        </w:rPr>
        <w:t>元。</w:t>
      </w:r>
    </w:p>
    <w:p>
      <w:pPr>
        <w:ind w:firstLine="315" w:firstLineChars="150"/>
        <w:jc w:val="left"/>
        <w:textAlignment w:val="auto"/>
        <w:rPr>
          <w:rFonts w:ascii="宋体" w:cs="宋体"/>
          <w:sz w:val="21"/>
          <w:szCs w:val="21"/>
        </w:rPr>
      </w:pPr>
      <w:r>
        <w:rPr>
          <w:rFonts w:ascii="宋体" w:cs="宋体"/>
          <w:sz w:val="21"/>
          <w:szCs w:val="21"/>
        </w:rPr>
        <w:t>1.4.8</w:t>
      </w:r>
      <w:r>
        <w:rPr>
          <w:rFonts w:hint="eastAsia" w:ascii="宋体" w:cs="宋体"/>
          <w:sz w:val="21"/>
          <w:szCs w:val="21"/>
        </w:rPr>
        <w:t>发生安全事故，必须按“三不放过”的原则认真查处，并立即采取有效的防范措施，及时按事故规程上报，否则罚款</w:t>
      </w:r>
      <w:r>
        <w:rPr>
          <w:rFonts w:ascii="宋体" w:cs="宋体"/>
          <w:sz w:val="21"/>
          <w:szCs w:val="21"/>
        </w:rPr>
        <w:t>1000</w:t>
      </w:r>
      <w:r>
        <w:rPr>
          <w:rFonts w:hint="eastAsia" w:ascii="宋体" w:cs="宋体"/>
          <w:sz w:val="21"/>
          <w:szCs w:val="21"/>
        </w:rPr>
        <w:t>元。</w:t>
      </w:r>
    </w:p>
    <w:p>
      <w:pPr>
        <w:ind w:firstLine="210" w:firstLineChars="100"/>
        <w:jc w:val="left"/>
        <w:textAlignment w:val="auto"/>
        <w:rPr>
          <w:rFonts w:ascii="宋体" w:cs="宋体"/>
          <w:sz w:val="21"/>
          <w:szCs w:val="21"/>
        </w:rPr>
      </w:pPr>
      <w:r>
        <w:rPr>
          <w:rFonts w:ascii="宋体" w:cs="宋体"/>
          <w:sz w:val="21"/>
          <w:szCs w:val="21"/>
        </w:rPr>
        <w:t>1.4.9</w:t>
      </w:r>
      <w:r>
        <w:rPr>
          <w:rFonts w:hint="eastAsia" w:ascii="宋体" w:cs="宋体"/>
          <w:sz w:val="21"/>
          <w:szCs w:val="21"/>
        </w:rPr>
        <w:t>进入施工现场不戴安全帽，发现每人每次罚</w:t>
      </w:r>
      <w:r>
        <w:rPr>
          <w:rFonts w:ascii="宋体" w:cs="宋体"/>
          <w:sz w:val="21"/>
          <w:szCs w:val="21"/>
        </w:rPr>
        <w:t>50</w:t>
      </w:r>
      <w:r>
        <w:rPr>
          <w:rFonts w:hint="eastAsia" w:ascii="宋体" w:cs="宋体"/>
          <w:sz w:val="21"/>
          <w:szCs w:val="21"/>
        </w:rPr>
        <w:t>元，高空作业不戴安全带，每人每次罚款</w:t>
      </w:r>
      <w:r>
        <w:rPr>
          <w:rFonts w:ascii="宋体" w:cs="宋体"/>
          <w:sz w:val="21"/>
          <w:szCs w:val="21"/>
        </w:rPr>
        <w:t>100</w:t>
      </w:r>
      <w:r>
        <w:rPr>
          <w:rFonts w:hint="eastAsia" w:ascii="宋体" w:cs="宋体"/>
          <w:sz w:val="21"/>
          <w:szCs w:val="21"/>
        </w:rPr>
        <w:t>元，穿拖鞋进入现场，每人每次罚</w:t>
      </w:r>
      <w:r>
        <w:rPr>
          <w:rFonts w:ascii="宋体" w:cs="宋体"/>
          <w:sz w:val="21"/>
          <w:szCs w:val="21"/>
        </w:rPr>
        <w:t>50</w:t>
      </w:r>
      <w:r>
        <w:rPr>
          <w:rFonts w:hint="eastAsia" w:ascii="宋体" w:cs="宋体"/>
          <w:sz w:val="21"/>
          <w:szCs w:val="21"/>
        </w:rPr>
        <w:t>元，酒后进入现场，每人每次罚款</w:t>
      </w:r>
      <w:r>
        <w:rPr>
          <w:rFonts w:ascii="宋体" w:cs="宋体"/>
          <w:sz w:val="21"/>
          <w:szCs w:val="21"/>
        </w:rPr>
        <w:t>100</w:t>
      </w:r>
      <w:r>
        <w:rPr>
          <w:rFonts w:hint="eastAsia" w:ascii="宋体" w:cs="宋体"/>
          <w:sz w:val="21"/>
          <w:szCs w:val="21"/>
        </w:rPr>
        <w:t>元，如儿童进入现场，当事人每人每次罚款</w:t>
      </w:r>
      <w:r>
        <w:rPr>
          <w:rFonts w:ascii="宋体" w:cs="宋体"/>
          <w:sz w:val="21"/>
          <w:szCs w:val="21"/>
        </w:rPr>
        <w:t>100</w:t>
      </w:r>
      <w:r>
        <w:rPr>
          <w:rFonts w:hint="eastAsia" w:ascii="宋体" w:cs="宋体"/>
          <w:sz w:val="21"/>
          <w:szCs w:val="21"/>
        </w:rPr>
        <w:t>元。</w:t>
      </w:r>
    </w:p>
    <w:p>
      <w:pPr>
        <w:jc w:val="left"/>
        <w:textAlignment w:val="auto"/>
        <w:rPr>
          <w:rFonts w:ascii="宋体" w:cs="宋体"/>
          <w:sz w:val="21"/>
          <w:szCs w:val="21"/>
        </w:rPr>
      </w:pPr>
      <w:r>
        <w:rPr>
          <w:rFonts w:ascii="宋体" w:cs="宋体"/>
          <w:sz w:val="21"/>
          <w:szCs w:val="21"/>
        </w:rPr>
        <w:t>2</w:t>
      </w:r>
      <w:r>
        <w:rPr>
          <w:rFonts w:hint="eastAsia" w:ascii="宋体" w:cs="宋体"/>
          <w:sz w:val="21"/>
          <w:szCs w:val="21"/>
        </w:rPr>
        <w:t>、文明施工</w:t>
      </w:r>
    </w:p>
    <w:p>
      <w:pPr>
        <w:ind w:firstLine="315" w:firstLineChars="150"/>
        <w:jc w:val="left"/>
        <w:textAlignment w:val="auto"/>
        <w:rPr>
          <w:rFonts w:ascii="宋体" w:cs="宋体"/>
          <w:sz w:val="21"/>
          <w:szCs w:val="21"/>
        </w:rPr>
      </w:pPr>
      <w:r>
        <w:rPr>
          <w:rFonts w:ascii="宋体" w:cs="宋体"/>
          <w:sz w:val="21"/>
          <w:szCs w:val="21"/>
        </w:rPr>
        <w:t>2.1</w:t>
      </w:r>
      <w:r>
        <w:rPr>
          <w:rFonts w:hint="eastAsia" w:ascii="宋体" w:cs="宋体"/>
          <w:sz w:val="21"/>
          <w:szCs w:val="21"/>
        </w:rPr>
        <w:t>现场进出口位置设置必须事先得到甲方的认可，但甲方的认可不免除乙方按政府部门指令自费更改进出口的责任。出入口处必须按规定设置洗车设备，包括水枪及洗车槽等，其费用已包括在合同总价中。所有车辆必须于洗车槽清洗后方可离开现场以确保道路清洁。</w:t>
      </w:r>
    </w:p>
    <w:p>
      <w:pPr>
        <w:jc w:val="left"/>
        <w:textAlignment w:val="auto"/>
        <w:rPr>
          <w:rFonts w:ascii="宋体" w:cs="宋体"/>
          <w:sz w:val="21"/>
          <w:szCs w:val="21"/>
        </w:rPr>
      </w:pPr>
      <w:r>
        <w:rPr>
          <w:rFonts w:hint="eastAsia" w:ascii="宋体" w:cs="宋体"/>
          <w:sz w:val="21"/>
          <w:szCs w:val="21"/>
        </w:rPr>
        <w:t>无论施工与否，直至完成整项工程的交付，乙方应在工程现场保留足够的保安员</w:t>
      </w:r>
      <w:r>
        <w:rPr>
          <w:rFonts w:ascii="宋体" w:cs="宋体"/>
          <w:sz w:val="21"/>
          <w:szCs w:val="21"/>
        </w:rPr>
        <w:t>24</w:t>
      </w:r>
      <w:r>
        <w:rPr>
          <w:rFonts w:hint="eastAsia" w:ascii="宋体" w:cs="宋体"/>
          <w:sz w:val="21"/>
          <w:szCs w:val="21"/>
        </w:rPr>
        <w:t>小时保护工程、材料、施工机械等，并采取一切措施以确保未经允许之人不能进入工地范围。乙方将负责保护已完工程，雇用保安员并不意味乙方免于承担工程、材料、配件、施工机械等遭受损失或损坏的责任。</w:t>
      </w:r>
    </w:p>
    <w:p>
      <w:pPr>
        <w:ind w:firstLine="315" w:firstLineChars="150"/>
        <w:jc w:val="left"/>
        <w:textAlignment w:val="auto"/>
        <w:rPr>
          <w:rFonts w:ascii="宋体" w:cs="宋体"/>
          <w:sz w:val="21"/>
          <w:szCs w:val="21"/>
        </w:rPr>
      </w:pPr>
      <w:r>
        <w:rPr>
          <w:rFonts w:ascii="宋体" w:cs="宋体"/>
          <w:sz w:val="21"/>
          <w:szCs w:val="21"/>
        </w:rPr>
        <w:t>2.2</w:t>
      </w:r>
      <w:r>
        <w:rPr>
          <w:rFonts w:hint="eastAsia" w:ascii="宋体" w:cs="宋体"/>
          <w:sz w:val="21"/>
          <w:szCs w:val="21"/>
        </w:rPr>
        <w:t>堆场及加工场地硬化创建与保持。施工单位应按照工程需要对材料堆放及加工场地实施地面硬化措施，硬化标准及范围由甲方确定。现场临时道路、排水沟等设置应符合发包要求；对现场区域进行划分，乙方有义务负责所划分区域的道路、排水沟等的日常清洁工作；乙方负责地面硬化的日常维护，并在发生损坏时负责修复。</w:t>
      </w:r>
    </w:p>
    <w:p>
      <w:pPr>
        <w:ind w:firstLine="315" w:firstLineChars="150"/>
        <w:jc w:val="left"/>
        <w:textAlignment w:val="auto"/>
        <w:rPr>
          <w:rFonts w:ascii="宋体" w:cs="宋体"/>
          <w:sz w:val="21"/>
          <w:szCs w:val="21"/>
        </w:rPr>
      </w:pPr>
      <w:r>
        <w:rPr>
          <w:rFonts w:ascii="宋体" w:cs="宋体"/>
          <w:sz w:val="21"/>
          <w:szCs w:val="21"/>
        </w:rPr>
        <w:t>2.3</w:t>
      </w:r>
      <w:r>
        <w:rPr>
          <w:rFonts w:hint="eastAsia" w:ascii="宋体" w:cs="宋体"/>
          <w:sz w:val="21"/>
          <w:szCs w:val="21"/>
        </w:rPr>
        <w:t>施工区段范围临时围墙创建与保持。乙方应根据施工现场的需要及甲方指示，按照经甲方批准后临时围墙设计方案创建施工区段临时围墙并在发生损坏时负责修复。甲方对围墙方案批准并不代表乙方对临时围墙安全责任的减少。</w:t>
      </w:r>
    </w:p>
    <w:p>
      <w:pPr>
        <w:ind w:firstLine="315" w:firstLineChars="150"/>
        <w:jc w:val="left"/>
        <w:textAlignment w:val="auto"/>
        <w:rPr>
          <w:rFonts w:ascii="宋体" w:cs="宋体"/>
          <w:sz w:val="21"/>
          <w:szCs w:val="21"/>
        </w:rPr>
      </w:pPr>
      <w:r>
        <w:rPr>
          <w:rFonts w:ascii="宋体" w:cs="宋体"/>
          <w:sz w:val="21"/>
          <w:szCs w:val="21"/>
        </w:rPr>
        <w:t>2.4</w:t>
      </w:r>
      <w:r>
        <w:rPr>
          <w:rFonts w:hint="eastAsia" w:ascii="宋体" w:cs="宋体"/>
          <w:sz w:val="21"/>
          <w:szCs w:val="21"/>
        </w:rPr>
        <w:t>垃圾集中收集站设置及保持。乙方应根据施工现场及施工组织设计的需要，在施工现场设置垃圾集中收集站</w:t>
      </w:r>
      <w:r>
        <w:rPr>
          <w:rFonts w:ascii="宋体" w:cs="宋体"/>
          <w:sz w:val="21"/>
          <w:szCs w:val="21"/>
        </w:rPr>
        <w:t>,</w:t>
      </w:r>
      <w:r>
        <w:rPr>
          <w:rFonts w:hint="eastAsia" w:ascii="宋体" w:cs="宋体"/>
          <w:sz w:val="21"/>
          <w:szCs w:val="21"/>
        </w:rPr>
        <w:t>并按时将建筑物室内外的垃圾清理至垃圾集中收集站后统一外运。</w:t>
      </w:r>
    </w:p>
    <w:p>
      <w:pPr>
        <w:ind w:firstLine="315" w:firstLineChars="150"/>
        <w:jc w:val="left"/>
        <w:textAlignment w:val="auto"/>
        <w:rPr>
          <w:rFonts w:ascii="宋体" w:cs="宋体"/>
          <w:sz w:val="21"/>
          <w:szCs w:val="21"/>
        </w:rPr>
      </w:pPr>
      <w:r>
        <w:rPr>
          <w:rFonts w:ascii="宋体" w:cs="宋体"/>
          <w:sz w:val="21"/>
          <w:szCs w:val="21"/>
        </w:rPr>
        <w:t>2.5</w:t>
      </w:r>
      <w:r>
        <w:rPr>
          <w:rFonts w:hint="eastAsia" w:ascii="宋体" w:cs="宋体"/>
          <w:sz w:val="21"/>
          <w:szCs w:val="21"/>
        </w:rPr>
        <w:t>施工垃圾清运。乙方必须清除和搬走在施工过程中产生的所有垃圾（包括工程变更及增加工程产生的垃圾），统一清运至垃圾集中收集站后外运。在任何时候垃圾清运的间隔时间不长于三（</w:t>
      </w:r>
      <w:r>
        <w:rPr>
          <w:rFonts w:ascii="宋体" w:cs="宋体"/>
          <w:sz w:val="21"/>
          <w:szCs w:val="21"/>
        </w:rPr>
        <w:t>3</w:t>
      </w:r>
      <w:r>
        <w:rPr>
          <w:rFonts w:hint="eastAsia" w:ascii="宋体" w:cs="宋体"/>
          <w:sz w:val="21"/>
          <w:szCs w:val="21"/>
        </w:rPr>
        <w:t>）天。</w:t>
      </w:r>
    </w:p>
    <w:p>
      <w:pPr>
        <w:ind w:firstLine="315" w:firstLineChars="150"/>
        <w:jc w:val="left"/>
        <w:textAlignment w:val="auto"/>
        <w:rPr>
          <w:rFonts w:ascii="宋体" w:cs="宋体"/>
          <w:sz w:val="21"/>
          <w:szCs w:val="21"/>
        </w:rPr>
      </w:pPr>
      <w:r>
        <w:rPr>
          <w:rFonts w:ascii="宋体" w:cs="宋体"/>
          <w:sz w:val="21"/>
          <w:szCs w:val="21"/>
        </w:rPr>
        <w:t>2.6</w:t>
      </w:r>
      <w:r>
        <w:rPr>
          <w:rFonts w:hint="eastAsia" w:ascii="宋体" w:cs="宋体"/>
          <w:sz w:val="21"/>
          <w:szCs w:val="21"/>
        </w:rPr>
        <w:t>乙方在施工期间必须保持工地现场施工道路的畅通与整洁，定期清扫施工道路并在有尘埃形成的地方经常洒水。施工道路及施工区入口由乙方负责管理，并指派专人负责现场的清洁卫生。</w:t>
      </w:r>
    </w:p>
    <w:p>
      <w:pPr>
        <w:ind w:firstLine="315" w:firstLineChars="150"/>
        <w:jc w:val="left"/>
        <w:textAlignment w:val="auto"/>
        <w:rPr>
          <w:rFonts w:ascii="宋体" w:cs="宋体"/>
          <w:sz w:val="21"/>
          <w:szCs w:val="21"/>
        </w:rPr>
      </w:pPr>
      <w:r>
        <w:rPr>
          <w:rFonts w:ascii="宋体" w:cs="宋体"/>
          <w:sz w:val="21"/>
          <w:szCs w:val="21"/>
        </w:rPr>
        <w:t>2.7</w:t>
      </w:r>
      <w:r>
        <w:rPr>
          <w:rFonts w:hint="eastAsia" w:ascii="宋体" w:cs="宋体"/>
          <w:sz w:val="21"/>
          <w:szCs w:val="21"/>
        </w:rPr>
        <w:t>乙方的生活设施，须在施工场地以外区域自行解决，施工现场内一律不准布置工人宿舍（保</w:t>
      </w:r>
    </w:p>
    <w:p>
      <w:pPr>
        <w:jc w:val="left"/>
        <w:textAlignment w:val="auto"/>
        <w:rPr>
          <w:rFonts w:ascii="宋体" w:cs="宋体"/>
          <w:sz w:val="21"/>
          <w:szCs w:val="21"/>
        </w:rPr>
      </w:pPr>
      <w:r>
        <w:rPr>
          <w:rFonts w:hint="eastAsia" w:ascii="宋体" w:cs="宋体"/>
          <w:sz w:val="21"/>
          <w:szCs w:val="21"/>
        </w:rPr>
        <w:t>安、值班人员除外）。</w:t>
      </w:r>
    </w:p>
    <w:p>
      <w:pPr>
        <w:ind w:firstLine="315" w:firstLineChars="150"/>
        <w:jc w:val="left"/>
        <w:textAlignment w:val="auto"/>
        <w:rPr>
          <w:rFonts w:ascii="宋体" w:cs="宋体"/>
          <w:sz w:val="21"/>
          <w:szCs w:val="21"/>
        </w:rPr>
      </w:pPr>
      <w:r>
        <w:rPr>
          <w:rFonts w:ascii="宋体" w:cs="宋体"/>
          <w:sz w:val="21"/>
          <w:szCs w:val="21"/>
        </w:rPr>
        <w:t>2.8</w:t>
      </w:r>
      <w:r>
        <w:rPr>
          <w:rFonts w:hint="eastAsia" w:ascii="宋体" w:cs="宋体"/>
          <w:sz w:val="21"/>
          <w:szCs w:val="21"/>
        </w:rPr>
        <w:t>乙方须与所在村庄和农户积极协调、团结合作，避免发生冲突。若与村庄和农户发生冲突事件，所有责任由乙方与村庄和农户自行协商解决，甲方不负任何责任。</w:t>
      </w:r>
    </w:p>
    <w:p>
      <w:pPr>
        <w:ind w:firstLine="315" w:firstLineChars="150"/>
        <w:jc w:val="left"/>
        <w:textAlignment w:val="auto"/>
        <w:rPr>
          <w:rFonts w:ascii="宋体" w:cs="宋体"/>
          <w:sz w:val="21"/>
          <w:szCs w:val="21"/>
        </w:rPr>
      </w:pPr>
      <w:r>
        <w:rPr>
          <w:rFonts w:ascii="宋体" w:cs="宋体"/>
          <w:sz w:val="21"/>
          <w:szCs w:val="21"/>
        </w:rPr>
        <w:t>2.9</w:t>
      </w:r>
      <w:r>
        <w:rPr>
          <w:rFonts w:hint="eastAsia" w:ascii="宋体" w:cs="宋体"/>
          <w:sz w:val="21"/>
          <w:szCs w:val="21"/>
        </w:rPr>
        <w:t>当乙方不执行或不按规定时间或期限执行甲方关于文明施工的指示，甲方被迫雇用第三人代乙方执行文明施工项目时，所发生的全部费用将从应支付给乙方的任何款项中扣除。</w:t>
      </w:r>
    </w:p>
    <w:p>
      <w:pPr>
        <w:jc w:val="left"/>
        <w:textAlignment w:val="auto"/>
        <w:rPr>
          <w:rFonts w:ascii="宋体" w:cs="宋体"/>
          <w:sz w:val="21"/>
          <w:szCs w:val="21"/>
        </w:rPr>
      </w:pPr>
      <w:r>
        <w:rPr>
          <w:rFonts w:ascii="宋体" w:cs="宋体"/>
          <w:sz w:val="21"/>
          <w:szCs w:val="21"/>
        </w:rPr>
        <w:t>2.10</w:t>
      </w:r>
      <w:r>
        <w:rPr>
          <w:rFonts w:hint="eastAsia" w:ascii="宋体" w:cs="宋体"/>
          <w:sz w:val="21"/>
          <w:szCs w:val="21"/>
        </w:rPr>
        <w:t>文明施工处罚条例</w:t>
      </w:r>
    </w:p>
    <w:p>
      <w:pPr>
        <w:ind w:firstLine="315" w:firstLineChars="150"/>
        <w:jc w:val="left"/>
        <w:textAlignment w:val="auto"/>
        <w:rPr>
          <w:rFonts w:ascii="宋体" w:cs="宋体"/>
          <w:sz w:val="21"/>
          <w:szCs w:val="21"/>
        </w:rPr>
      </w:pPr>
      <w:r>
        <w:rPr>
          <w:rFonts w:ascii="宋体" w:cs="宋体"/>
          <w:sz w:val="21"/>
          <w:szCs w:val="21"/>
        </w:rPr>
        <w:t>2.10.1</w:t>
      </w:r>
      <w:r>
        <w:rPr>
          <w:rFonts w:hint="eastAsia" w:ascii="宋体" w:cs="宋体"/>
          <w:sz w:val="21"/>
          <w:szCs w:val="21"/>
        </w:rPr>
        <w:t>建立健全门卫、外来人员出入登记、货物出入登记制度。本工地施工人员在现场必须佩戴证明其身份的胸卡。施工现场未经甲方批准的人员一律不准住宿。违者罚款</w:t>
      </w:r>
      <w:r>
        <w:rPr>
          <w:rFonts w:ascii="宋体" w:cs="宋体"/>
          <w:sz w:val="21"/>
          <w:szCs w:val="21"/>
        </w:rPr>
        <w:t>50</w:t>
      </w:r>
      <w:r>
        <w:rPr>
          <w:rFonts w:hint="eastAsia" w:ascii="宋体" w:cs="宋体"/>
          <w:sz w:val="21"/>
          <w:szCs w:val="21"/>
        </w:rPr>
        <w:t>元。</w:t>
      </w:r>
    </w:p>
    <w:p>
      <w:pPr>
        <w:ind w:firstLine="315" w:firstLineChars="150"/>
        <w:jc w:val="left"/>
        <w:textAlignment w:val="auto"/>
        <w:rPr>
          <w:rFonts w:ascii="宋体" w:cs="宋体"/>
          <w:sz w:val="21"/>
          <w:szCs w:val="21"/>
        </w:rPr>
      </w:pPr>
      <w:r>
        <w:rPr>
          <w:rFonts w:ascii="宋体" w:cs="宋体"/>
          <w:sz w:val="21"/>
          <w:szCs w:val="21"/>
        </w:rPr>
        <w:t>2.10.2</w:t>
      </w:r>
      <w:r>
        <w:rPr>
          <w:rFonts w:hint="eastAsia" w:ascii="宋体" w:cs="宋体"/>
          <w:sz w:val="21"/>
          <w:szCs w:val="21"/>
        </w:rPr>
        <w:t>在施工前严格按防汛要求，现场周围设置水沟，有系统地把地面水排入沉淀池，经沉淀后的水方能排入河道。防止泥浆、污水、废水直接流入河道。违者罚款</w:t>
      </w:r>
      <w:r>
        <w:rPr>
          <w:rFonts w:ascii="宋体" w:cs="宋体"/>
          <w:sz w:val="21"/>
          <w:szCs w:val="21"/>
        </w:rPr>
        <w:t>500</w:t>
      </w:r>
      <w:r>
        <w:rPr>
          <w:rFonts w:hint="eastAsia" w:ascii="宋体" w:cs="宋体"/>
          <w:sz w:val="21"/>
          <w:szCs w:val="21"/>
        </w:rPr>
        <w:t>元—</w:t>
      </w:r>
      <w:r>
        <w:rPr>
          <w:rFonts w:ascii="宋体" w:cs="宋体"/>
          <w:sz w:val="21"/>
          <w:szCs w:val="21"/>
        </w:rPr>
        <w:t>1000</w:t>
      </w:r>
      <w:r>
        <w:rPr>
          <w:rFonts w:hint="eastAsia" w:ascii="宋体" w:cs="宋体"/>
          <w:sz w:val="21"/>
          <w:szCs w:val="21"/>
        </w:rPr>
        <w:t>元，并负担由此产生的政府相关部门的罚款及责任。</w:t>
      </w:r>
    </w:p>
    <w:p>
      <w:pPr>
        <w:ind w:firstLine="315" w:firstLineChars="150"/>
        <w:jc w:val="left"/>
        <w:textAlignment w:val="auto"/>
        <w:rPr>
          <w:rFonts w:ascii="宋体" w:cs="宋体"/>
          <w:sz w:val="21"/>
          <w:szCs w:val="21"/>
        </w:rPr>
      </w:pPr>
      <w:r>
        <w:rPr>
          <w:rFonts w:ascii="宋体" w:cs="宋体"/>
          <w:sz w:val="21"/>
          <w:szCs w:val="21"/>
        </w:rPr>
        <w:t>2.10.3</w:t>
      </w:r>
      <w:r>
        <w:rPr>
          <w:rFonts w:hint="eastAsia" w:ascii="宋体" w:cs="宋体"/>
          <w:sz w:val="21"/>
          <w:szCs w:val="21"/>
        </w:rPr>
        <w:t>在施工道路接入市政道路前应设排水沟并加盖雨水铁箅子，排水沟两边要设沉淀池，对外出车辆设专人清洗。违者罚款</w:t>
      </w:r>
      <w:r>
        <w:rPr>
          <w:rFonts w:ascii="宋体" w:cs="宋体"/>
          <w:sz w:val="21"/>
          <w:szCs w:val="21"/>
        </w:rPr>
        <w:t>500</w:t>
      </w:r>
      <w:r>
        <w:rPr>
          <w:rFonts w:hint="eastAsia" w:ascii="宋体" w:cs="宋体"/>
          <w:sz w:val="21"/>
          <w:szCs w:val="21"/>
        </w:rPr>
        <w:t>元—</w:t>
      </w:r>
      <w:r>
        <w:rPr>
          <w:rFonts w:ascii="宋体" w:cs="宋体"/>
          <w:sz w:val="21"/>
          <w:szCs w:val="21"/>
        </w:rPr>
        <w:t>1000</w:t>
      </w:r>
      <w:r>
        <w:rPr>
          <w:rFonts w:hint="eastAsia" w:ascii="宋体" w:cs="宋体"/>
          <w:sz w:val="21"/>
          <w:szCs w:val="21"/>
        </w:rPr>
        <w:t>元。</w:t>
      </w:r>
    </w:p>
    <w:p>
      <w:pPr>
        <w:ind w:firstLine="315" w:firstLineChars="150"/>
        <w:jc w:val="left"/>
        <w:textAlignment w:val="auto"/>
        <w:rPr>
          <w:rFonts w:ascii="宋体" w:cs="宋体"/>
          <w:sz w:val="21"/>
          <w:szCs w:val="21"/>
        </w:rPr>
      </w:pPr>
      <w:r>
        <w:rPr>
          <w:rFonts w:ascii="宋体" w:cs="宋体"/>
          <w:sz w:val="21"/>
          <w:szCs w:val="21"/>
        </w:rPr>
        <w:t>2.10.4</w:t>
      </w:r>
      <w:r>
        <w:rPr>
          <w:rFonts w:hint="eastAsia" w:ascii="宋体" w:cs="宋体"/>
          <w:sz w:val="21"/>
          <w:szCs w:val="21"/>
        </w:rPr>
        <w:t>在施工中产生的各类垃圾应按规定地点堆放并及时清运，保证施工区域畅通，平坦、整洁、场地平整无积水，同时保证出入口和道路畅通，如乙方未按指定地点堆放或未及时清理垃圾，则甲方有权在书面告知后另行安排其他单位完成，相关费用另加</w:t>
      </w:r>
      <w:r>
        <w:rPr>
          <w:rFonts w:ascii="宋体" w:cs="宋体"/>
          <w:sz w:val="21"/>
          <w:szCs w:val="21"/>
        </w:rPr>
        <w:t>15%</w:t>
      </w:r>
      <w:r>
        <w:rPr>
          <w:rFonts w:hint="eastAsia" w:ascii="宋体" w:cs="宋体"/>
          <w:sz w:val="21"/>
          <w:szCs w:val="21"/>
        </w:rPr>
        <w:t>管理费由乙方依法承担。</w:t>
      </w:r>
    </w:p>
    <w:p>
      <w:pPr>
        <w:ind w:firstLine="315" w:firstLineChars="150"/>
        <w:jc w:val="left"/>
        <w:textAlignment w:val="auto"/>
        <w:rPr>
          <w:rFonts w:ascii="宋体" w:cs="宋体"/>
          <w:sz w:val="21"/>
          <w:szCs w:val="21"/>
        </w:rPr>
      </w:pPr>
      <w:r>
        <w:rPr>
          <w:rFonts w:ascii="宋体" w:cs="宋体"/>
          <w:sz w:val="21"/>
          <w:szCs w:val="21"/>
        </w:rPr>
        <w:t>2.10.5</w:t>
      </w:r>
      <w:r>
        <w:rPr>
          <w:rFonts w:hint="eastAsia" w:ascii="宋体" w:cs="宋体"/>
          <w:sz w:val="21"/>
          <w:szCs w:val="21"/>
        </w:rPr>
        <w:t>材料堆放要求分类、集中堆放、砌体材料归类成垛，堆放整齐，废料随用随清。</w:t>
      </w:r>
    </w:p>
    <w:p>
      <w:pPr>
        <w:ind w:firstLine="315" w:firstLineChars="150"/>
        <w:jc w:val="left"/>
        <w:textAlignment w:val="auto"/>
        <w:rPr>
          <w:rFonts w:ascii="宋体" w:cs="宋体"/>
          <w:sz w:val="21"/>
          <w:szCs w:val="21"/>
        </w:rPr>
      </w:pPr>
      <w:r>
        <w:rPr>
          <w:rFonts w:ascii="宋体" w:cs="宋体"/>
          <w:sz w:val="21"/>
          <w:szCs w:val="21"/>
        </w:rPr>
        <w:t>2.10.6</w:t>
      </w:r>
      <w:r>
        <w:rPr>
          <w:rFonts w:hint="eastAsia" w:ascii="宋体" w:cs="宋体"/>
          <w:sz w:val="21"/>
          <w:szCs w:val="21"/>
        </w:rPr>
        <w:t>积极采取各种有效的防范措施，降低施工中产生的各种噪音，以免周边居民投诉。</w:t>
      </w:r>
    </w:p>
    <w:p>
      <w:pPr>
        <w:ind w:firstLine="315" w:firstLineChars="150"/>
        <w:jc w:val="left"/>
        <w:textAlignment w:val="auto"/>
        <w:rPr>
          <w:rFonts w:ascii="宋体" w:cs="宋体"/>
          <w:sz w:val="21"/>
          <w:szCs w:val="21"/>
        </w:rPr>
      </w:pPr>
      <w:r>
        <w:rPr>
          <w:rFonts w:ascii="宋体" w:cs="宋体"/>
          <w:sz w:val="21"/>
          <w:szCs w:val="21"/>
        </w:rPr>
        <w:t>2.10.7</w:t>
      </w:r>
      <w:r>
        <w:rPr>
          <w:rFonts w:hint="eastAsia" w:ascii="宋体" w:cs="宋体"/>
          <w:sz w:val="21"/>
          <w:szCs w:val="21"/>
        </w:rPr>
        <w:t>施工区内要设足够的男、女厕所，定期清洁，化粪池定期抽粪，严禁将粪直接排入河道，违者罚款</w:t>
      </w:r>
      <w:r>
        <w:rPr>
          <w:rFonts w:ascii="宋体" w:cs="宋体"/>
          <w:sz w:val="21"/>
          <w:szCs w:val="21"/>
        </w:rPr>
        <w:t>500</w:t>
      </w:r>
      <w:r>
        <w:rPr>
          <w:rFonts w:hint="eastAsia" w:ascii="宋体" w:cs="宋体"/>
          <w:sz w:val="21"/>
          <w:szCs w:val="21"/>
        </w:rPr>
        <w:t>元—</w:t>
      </w:r>
      <w:r>
        <w:rPr>
          <w:rFonts w:ascii="宋体" w:cs="宋体"/>
          <w:sz w:val="21"/>
          <w:szCs w:val="21"/>
        </w:rPr>
        <w:t>1000</w:t>
      </w:r>
      <w:r>
        <w:rPr>
          <w:rFonts w:hint="eastAsia" w:ascii="宋体" w:cs="宋体"/>
          <w:sz w:val="21"/>
          <w:szCs w:val="21"/>
        </w:rPr>
        <w:t>元。</w:t>
      </w:r>
    </w:p>
    <w:p>
      <w:pPr>
        <w:ind w:firstLine="315" w:firstLineChars="150"/>
        <w:jc w:val="left"/>
        <w:textAlignment w:val="auto"/>
        <w:rPr>
          <w:rFonts w:ascii="宋体" w:cs="宋体"/>
          <w:sz w:val="21"/>
          <w:szCs w:val="21"/>
        </w:rPr>
      </w:pPr>
      <w:r>
        <w:rPr>
          <w:rFonts w:ascii="宋体" w:cs="宋体"/>
          <w:sz w:val="21"/>
          <w:szCs w:val="21"/>
        </w:rPr>
        <w:t>2.10.8</w:t>
      </w:r>
      <w:r>
        <w:rPr>
          <w:rFonts w:hint="eastAsia" w:ascii="宋体" w:cs="宋体"/>
          <w:sz w:val="21"/>
          <w:szCs w:val="21"/>
        </w:rPr>
        <w:t>施工期间，服从水利、市政、交警、环卫、卫生防疫站等有关部门的指导工作。</w:t>
      </w:r>
    </w:p>
    <w:p>
      <w:pPr>
        <w:ind w:firstLine="210" w:firstLineChars="100"/>
        <w:jc w:val="left"/>
        <w:textAlignment w:val="auto"/>
        <w:rPr>
          <w:rFonts w:ascii="宋体" w:cs="宋体"/>
          <w:sz w:val="21"/>
          <w:szCs w:val="21"/>
        </w:rPr>
      </w:pPr>
      <w:r>
        <w:rPr>
          <w:rFonts w:ascii="宋体" w:cs="宋体"/>
          <w:sz w:val="21"/>
          <w:szCs w:val="21"/>
        </w:rPr>
        <w:t>2.10.9</w:t>
      </w:r>
      <w:r>
        <w:rPr>
          <w:rFonts w:hint="eastAsia" w:ascii="宋体" w:cs="宋体"/>
          <w:sz w:val="21"/>
          <w:szCs w:val="21"/>
        </w:rPr>
        <w:t>施工区域随便大便者，一经发现，当事人罚款</w:t>
      </w:r>
      <w:r>
        <w:rPr>
          <w:rFonts w:ascii="宋体" w:cs="宋体"/>
          <w:sz w:val="21"/>
          <w:szCs w:val="21"/>
        </w:rPr>
        <w:t>50</w:t>
      </w:r>
      <w:r>
        <w:rPr>
          <w:rFonts w:hint="eastAsia" w:ascii="宋体" w:cs="宋体"/>
          <w:sz w:val="21"/>
          <w:szCs w:val="21"/>
        </w:rPr>
        <w:t>，当事人单位罚</w:t>
      </w:r>
      <w:r>
        <w:rPr>
          <w:rFonts w:ascii="宋体" w:cs="宋体"/>
          <w:sz w:val="21"/>
          <w:szCs w:val="21"/>
        </w:rPr>
        <w:t>100</w:t>
      </w:r>
      <w:r>
        <w:rPr>
          <w:rFonts w:hint="eastAsia" w:ascii="宋体" w:cs="宋体"/>
          <w:sz w:val="21"/>
          <w:szCs w:val="21"/>
        </w:rPr>
        <w:t>元，发现施工现场有大便，处罚相应作业区域责任单位</w:t>
      </w:r>
      <w:r>
        <w:rPr>
          <w:rFonts w:ascii="宋体" w:cs="宋体"/>
          <w:sz w:val="21"/>
          <w:szCs w:val="21"/>
        </w:rPr>
        <w:t>100</w:t>
      </w:r>
      <w:r>
        <w:rPr>
          <w:rFonts w:hint="eastAsia" w:ascii="宋体" w:cs="宋体"/>
          <w:sz w:val="21"/>
          <w:szCs w:val="21"/>
        </w:rPr>
        <w:t>元；发现小便者，当事人罚款</w:t>
      </w:r>
      <w:r>
        <w:rPr>
          <w:rFonts w:ascii="宋体" w:cs="宋体"/>
          <w:sz w:val="21"/>
          <w:szCs w:val="21"/>
        </w:rPr>
        <w:t>50</w:t>
      </w:r>
      <w:r>
        <w:rPr>
          <w:rFonts w:hint="eastAsia" w:ascii="宋体" w:cs="宋体"/>
          <w:sz w:val="21"/>
          <w:szCs w:val="21"/>
        </w:rPr>
        <w:t>元，当事人单位罚</w:t>
      </w:r>
      <w:r>
        <w:rPr>
          <w:rFonts w:ascii="宋体" w:cs="宋体"/>
          <w:sz w:val="21"/>
          <w:szCs w:val="21"/>
        </w:rPr>
        <w:t>50</w:t>
      </w:r>
      <w:r>
        <w:rPr>
          <w:rFonts w:hint="eastAsia" w:ascii="宋体" w:cs="宋体"/>
          <w:sz w:val="21"/>
          <w:szCs w:val="21"/>
        </w:rPr>
        <w:t>元。</w:t>
      </w:r>
    </w:p>
    <w:p>
      <w:pPr>
        <w:ind w:firstLine="210" w:firstLineChars="100"/>
        <w:jc w:val="left"/>
        <w:textAlignment w:val="auto"/>
        <w:rPr>
          <w:rFonts w:ascii="宋体" w:cs="宋体"/>
          <w:sz w:val="21"/>
          <w:szCs w:val="21"/>
        </w:rPr>
      </w:pPr>
      <w:r>
        <w:rPr>
          <w:rFonts w:ascii="宋体" w:cs="宋体"/>
          <w:sz w:val="21"/>
          <w:szCs w:val="21"/>
        </w:rPr>
        <w:t>2.10.10</w:t>
      </w:r>
      <w:r>
        <w:rPr>
          <w:rFonts w:hint="eastAsia" w:ascii="宋体" w:cs="宋体"/>
          <w:sz w:val="21"/>
          <w:szCs w:val="21"/>
        </w:rPr>
        <w:t>施工区域预留的树木，未经项目部同意任何单位不得擅自砍伐或损坏，否则酌情处以</w:t>
      </w:r>
      <w:r>
        <w:rPr>
          <w:rFonts w:ascii="宋体" w:cs="宋体"/>
          <w:sz w:val="21"/>
          <w:szCs w:val="21"/>
        </w:rPr>
        <w:t>500</w:t>
      </w:r>
      <w:r>
        <w:rPr>
          <w:rFonts w:hint="eastAsia" w:ascii="宋体" w:cs="宋体"/>
          <w:sz w:val="21"/>
          <w:szCs w:val="21"/>
        </w:rPr>
        <w:t>—</w:t>
      </w:r>
      <w:r>
        <w:rPr>
          <w:rFonts w:ascii="宋体" w:cs="宋体"/>
          <w:sz w:val="21"/>
          <w:szCs w:val="21"/>
        </w:rPr>
        <w:t>1800</w:t>
      </w:r>
      <w:r>
        <w:rPr>
          <w:rFonts w:hint="eastAsia" w:ascii="宋体" w:cs="宋体"/>
          <w:sz w:val="21"/>
          <w:szCs w:val="21"/>
        </w:rPr>
        <w:t>元罚款。</w:t>
      </w:r>
    </w:p>
    <w:p>
      <w:pPr>
        <w:ind w:firstLine="315" w:firstLineChars="150"/>
        <w:jc w:val="left"/>
        <w:textAlignment w:val="auto"/>
        <w:rPr>
          <w:rFonts w:ascii="宋体" w:cs="宋体"/>
          <w:sz w:val="21"/>
          <w:szCs w:val="21"/>
        </w:rPr>
      </w:pPr>
      <w:r>
        <w:rPr>
          <w:rFonts w:ascii="宋体" w:cs="宋体"/>
          <w:sz w:val="21"/>
          <w:szCs w:val="21"/>
        </w:rPr>
        <w:t>2.10.11</w:t>
      </w:r>
      <w:r>
        <w:rPr>
          <w:rFonts w:hint="eastAsia" w:ascii="宋体" w:cs="宋体"/>
          <w:sz w:val="21"/>
          <w:szCs w:val="21"/>
        </w:rPr>
        <w:t>如果乙方的员工或工人、供货单位及其他业务往来单位的人员在甲方的施工工地或者其他公共场所发生群体性事件。乙方承诺必须在事件发生后</w:t>
      </w:r>
      <w:r>
        <w:rPr>
          <w:rFonts w:ascii="宋体" w:cs="宋体"/>
          <w:sz w:val="21"/>
          <w:szCs w:val="21"/>
        </w:rPr>
        <w:t>30</w:t>
      </w:r>
      <w:r>
        <w:rPr>
          <w:rFonts w:hint="eastAsia" w:ascii="宋体" w:cs="宋体"/>
          <w:sz w:val="21"/>
          <w:szCs w:val="21"/>
        </w:rPr>
        <w:t>分钟内赶到现场处理问题。如果不能按时赶到现场，迟到</w:t>
      </w:r>
      <w:r>
        <w:rPr>
          <w:rFonts w:ascii="宋体" w:cs="宋体"/>
          <w:sz w:val="21"/>
          <w:szCs w:val="21"/>
        </w:rPr>
        <w:t>1</w:t>
      </w:r>
      <w:r>
        <w:rPr>
          <w:rFonts w:hint="eastAsia" w:ascii="宋体" w:cs="宋体"/>
          <w:sz w:val="21"/>
          <w:szCs w:val="21"/>
        </w:rPr>
        <w:t>个小时内，乙方应向甲方支付</w:t>
      </w:r>
      <w:r>
        <w:rPr>
          <w:rFonts w:ascii="宋体" w:cs="宋体"/>
          <w:sz w:val="21"/>
          <w:szCs w:val="21"/>
        </w:rPr>
        <w:t xml:space="preserve">1 </w:t>
      </w:r>
      <w:r>
        <w:rPr>
          <w:rFonts w:hint="eastAsia" w:ascii="宋体" w:cs="宋体"/>
          <w:sz w:val="21"/>
          <w:szCs w:val="21"/>
        </w:rPr>
        <w:t>万元的违约金；迟到</w:t>
      </w:r>
      <w:r>
        <w:rPr>
          <w:rFonts w:ascii="宋体" w:cs="宋体"/>
          <w:sz w:val="21"/>
          <w:szCs w:val="21"/>
        </w:rPr>
        <w:t xml:space="preserve">2 </w:t>
      </w:r>
      <w:r>
        <w:rPr>
          <w:rFonts w:hint="eastAsia" w:ascii="宋体" w:cs="宋体"/>
          <w:sz w:val="21"/>
          <w:szCs w:val="21"/>
        </w:rPr>
        <w:t>个小时内，乙方应向甲方支付</w:t>
      </w:r>
      <w:r>
        <w:rPr>
          <w:rFonts w:ascii="宋体" w:cs="宋体"/>
          <w:sz w:val="21"/>
          <w:szCs w:val="21"/>
        </w:rPr>
        <w:t xml:space="preserve">2 </w:t>
      </w:r>
      <w:r>
        <w:rPr>
          <w:rFonts w:hint="eastAsia" w:ascii="宋体" w:cs="宋体"/>
          <w:sz w:val="21"/>
          <w:szCs w:val="21"/>
        </w:rPr>
        <w:t>万元的违约金；迟到超过</w:t>
      </w:r>
      <w:r>
        <w:rPr>
          <w:rFonts w:ascii="宋体" w:cs="宋体"/>
          <w:sz w:val="21"/>
          <w:szCs w:val="21"/>
        </w:rPr>
        <w:t>3</w:t>
      </w:r>
      <w:r>
        <w:rPr>
          <w:rFonts w:hint="eastAsia" w:ascii="宋体" w:cs="宋体"/>
          <w:sz w:val="21"/>
          <w:szCs w:val="21"/>
        </w:rPr>
        <w:t>小时，乙方应向甲方支付</w:t>
      </w:r>
      <w:r>
        <w:rPr>
          <w:rFonts w:ascii="宋体" w:cs="宋体"/>
          <w:sz w:val="21"/>
          <w:szCs w:val="21"/>
        </w:rPr>
        <w:t xml:space="preserve">5 </w:t>
      </w:r>
      <w:r>
        <w:rPr>
          <w:rFonts w:hint="eastAsia" w:ascii="宋体" w:cs="宋体"/>
          <w:sz w:val="21"/>
          <w:szCs w:val="21"/>
        </w:rPr>
        <w:t>万元的违约金。在其期间造成的一切后果责任仍由乙方承担。有关当事人罚款从当事人所在单位当月工程进度款中直接扣除。</w:t>
      </w:r>
    </w:p>
    <w:p>
      <w:pPr>
        <w:jc w:val="left"/>
        <w:textAlignment w:val="auto"/>
        <w:rPr>
          <w:rFonts w:ascii="宋体" w:cs="宋体"/>
          <w:sz w:val="21"/>
          <w:szCs w:val="21"/>
        </w:rPr>
      </w:pPr>
      <w:r>
        <w:rPr>
          <w:rFonts w:ascii="宋体" w:cs="宋体"/>
          <w:sz w:val="21"/>
          <w:szCs w:val="21"/>
        </w:rPr>
        <w:t>3.</w:t>
      </w:r>
      <w:r>
        <w:rPr>
          <w:rFonts w:hint="eastAsia" w:ascii="宋体" w:cs="宋体"/>
          <w:sz w:val="21"/>
          <w:szCs w:val="21"/>
        </w:rPr>
        <w:t>公共财产的维护</w:t>
      </w:r>
    </w:p>
    <w:p>
      <w:pPr>
        <w:ind w:firstLine="315" w:firstLineChars="150"/>
        <w:jc w:val="left"/>
        <w:textAlignment w:val="auto"/>
        <w:rPr>
          <w:rFonts w:ascii="宋体" w:cs="宋体"/>
          <w:sz w:val="21"/>
          <w:szCs w:val="21"/>
        </w:rPr>
      </w:pPr>
      <w:r>
        <w:rPr>
          <w:rFonts w:ascii="宋体" w:cs="宋体"/>
          <w:sz w:val="21"/>
          <w:szCs w:val="21"/>
        </w:rPr>
        <w:t>3.1</w:t>
      </w:r>
      <w:r>
        <w:rPr>
          <w:rFonts w:hint="eastAsia" w:ascii="宋体" w:cs="宋体"/>
          <w:sz w:val="21"/>
          <w:szCs w:val="21"/>
        </w:rPr>
        <w:t>乙方须采取一切合理措施，保护现场及其附近的所有公共财产、公共设施、邻近财产、道路、河渠、园林、建筑物、构筑物、现存市政管线设施等，避免由其施工引起的污染、噪声或其它后果对公众造成人身或财物方面的伤害或妨碍，并承担因其疏忽对所有分包人、指定分包人及其他乙方造成损坏所需的一切修复费用，以及由此引起的其他直接、间接的经济损失和赔偿费用，所需的所有保护及措施费用已含在合同价款中。</w:t>
      </w:r>
    </w:p>
    <w:p>
      <w:pPr>
        <w:ind w:firstLine="315" w:firstLineChars="150"/>
        <w:jc w:val="left"/>
        <w:textAlignment w:val="auto"/>
        <w:rPr>
          <w:rFonts w:ascii="宋体" w:cs="宋体"/>
          <w:sz w:val="21"/>
          <w:szCs w:val="21"/>
        </w:rPr>
      </w:pPr>
      <w:r>
        <w:rPr>
          <w:rFonts w:ascii="宋体" w:cs="宋体"/>
          <w:sz w:val="21"/>
          <w:szCs w:val="21"/>
        </w:rPr>
        <w:t>3.2</w:t>
      </w:r>
      <w:r>
        <w:rPr>
          <w:rFonts w:hint="eastAsia" w:ascii="宋体" w:cs="宋体"/>
          <w:sz w:val="21"/>
          <w:szCs w:val="21"/>
        </w:rPr>
        <w:t>现场周围及场内需保留的市政设施如道路、电力、通讯、给水、排水、煤气、热力、化学气体等管线设施乙方应妥善加以保护，并随时进行监测，在其附近的施工应采取相应的措施并承担相应的探察和技术措施费用，如设置防护棚、人工挖探孔、人工挖槽等措施。如需要改路、移位、改线、关止，应征得甲方及有关单位的批准，因乙方的过失而造成管线设施清理、修复；路面、道牙、人行路及园林、树木、铺装的修复；政府有关部门的罚款等费用由乙方承担，包括由此引起的其他</w:t>
      </w:r>
    </w:p>
    <w:p>
      <w:pPr>
        <w:jc w:val="left"/>
        <w:textAlignment w:val="auto"/>
        <w:rPr>
          <w:rFonts w:ascii="宋体" w:cs="宋体"/>
          <w:sz w:val="21"/>
          <w:szCs w:val="21"/>
        </w:rPr>
      </w:pPr>
      <w:r>
        <w:rPr>
          <w:rFonts w:hint="eastAsia" w:ascii="宋体" w:cs="宋体"/>
          <w:sz w:val="21"/>
          <w:szCs w:val="21"/>
        </w:rPr>
        <w:t>直接和间接的经济损失和赔偿费用。</w:t>
      </w:r>
    </w:p>
    <w:p>
      <w:pPr>
        <w:ind w:firstLine="315" w:firstLineChars="150"/>
        <w:jc w:val="left"/>
        <w:textAlignment w:val="auto"/>
        <w:rPr>
          <w:rFonts w:ascii="宋体" w:cs="宋体"/>
          <w:sz w:val="21"/>
          <w:szCs w:val="21"/>
        </w:rPr>
      </w:pPr>
      <w:r>
        <w:rPr>
          <w:rFonts w:ascii="宋体" w:cs="宋体"/>
          <w:sz w:val="21"/>
          <w:szCs w:val="21"/>
        </w:rPr>
        <w:t>3.3</w:t>
      </w:r>
      <w:r>
        <w:rPr>
          <w:rFonts w:hint="eastAsia" w:ascii="宋体" w:cs="宋体"/>
          <w:sz w:val="21"/>
          <w:szCs w:val="21"/>
        </w:rPr>
        <w:t>乙方不得擅自砍伐、损坏现场周围及场内需保留的树木，并承担由此引起的一切经济和法律责任。</w:t>
      </w:r>
    </w:p>
    <w:p>
      <w:pPr>
        <w:ind w:firstLine="315" w:firstLineChars="150"/>
        <w:jc w:val="left"/>
        <w:textAlignment w:val="auto"/>
        <w:rPr>
          <w:rFonts w:ascii="宋体" w:cs="宋体"/>
          <w:sz w:val="21"/>
          <w:szCs w:val="21"/>
        </w:rPr>
      </w:pPr>
      <w:r>
        <w:rPr>
          <w:rFonts w:ascii="宋体" w:cs="宋体"/>
          <w:sz w:val="21"/>
          <w:szCs w:val="21"/>
        </w:rPr>
        <w:t>3.4</w:t>
      </w:r>
      <w:r>
        <w:rPr>
          <w:rFonts w:hint="eastAsia" w:ascii="宋体" w:cs="宋体"/>
          <w:sz w:val="21"/>
          <w:szCs w:val="21"/>
        </w:rPr>
        <w:t>在土方开挖、支护、人工降水、地基处理及结构、外装修等施工时，乙方应采取必要的安全技术措施防止现场周围及场内的建筑物、构筑物、市政设施管线、道路、边坡等出现下沉、断裂、塌落、损坏等事件，并承担由此引起的一切经济和法律责任。</w:t>
      </w:r>
    </w:p>
    <w:p>
      <w:pPr>
        <w:jc w:val="left"/>
        <w:textAlignment w:val="auto"/>
        <w:rPr>
          <w:rFonts w:ascii="宋体" w:cs="宋体"/>
          <w:sz w:val="21"/>
          <w:szCs w:val="21"/>
        </w:rPr>
      </w:pPr>
      <w:r>
        <w:rPr>
          <w:rFonts w:ascii="宋体" w:cs="宋体"/>
          <w:sz w:val="21"/>
          <w:szCs w:val="21"/>
        </w:rPr>
        <w:t>4.</w:t>
      </w:r>
      <w:r>
        <w:rPr>
          <w:rFonts w:hint="eastAsia" w:ascii="宋体" w:cs="宋体"/>
          <w:sz w:val="21"/>
          <w:szCs w:val="21"/>
        </w:rPr>
        <w:t>事故处理</w:t>
      </w:r>
    </w:p>
    <w:p>
      <w:pPr>
        <w:ind w:firstLine="315" w:firstLineChars="150"/>
        <w:jc w:val="left"/>
        <w:textAlignment w:val="auto"/>
        <w:rPr>
          <w:rFonts w:ascii="宋体" w:cs="宋体"/>
          <w:sz w:val="21"/>
          <w:szCs w:val="21"/>
        </w:rPr>
      </w:pPr>
      <w:r>
        <w:rPr>
          <w:rFonts w:ascii="宋体" w:cs="宋体"/>
          <w:sz w:val="21"/>
          <w:szCs w:val="21"/>
        </w:rPr>
        <w:t>4.1</w:t>
      </w:r>
      <w:r>
        <w:rPr>
          <w:rFonts w:hint="eastAsia" w:ascii="宋体" w:cs="宋体"/>
          <w:sz w:val="21"/>
          <w:szCs w:val="21"/>
        </w:rPr>
        <w:t>发生重大伤亡及其他安全事故，乙方应立即通知甲方代表，同时按政府有关部门要求处理，</w:t>
      </w:r>
    </w:p>
    <w:p>
      <w:pPr>
        <w:jc w:val="left"/>
        <w:textAlignment w:val="auto"/>
        <w:rPr>
          <w:rFonts w:ascii="宋体" w:cs="宋体"/>
          <w:sz w:val="21"/>
          <w:szCs w:val="21"/>
        </w:rPr>
      </w:pPr>
      <w:r>
        <w:rPr>
          <w:rFonts w:hint="eastAsia" w:ascii="宋体" w:cs="宋体"/>
          <w:sz w:val="21"/>
          <w:szCs w:val="21"/>
        </w:rPr>
        <w:t>由事故责任方承担发生的费用。</w:t>
      </w:r>
    </w:p>
    <w:p>
      <w:pPr>
        <w:spacing w:line="240" w:lineRule="exact"/>
        <w:ind w:firstLine="315" w:firstLineChars="150"/>
        <w:jc w:val="left"/>
        <w:textAlignment w:val="auto"/>
        <w:rPr>
          <w:rFonts w:ascii="宋体" w:cs="宋体"/>
          <w:sz w:val="21"/>
          <w:szCs w:val="21"/>
        </w:rPr>
      </w:pPr>
      <w:r>
        <w:rPr>
          <w:rFonts w:ascii="宋体" w:cs="宋体"/>
          <w:sz w:val="21"/>
          <w:szCs w:val="21"/>
        </w:rPr>
        <w:t>4.2</w:t>
      </w:r>
      <w:r>
        <w:rPr>
          <w:rFonts w:hint="eastAsia" w:ascii="宋体" w:cs="宋体"/>
          <w:sz w:val="21"/>
          <w:szCs w:val="21"/>
        </w:rPr>
        <w:t>甲方、乙方对事故责任有争议时，应按政府有关部门的认定处理。</w:t>
      </w:r>
    </w:p>
    <w:p>
      <w:pPr>
        <w:spacing w:line="240" w:lineRule="exact"/>
        <w:jc w:val="left"/>
        <w:textAlignment w:val="auto"/>
        <w:rPr>
          <w:rFonts w:ascii="宋体" w:cs="宋体"/>
          <w:sz w:val="21"/>
          <w:szCs w:val="21"/>
        </w:rPr>
      </w:pPr>
      <w:r>
        <w:rPr>
          <w:rFonts w:hint="eastAsia" w:ascii="宋体" w:cs="宋体"/>
          <w:sz w:val="21"/>
          <w:szCs w:val="21"/>
        </w:rPr>
        <w:t>在按上述条款执行的同时，甲方保留向责任单位追究其它责任的权利。</w:t>
      </w:r>
    </w:p>
    <w:p>
      <w:pPr>
        <w:spacing w:line="380" w:lineRule="exact"/>
        <w:jc w:val="left"/>
        <w:textAlignment w:val="auto"/>
        <w:rPr>
          <w:rFonts w:ascii="宋体" w:cs="宋体"/>
          <w:b/>
          <w:sz w:val="32"/>
          <w:szCs w:val="32"/>
        </w:rPr>
      </w:pPr>
      <w:r>
        <w:rPr>
          <w:rFonts w:hint="eastAsia" w:ascii="宋体" w:cs="宋体"/>
          <w:sz w:val="21"/>
          <w:szCs w:val="21"/>
        </w:rPr>
        <w:t xml:space="preserve">甲方签字（盖章）：                        乙方签字（盖章）： </w:t>
      </w:r>
      <w:r>
        <w:rPr>
          <w:rFonts w:hint="eastAsia" w:cs="宋体"/>
          <w:szCs w:val="21"/>
        </w:rPr>
        <w:t>年月日</w:t>
      </w:r>
      <w:bookmarkStart w:id="378" w:name="_Toc405378507"/>
    </w:p>
    <w:p>
      <w:pPr>
        <w:jc w:val="center"/>
        <w:textAlignment w:val="auto"/>
        <w:rPr>
          <w:rFonts w:ascii="宋体" w:cs="宋体"/>
          <w:b/>
          <w:sz w:val="32"/>
          <w:szCs w:val="32"/>
        </w:rPr>
      </w:pPr>
    </w:p>
    <w:p>
      <w:pPr>
        <w:jc w:val="center"/>
        <w:textAlignment w:val="auto"/>
        <w:rPr>
          <w:rFonts w:ascii="宋体" w:cs="宋体"/>
          <w:b/>
          <w:sz w:val="32"/>
          <w:szCs w:val="32"/>
        </w:rPr>
      </w:pPr>
    </w:p>
    <w:p>
      <w:pPr>
        <w:jc w:val="center"/>
        <w:textAlignment w:val="auto"/>
        <w:rPr>
          <w:rFonts w:ascii="宋体" w:cs="宋体"/>
          <w:b/>
          <w:sz w:val="32"/>
          <w:szCs w:val="32"/>
        </w:rPr>
      </w:pPr>
    </w:p>
    <w:p>
      <w:pPr>
        <w:jc w:val="center"/>
        <w:textAlignment w:val="auto"/>
        <w:rPr>
          <w:rFonts w:ascii="宋体" w:cs="宋体"/>
          <w:b/>
          <w:sz w:val="32"/>
          <w:szCs w:val="32"/>
        </w:rPr>
      </w:pPr>
    </w:p>
    <w:p>
      <w:pPr>
        <w:jc w:val="center"/>
        <w:textAlignment w:val="auto"/>
        <w:rPr>
          <w:rFonts w:ascii="宋体" w:cs="宋体"/>
          <w:b/>
          <w:sz w:val="32"/>
          <w:szCs w:val="32"/>
        </w:rPr>
      </w:pPr>
    </w:p>
    <w:p>
      <w:pPr>
        <w:jc w:val="center"/>
        <w:textAlignment w:val="auto"/>
        <w:rPr>
          <w:rFonts w:ascii="宋体" w:cs="宋体"/>
          <w:b/>
          <w:sz w:val="32"/>
          <w:szCs w:val="32"/>
        </w:rPr>
      </w:pPr>
    </w:p>
    <w:p>
      <w:pPr>
        <w:jc w:val="center"/>
        <w:textAlignment w:val="auto"/>
        <w:rPr>
          <w:rFonts w:ascii="宋体" w:cs="宋体"/>
          <w:b/>
          <w:sz w:val="32"/>
          <w:szCs w:val="32"/>
        </w:rPr>
      </w:pPr>
    </w:p>
    <w:p>
      <w:pPr>
        <w:jc w:val="center"/>
        <w:textAlignment w:val="auto"/>
        <w:rPr>
          <w:b/>
        </w:rPr>
      </w:pPr>
      <w:r>
        <w:rPr>
          <w:rFonts w:hint="eastAsia" w:ascii="宋体" w:cs="宋体"/>
          <w:b/>
          <w:sz w:val="32"/>
          <w:szCs w:val="32"/>
        </w:rPr>
        <w:t>工程运输车辆安全文明管理补充协议</w:t>
      </w:r>
    </w:p>
    <w:p>
      <w:pPr>
        <w:spacing w:line="340" w:lineRule="exact"/>
        <w:jc w:val="left"/>
        <w:textAlignment w:val="auto"/>
        <w:rPr>
          <w:rFonts w:ascii="宋体" w:cs="宋体"/>
          <w:sz w:val="21"/>
          <w:szCs w:val="21"/>
        </w:rPr>
      </w:pPr>
      <w:r>
        <w:rPr>
          <w:rFonts w:hint="eastAsia" w:ascii="宋体" w:cs="宋体"/>
          <w:sz w:val="21"/>
          <w:szCs w:val="21"/>
        </w:rPr>
        <w:t>发包人：_________________________（甲方）</w:t>
      </w:r>
    </w:p>
    <w:p>
      <w:pPr>
        <w:spacing w:line="340" w:lineRule="exact"/>
        <w:jc w:val="left"/>
        <w:textAlignment w:val="auto"/>
        <w:rPr>
          <w:rFonts w:ascii="宋体" w:cs="宋体"/>
          <w:sz w:val="21"/>
          <w:szCs w:val="21"/>
        </w:rPr>
      </w:pPr>
      <w:r>
        <w:rPr>
          <w:rFonts w:hint="eastAsia" w:ascii="宋体" w:cs="宋体"/>
          <w:sz w:val="21"/>
          <w:szCs w:val="21"/>
        </w:rPr>
        <w:t>承包人：_________________________（乙方）</w:t>
      </w:r>
    </w:p>
    <w:p>
      <w:pPr>
        <w:spacing w:line="340" w:lineRule="exact"/>
        <w:jc w:val="left"/>
        <w:textAlignment w:val="auto"/>
        <w:rPr>
          <w:rFonts w:ascii="宋体" w:cs="宋体"/>
          <w:sz w:val="21"/>
          <w:szCs w:val="21"/>
        </w:rPr>
      </w:pPr>
      <w:r>
        <w:rPr>
          <w:rFonts w:hint="eastAsia" w:ascii="宋体" w:cs="宋体"/>
          <w:sz w:val="21"/>
          <w:szCs w:val="21"/>
        </w:rPr>
        <w:t>为进一步加强工程运输管理，落实工程运输车辆安全文明出行，确保人民群众生命财产安全，保障工程建设顺利进行，创建吴兴建设良好环境，特与乙方签订该协议，具体内容如下：</w:t>
      </w:r>
    </w:p>
    <w:p>
      <w:pPr>
        <w:spacing w:line="340" w:lineRule="exact"/>
        <w:jc w:val="left"/>
        <w:textAlignment w:val="auto"/>
        <w:rPr>
          <w:rFonts w:ascii="宋体" w:cs="宋体"/>
          <w:sz w:val="21"/>
          <w:szCs w:val="21"/>
        </w:rPr>
      </w:pPr>
      <w:r>
        <w:rPr>
          <w:rFonts w:hint="eastAsia" w:ascii="宋体" w:cs="宋体"/>
          <w:sz w:val="21"/>
          <w:szCs w:val="21"/>
        </w:rPr>
        <w:t>一、工程名称：________________________</w:t>
      </w:r>
    </w:p>
    <w:p>
      <w:pPr>
        <w:spacing w:line="340" w:lineRule="exact"/>
        <w:jc w:val="left"/>
        <w:textAlignment w:val="auto"/>
        <w:rPr>
          <w:rFonts w:ascii="宋体" w:cs="宋体"/>
          <w:sz w:val="21"/>
          <w:szCs w:val="21"/>
        </w:rPr>
      </w:pPr>
      <w:r>
        <w:rPr>
          <w:rFonts w:hint="eastAsia" w:ascii="宋体" w:cs="宋体"/>
          <w:sz w:val="21"/>
          <w:szCs w:val="21"/>
        </w:rPr>
        <w:t>二、管理内容：</w:t>
      </w:r>
    </w:p>
    <w:p>
      <w:pPr>
        <w:spacing w:line="340" w:lineRule="exact"/>
        <w:jc w:val="left"/>
        <w:textAlignment w:val="auto"/>
        <w:rPr>
          <w:rFonts w:ascii="宋体" w:cs="宋体"/>
          <w:sz w:val="21"/>
          <w:szCs w:val="21"/>
        </w:rPr>
      </w:pPr>
      <w:r>
        <w:rPr>
          <w:rFonts w:ascii="宋体" w:cs="宋体"/>
          <w:sz w:val="21"/>
          <w:szCs w:val="21"/>
        </w:rPr>
        <w:t>1</w:t>
      </w:r>
      <w:r>
        <w:rPr>
          <w:rFonts w:hint="eastAsia" w:ascii="宋体" w:cs="宋体"/>
          <w:sz w:val="21"/>
          <w:szCs w:val="21"/>
        </w:rPr>
        <w:t>、建设施工项目的工程运输，必须使用经行政执法部门审批的专业运输企业的车辆，严禁将工程运输业务发包给没有资质或证照不齐全的工程运输或个人；</w:t>
      </w:r>
    </w:p>
    <w:p>
      <w:pPr>
        <w:spacing w:line="340" w:lineRule="exact"/>
        <w:jc w:val="left"/>
        <w:textAlignment w:val="auto"/>
        <w:rPr>
          <w:rFonts w:ascii="宋体" w:cs="宋体"/>
          <w:sz w:val="21"/>
          <w:szCs w:val="21"/>
        </w:rPr>
      </w:pPr>
      <w:r>
        <w:rPr>
          <w:rFonts w:ascii="宋体" w:cs="宋体"/>
          <w:sz w:val="21"/>
          <w:szCs w:val="21"/>
        </w:rPr>
        <w:t>2</w:t>
      </w:r>
      <w:r>
        <w:rPr>
          <w:rFonts w:hint="eastAsia" w:ascii="宋体" w:cs="宋体"/>
          <w:sz w:val="21"/>
          <w:szCs w:val="21"/>
        </w:rPr>
        <w:t>、加强道路运输车辆安全行驶教育，东部新城范围内所有工程运输车辆最高时速不得超过</w:t>
      </w:r>
      <w:r>
        <w:rPr>
          <w:rFonts w:ascii="宋体" w:cs="宋体"/>
          <w:sz w:val="21"/>
          <w:szCs w:val="21"/>
        </w:rPr>
        <w:t>50</w:t>
      </w:r>
      <w:r>
        <w:rPr>
          <w:rFonts w:hint="eastAsia" w:ascii="宋体" w:cs="宋体"/>
          <w:sz w:val="21"/>
          <w:szCs w:val="21"/>
        </w:rPr>
        <w:t>公里</w:t>
      </w:r>
      <w:r>
        <w:rPr>
          <w:rFonts w:ascii="宋体" w:cs="宋体"/>
          <w:sz w:val="21"/>
          <w:szCs w:val="21"/>
        </w:rPr>
        <w:t>/</w:t>
      </w:r>
      <w:r>
        <w:rPr>
          <w:rFonts w:hint="eastAsia" w:ascii="宋体" w:cs="宋体"/>
          <w:sz w:val="21"/>
          <w:szCs w:val="21"/>
        </w:rPr>
        <w:t>小时，严禁闯红灯、逆行、违法调头、闯禁区等交通违法行为；</w:t>
      </w:r>
    </w:p>
    <w:p>
      <w:pPr>
        <w:spacing w:line="340" w:lineRule="exact"/>
        <w:jc w:val="left"/>
        <w:textAlignment w:val="auto"/>
        <w:rPr>
          <w:rFonts w:ascii="宋体" w:cs="宋体"/>
          <w:sz w:val="21"/>
          <w:szCs w:val="21"/>
        </w:rPr>
      </w:pPr>
      <w:r>
        <w:rPr>
          <w:rFonts w:ascii="宋体" w:cs="宋体"/>
          <w:sz w:val="21"/>
          <w:szCs w:val="21"/>
        </w:rPr>
        <w:t>3</w:t>
      </w:r>
      <w:r>
        <w:rPr>
          <w:rFonts w:hint="eastAsia" w:ascii="宋体" w:cs="宋体"/>
          <w:sz w:val="21"/>
          <w:szCs w:val="21"/>
        </w:rPr>
        <w:t>、工程运输车辆保持日常整洁，并采取有效措施防止建筑材料、垃圾和渣土飞扬、洒落或者流溢，</w:t>
      </w:r>
    </w:p>
    <w:p>
      <w:pPr>
        <w:spacing w:line="340" w:lineRule="exact"/>
        <w:jc w:val="left"/>
        <w:textAlignment w:val="auto"/>
        <w:rPr>
          <w:rFonts w:ascii="宋体" w:cs="宋体"/>
          <w:sz w:val="21"/>
          <w:szCs w:val="21"/>
        </w:rPr>
      </w:pPr>
      <w:r>
        <w:rPr>
          <w:rFonts w:hint="eastAsia" w:ascii="宋体" w:cs="宋体"/>
          <w:sz w:val="21"/>
          <w:szCs w:val="21"/>
        </w:rPr>
        <w:t>保证行驶途中不污染道路和环境。</w:t>
      </w:r>
    </w:p>
    <w:p>
      <w:pPr>
        <w:spacing w:line="340" w:lineRule="exact"/>
        <w:jc w:val="left"/>
        <w:textAlignment w:val="auto"/>
        <w:rPr>
          <w:rFonts w:ascii="宋体" w:cs="宋体"/>
          <w:sz w:val="21"/>
          <w:szCs w:val="21"/>
        </w:rPr>
      </w:pPr>
      <w:r>
        <w:rPr>
          <w:rFonts w:hint="eastAsia" w:ascii="宋体" w:cs="宋体"/>
          <w:sz w:val="21"/>
          <w:szCs w:val="21"/>
        </w:rPr>
        <w:t>三、处罚办法：</w:t>
      </w:r>
    </w:p>
    <w:p>
      <w:pPr>
        <w:spacing w:line="340" w:lineRule="exact"/>
        <w:jc w:val="left"/>
        <w:textAlignment w:val="auto"/>
        <w:rPr>
          <w:rFonts w:ascii="宋体" w:cs="宋体"/>
          <w:sz w:val="21"/>
          <w:szCs w:val="21"/>
        </w:rPr>
      </w:pPr>
      <w:r>
        <w:rPr>
          <w:rFonts w:ascii="宋体" w:cs="宋体"/>
          <w:sz w:val="21"/>
          <w:szCs w:val="21"/>
        </w:rPr>
        <w:t>1</w:t>
      </w:r>
      <w:r>
        <w:rPr>
          <w:rFonts w:hint="eastAsia" w:ascii="宋体" w:cs="宋体"/>
          <w:sz w:val="21"/>
          <w:szCs w:val="21"/>
        </w:rPr>
        <w:t>、设立工程运输安全文明专项保证金。具体专项保证金如下：（单位：万元）</w:t>
      </w:r>
    </w:p>
    <w:p>
      <w:pPr>
        <w:spacing w:line="340" w:lineRule="exact"/>
        <w:jc w:val="left"/>
        <w:textAlignment w:val="auto"/>
        <w:rPr>
          <w:rFonts w:ascii="宋体" w:cs="宋体"/>
          <w:sz w:val="21"/>
          <w:szCs w:val="21"/>
        </w:rPr>
      </w:pPr>
      <w:r>
        <w:rPr>
          <w:rFonts w:hint="eastAsia" w:ascii="宋体" w:cs="宋体"/>
          <w:sz w:val="21"/>
          <w:szCs w:val="21"/>
        </w:rPr>
        <w:t>综合类工程单独土石方工程</w:t>
      </w:r>
    </w:p>
    <w:p>
      <w:pPr>
        <w:spacing w:line="340" w:lineRule="exact"/>
        <w:jc w:val="left"/>
        <w:textAlignment w:val="auto"/>
        <w:rPr>
          <w:rFonts w:ascii="宋体" w:cs="宋体"/>
          <w:sz w:val="21"/>
          <w:szCs w:val="21"/>
        </w:rPr>
      </w:pPr>
      <w:r>
        <w:rPr>
          <w:rFonts w:hint="eastAsia" w:ascii="宋体" w:cs="宋体"/>
          <w:sz w:val="21"/>
          <w:szCs w:val="21"/>
        </w:rPr>
        <w:t>类型合同价专项保证金类型合同价专项保证金</w:t>
      </w:r>
    </w:p>
    <w:p>
      <w:pPr>
        <w:spacing w:line="340" w:lineRule="exact"/>
        <w:jc w:val="left"/>
        <w:textAlignment w:val="auto"/>
        <w:rPr>
          <w:rFonts w:ascii="宋体" w:cs="宋体"/>
          <w:sz w:val="21"/>
          <w:szCs w:val="21"/>
        </w:rPr>
      </w:pPr>
      <w:r>
        <w:rPr>
          <w:rFonts w:hint="eastAsia" w:ascii="宋体" w:cs="宋体"/>
          <w:sz w:val="21"/>
          <w:szCs w:val="21"/>
        </w:rPr>
        <w:t>□</w:t>
      </w:r>
      <w:r>
        <w:rPr>
          <w:rFonts w:ascii="宋体" w:cs="宋体"/>
          <w:sz w:val="21"/>
          <w:szCs w:val="21"/>
        </w:rPr>
        <w:t xml:space="preserve"> 500 </w:t>
      </w:r>
      <w:r>
        <w:rPr>
          <w:rFonts w:hint="eastAsia" w:ascii="宋体" w:cs="宋体"/>
          <w:sz w:val="21"/>
          <w:szCs w:val="21"/>
        </w:rPr>
        <w:t>以下</w:t>
      </w:r>
      <w:r>
        <w:rPr>
          <w:rFonts w:ascii="宋体" w:cs="宋体"/>
          <w:sz w:val="21"/>
          <w:szCs w:val="21"/>
        </w:rPr>
        <w:t xml:space="preserve">1 </w:t>
      </w:r>
      <w:r>
        <w:rPr>
          <w:rFonts w:hint="eastAsia" w:ascii="宋体" w:cs="宋体"/>
          <w:sz w:val="21"/>
          <w:szCs w:val="21"/>
        </w:rPr>
        <w:t>万元□</w:t>
      </w:r>
      <w:r>
        <w:rPr>
          <w:rFonts w:ascii="宋体" w:cs="宋体"/>
          <w:sz w:val="21"/>
          <w:szCs w:val="21"/>
        </w:rPr>
        <w:t xml:space="preserve"> 20 </w:t>
      </w:r>
      <w:r>
        <w:rPr>
          <w:rFonts w:hint="eastAsia" w:ascii="宋体" w:cs="宋体"/>
          <w:sz w:val="21"/>
          <w:szCs w:val="21"/>
        </w:rPr>
        <w:t>以下</w:t>
      </w:r>
      <w:r>
        <w:rPr>
          <w:rFonts w:ascii="宋体" w:cs="宋体"/>
          <w:sz w:val="21"/>
          <w:szCs w:val="21"/>
        </w:rPr>
        <w:t>1</w:t>
      </w:r>
      <w:r>
        <w:rPr>
          <w:rFonts w:hint="eastAsia" w:ascii="宋体" w:cs="宋体"/>
          <w:sz w:val="21"/>
          <w:szCs w:val="21"/>
        </w:rPr>
        <w:t>万元</w:t>
      </w:r>
    </w:p>
    <w:p>
      <w:pPr>
        <w:spacing w:line="340" w:lineRule="exact"/>
        <w:jc w:val="left"/>
        <w:textAlignment w:val="auto"/>
        <w:rPr>
          <w:rFonts w:ascii="宋体" w:cs="宋体"/>
          <w:sz w:val="21"/>
          <w:szCs w:val="21"/>
        </w:rPr>
      </w:pPr>
      <w:r>
        <w:rPr>
          <w:rFonts w:hint="eastAsia" w:ascii="宋体" w:cs="宋体"/>
          <w:sz w:val="21"/>
          <w:szCs w:val="21"/>
        </w:rPr>
        <w:t>□</w:t>
      </w:r>
      <w:r>
        <w:rPr>
          <w:rFonts w:ascii="宋体" w:cs="宋体"/>
          <w:sz w:val="21"/>
          <w:szCs w:val="21"/>
        </w:rPr>
        <w:t xml:space="preserve"> 500-2000 2</w:t>
      </w:r>
      <w:r>
        <w:rPr>
          <w:rFonts w:hint="eastAsia" w:ascii="宋体" w:cs="宋体"/>
          <w:sz w:val="21"/>
          <w:szCs w:val="21"/>
        </w:rPr>
        <w:t>万元□</w:t>
      </w:r>
      <w:r>
        <w:rPr>
          <w:rFonts w:ascii="宋体" w:cs="宋体"/>
          <w:sz w:val="21"/>
          <w:szCs w:val="21"/>
        </w:rPr>
        <w:t xml:space="preserve"> 20-50 2</w:t>
      </w:r>
      <w:r>
        <w:rPr>
          <w:rFonts w:hint="eastAsia" w:ascii="宋体" w:cs="宋体"/>
          <w:sz w:val="21"/>
          <w:szCs w:val="21"/>
        </w:rPr>
        <w:t>万元</w:t>
      </w:r>
    </w:p>
    <w:p>
      <w:pPr>
        <w:spacing w:line="340" w:lineRule="exact"/>
        <w:jc w:val="left"/>
        <w:textAlignment w:val="auto"/>
        <w:rPr>
          <w:rFonts w:ascii="宋体" w:cs="宋体"/>
          <w:sz w:val="21"/>
          <w:szCs w:val="21"/>
        </w:rPr>
      </w:pPr>
      <w:r>
        <w:rPr>
          <w:rFonts w:hint="eastAsia" w:ascii="宋体" w:cs="宋体"/>
          <w:sz w:val="21"/>
          <w:szCs w:val="21"/>
        </w:rPr>
        <w:t>□</w:t>
      </w:r>
      <w:r>
        <w:rPr>
          <w:rFonts w:ascii="宋体" w:cs="宋体"/>
          <w:sz w:val="21"/>
          <w:szCs w:val="21"/>
        </w:rPr>
        <w:t xml:space="preserve"> 2000 </w:t>
      </w:r>
      <w:r>
        <w:rPr>
          <w:rFonts w:hint="eastAsia" w:ascii="宋体" w:cs="宋体"/>
          <w:sz w:val="21"/>
          <w:szCs w:val="21"/>
        </w:rPr>
        <w:t>以上</w:t>
      </w:r>
      <w:r>
        <w:rPr>
          <w:rFonts w:ascii="宋体" w:cs="宋体"/>
          <w:sz w:val="21"/>
          <w:szCs w:val="21"/>
        </w:rPr>
        <w:t>5</w:t>
      </w:r>
      <w:r>
        <w:rPr>
          <w:rFonts w:hint="eastAsia" w:ascii="宋体" w:cs="宋体"/>
          <w:sz w:val="21"/>
          <w:szCs w:val="21"/>
        </w:rPr>
        <w:t>万元□</w:t>
      </w:r>
      <w:r>
        <w:rPr>
          <w:rFonts w:ascii="宋体" w:cs="宋体"/>
          <w:sz w:val="21"/>
          <w:szCs w:val="21"/>
        </w:rPr>
        <w:t xml:space="preserve"> 50</w:t>
      </w:r>
      <w:r>
        <w:rPr>
          <w:rFonts w:hint="eastAsia" w:ascii="宋体" w:cs="宋体"/>
          <w:sz w:val="21"/>
          <w:szCs w:val="21"/>
        </w:rPr>
        <w:t>以上</w:t>
      </w:r>
      <w:r>
        <w:rPr>
          <w:rFonts w:ascii="宋体" w:cs="宋体"/>
          <w:sz w:val="21"/>
          <w:szCs w:val="21"/>
        </w:rPr>
        <w:t>5</w:t>
      </w:r>
      <w:r>
        <w:rPr>
          <w:rFonts w:hint="eastAsia" w:ascii="宋体" w:cs="宋体"/>
          <w:sz w:val="21"/>
          <w:szCs w:val="21"/>
        </w:rPr>
        <w:t>万元</w:t>
      </w:r>
    </w:p>
    <w:p>
      <w:pPr>
        <w:spacing w:line="340" w:lineRule="exact"/>
        <w:jc w:val="left"/>
        <w:textAlignment w:val="auto"/>
        <w:rPr>
          <w:rFonts w:ascii="宋体" w:cs="宋体"/>
          <w:sz w:val="21"/>
          <w:szCs w:val="21"/>
        </w:rPr>
      </w:pPr>
      <w:r>
        <w:rPr>
          <w:rFonts w:ascii="宋体" w:cs="宋体"/>
          <w:sz w:val="21"/>
          <w:szCs w:val="21"/>
        </w:rPr>
        <w:t>2</w:t>
      </w:r>
      <w:r>
        <w:rPr>
          <w:rFonts w:hint="eastAsia" w:ascii="宋体" w:cs="宋体"/>
          <w:sz w:val="21"/>
          <w:szCs w:val="21"/>
        </w:rPr>
        <w:t>、处罚措施：</w:t>
      </w:r>
    </w:p>
    <w:p>
      <w:pPr>
        <w:spacing w:line="340" w:lineRule="exact"/>
        <w:jc w:val="left"/>
        <w:textAlignment w:val="auto"/>
        <w:rPr>
          <w:rFonts w:ascii="宋体" w:cs="宋体"/>
          <w:sz w:val="21"/>
          <w:szCs w:val="21"/>
        </w:rPr>
      </w:pPr>
      <w:r>
        <w:rPr>
          <w:rFonts w:hint="eastAsia" w:ascii="宋体" w:cs="宋体"/>
          <w:sz w:val="21"/>
          <w:szCs w:val="21"/>
        </w:rPr>
        <w:t>承包人应加强工程运输管理，做好自查自纠工作，若违反上述管理内容的，一经发现或被执法部门</w:t>
      </w:r>
    </w:p>
    <w:p>
      <w:pPr>
        <w:spacing w:line="340" w:lineRule="exact"/>
        <w:jc w:val="left"/>
        <w:textAlignment w:val="auto"/>
        <w:rPr>
          <w:rFonts w:ascii="宋体" w:cs="宋体"/>
          <w:sz w:val="21"/>
          <w:szCs w:val="21"/>
        </w:rPr>
      </w:pPr>
      <w:r>
        <w:rPr>
          <w:rFonts w:hint="eastAsia" w:ascii="宋体" w:cs="宋体"/>
          <w:sz w:val="21"/>
          <w:szCs w:val="21"/>
        </w:rPr>
        <w:t>查处的，须进行处罚。第一次违反，谈话警告；连续二次的，扣罚保证金的</w:t>
      </w:r>
      <w:r>
        <w:rPr>
          <w:rFonts w:ascii="宋体" w:cs="宋体"/>
          <w:sz w:val="21"/>
          <w:szCs w:val="21"/>
        </w:rPr>
        <w:t>50%</w:t>
      </w:r>
      <w:r>
        <w:rPr>
          <w:rFonts w:hint="eastAsia" w:ascii="宋体" w:cs="宋体"/>
          <w:sz w:val="21"/>
          <w:szCs w:val="21"/>
        </w:rPr>
        <w:t>；连续三次的，扣罚全部保证金。处罚金额于结算工程款中直接扣除。</w:t>
      </w:r>
    </w:p>
    <w:p>
      <w:pPr>
        <w:spacing w:line="340" w:lineRule="exact"/>
        <w:jc w:val="left"/>
        <w:textAlignment w:val="auto"/>
        <w:rPr>
          <w:rFonts w:ascii="宋体" w:cs="宋体"/>
          <w:sz w:val="21"/>
          <w:szCs w:val="21"/>
        </w:rPr>
      </w:pPr>
      <w:r>
        <w:rPr>
          <w:rFonts w:hint="eastAsia" w:ascii="宋体" w:cs="宋体"/>
          <w:sz w:val="21"/>
          <w:szCs w:val="21"/>
        </w:rPr>
        <w:t>四、其他</w:t>
      </w:r>
    </w:p>
    <w:p>
      <w:pPr>
        <w:spacing w:line="340" w:lineRule="exact"/>
        <w:jc w:val="left"/>
        <w:textAlignment w:val="auto"/>
        <w:rPr>
          <w:rFonts w:ascii="宋体" w:cs="宋体"/>
          <w:sz w:val="21"/>
          <w:szCs w:val="21"/>
        </w:rPr>
      </w:pPr>
      <w:r>
        <w:rPr>
          <w:rFonts w:ascii="宋体" w:cs="宋体"/>
          <w:sz w:val="21"/>
          <w:szCs w:val="21"/>
        </w:rPr>
        <w:t>1</w:t>
      </w:r>
      <w:r>
        <w:rPr>
          <w:rFonts w:hint="eastAsia" w:ascii="宋体" w:cs="宋体"/>
          <w:sz w:val="21"/>
          <w:szCs w:val="21"/>
        </w:rPr>
        <w:t>、本协议是该工程的补充，其他内容按主合同执行；</w:t>
      </w:r>
    </w:p>
    <w:p>
      <w:pPr>
        <w:spacing w:line="340" w:lineRule="exact"/>
        <w:jc w:val="left"/>
        <w:textAlignment w:val="auto"/>
        <w:rPr>
          <w:rFonts w:ascii="宋体" w:cs="宋体"/>
          <w:sz w:val="21"/>
          <w:szCs w:val="21"/>
        </w:rPr>
      </w:pPr>
      <w:r>
        <w:rPr>
          <w:rFonts w:ascii="宋体" w:cs="宋体"/>
          <w:sz w:val="21"/>
          <w:szCs w:val="21"/>
        </w:rPr>
        <w:t>2</w:t>
      </w:r>
      <w:r>
        <w:rPr>
          <w:rFonts w:hint="eastAsia" w:ascii="宋体" w:cs="宋体"/>
          <w:sz w:val="21"/>
          <w:szCs w:val="21"/>
        </w:rPr>
        <w:t>、本协议一式四份，双方各执二份；</w:t>
      </w:r>
    </w:p>
    <w:p>
      <w:pPr>
        <w:spacing w:line="340" w:lineRule="exact"/>
        <w:jc w:val="left"/>
        <w:textAlignment w:val="auto"/>
        <w:rPr>
          <w:rFonts w:ascii="宋体" w:cs="宋体"/>
          <w:sz w:val="21"/>
          <w:szCs w:val="21"/>
        </w:rPr>
      </w:pPr>
      <w:r>
        <w:rPr>
          <w:rFonts w:ascii="宋体" w:cs="宋体"/>
          <w:sz w:val="21"/>
          <w:szCs w:val="21"/>
        </w:rPr>
        <w:t>3</w:t>
      </w:r>
      <w:r>
        <w:rPr>
          <w:rFonts w:hint="eastAsia" w:ascii="宋体" w:cs="宋体"/>
          <w:sz w:val="21"/>
          <w:szCs w:val="21"/>
        </w:rPr>
        <w:t>、本协议经双方签字盖章后生效。</w:t>
      </w:r>
    </w:p>
    <w:p>
      <w:pPr>
        <w:spacing w:line="340" w:lineRule="exact"/>
        <w:jc w:val="left"/>
        <w:textAlignment w:val="auto"/>
        <w:rPr>
          <w:rFonts w:ascii="宋体" w:cs="宋体"/>
          <w:sz w:val="21"/>
          <w:szCs w:val="21"/>
        </w:rPr>
      </w:pPr>
    </w:p>
    <w:p>
      <w:pPr>
        <w:spacing w:line="276" w:lineRule="auto"/>
        <w:jc w:val="left"/>
        <w:textAlignment w:val="auto"/>
        <w:rPr>
          <w:rFonts w:ascii="宋体" w:cs="宋体"/>
          <w:sz w:val="21"/>
          <w:szCs w:val="21"/>
        </w:rPr>
      </w:pPr>
      <w:r>
        <w:rPr>
          <w:rFonts w:hint="eastAsia" w:ascii="宋体" w:cs="宋体"/>
          <w:sz w:val="21"/>
          <w:szCs w:val="21"/>
        </w:rPr>
        <w:t>甲方：__________________（盖章）                      乙方：______________（盖章）</w:t>
      </w:r>
    </w:p>
    <w:p>
      <w:pPr>
        <w:spacing w:line="276" w:lineRule="auto"/>
        <w:jc w:val="left"/>
        <w:textAlignment w:val="auto"/>
        <w:rPr>
          <w:rFonts w:ascii="宋体" w:cs="宋体"/>
          <w:sz w:val="21"/>
          <w:szCs w:val="21"/>
        </w:rPr>
      </w:pPr>
      <w:r>
        <w:rPr>
          <w:rFonts w:hint="eastAsia" w:ascii="宋体" w:cs="宋体"/>
          <w:sz w:val="21"/>
          <w:szCs w:val="21"/>
        </w:rPr>
        <w:t>法定代表人：____________（签字）                     法定代表人：_________（签字）</w:t>
      </w:r>
    </w:p>
    <w:p>
      <w:pPr>
        <w:spacing w:line="276" w:lineRule="auto"/>
        <w:jc w:val="left"/>
        <w:textAlignment w:val="auto"/>
        <w:rPr>
          <w:rFonts w:ascii="宋体" w:cs="宋体"/>
          <w:sz w:val="21"/>
          <w:szCs w:val="21"/>
        </w:rPr>
      </w:pPr>
      <w:r>
        <w:rPr>
          <w:rFonts w:hint="eastAsia" w:ascii="宋体" w:cs="宋体"/>
          <w:sz w:val="21"/>
          <w:szCs w:val="21"/>
        </w:rPr>
        <w:t>或其委托代理人                                       或其委托代理人</w:t>
      </w:r>
    </w:p>
    <w:p>
      <w:pPr>
        <w:spacing w:line="276" w:lineRule="auto"/>
        <w:jc w:val="left"/>
        <w:textAlignment w:val="auto"/>
        <w:rPr>
          <w:rFonts w:cs="宋体"/>
          <w:b/>
          <w:bCs/>
          <w:snapToGrid w:val="0"/>
          <w:sz w:val="28"/>
          <w:szCs w:val="28"/>
        </w:rPr>
      </w:pPr>
      <w:r>
        <w:rPr>
          <w:rFonts w:hint="eastAsia" w:ascii="宋体" w:cs="宋体"/>
          <w:sz w:val="21"/>
          <w:szCs w:val="21"/>
        </w:rPr>
        <w:t>年 月 日                                             年  月  日</w:t>
      </w:r>
    </w:p>
    <w:p>
      <w:pPr>
        <w:rPr>
          <w:rFonts w:cs="宋体"/>
          <w:b/>
          <w:bCs/>
          <w:snapToGrid w:val="0"/>
          <w:sz w:val="28"/>
          <w:szCs w:val="28"/>
        </w:rPr>
      </w:pPr>
    </w:p>
    <w:p>
      <w:pPr>
        <w:jc w:val="center"/>
        <w:rPr>
          <w:rFonts w:cs="宋体"/>
          <w:b/>
          <w:bCs/>
          <w:snapToGrid w:val="0"/>
          <w:sz w:val="28"/>
          <w:szCs w:val="28"/>
        </w:rPr>
      </w:pPr>
    </w:p>
    <w:p>
      <w:pPr>
        <w:jc w:val="center"/>
        <w:rPr>
          <w:rFonts w:cs="宋体"/>
          <w:b/>
          <w:bCs/>
          <w:snapToGrid w:val="0"/>
          <w:sz w:val="28"/>
          <w:szCs w:val="28"/>
        </w:rPr>
      </w:pPr>
    </w:p>
    <w:p>
      <w:pPr>
        <w:jc w:val="center"/>
        <w:rPr>
          <w:rFonts w:cs="Times New Roman"/>
          <w:b/>
          <w:bCs/>
          <w:snapToGrid w:val="0"/>
          <w:sz w:val="28"/>
          <w:szCs w:val="28"/>
        </w:rPr>
      </w:pPr>
      <w:r>
        <w:rPr>
          <w:rFonts w:hint="eastAsia" w:cs="宋体"/>
          <w:b/>
          <w:bCs/>
          <w:snapToGrid w:val="0"/>
          <w:sz w:val="28"/>
          <w:szCs w:val="28"/>
        </w:rPr>
        <w:t>“无欠薪”承诺</w:t>
      </w:r>
    </w:p>
    <w:p>
      <w:pPr>
        <w:spacing w:line="420" w:lineRule="exact"/>
        <w:jc w:val="left"/>
        <w:rPr>
          <w:rFonts w:ascii="宋体" w:cs="Times New Roman"/>
          <w:u w:val="single"/>
        </w:rPr>
      </w:pPr>
      <w:r>
        <w:rPr>
          <w:rFonts w:hint="eastAsia" w:ascii="宋体" w:cs="宋体"/>
        </w:rPr>
        <w:t>_______________________（发包人名称）：</w:t>
      </w:r>
    </w:p>
    <w:p>
      <w:pPr>
        <w:spacing w:line="420" w:lineRule="exact"/>
        <w:jc w:val="left"/>
        <w:rPr>
          <w:rFonts w:ascii="宋体" w:cs="Times New Roman"/>
        </w:rPr>
      </w:pPr>
      <w:r>
        <w:rPr>
          <w:rFonts w:hint="eastAsia" w:ascii="宋体" w:cs="宋体"/>
        </w:rPr>
        <w:t>本竞包人_________________（竞包人名称）郑重承诺：</w:t>
      </w:r>
    </w:p>
    <w:p>
      <w:pPr>
        <w:spacing w:line="420" w:lineRule="exact"/>
        <w:jc w:val="left"/>
        <w:rPr>
          <w:rFonts w:ascii="宋体" w:cs="Times New Roman"/>
        </w:rPr>
      </w:pPr>
      <w:r>
        <w:rPr>
          <w:rFonts w:ascii="宋体" w:cs="宋体"/>
        </w:rPr>
        <w:t>1</w:t>
      </w:r>
      <w:r>
        <w:rPr>
          <w:rFonts w:hint="eastAsia" w:ascii="宋体" w:cs="宋体"/>
        </w:rPr>
        <w:t>、拟派本发包项目_____________（发包项目名称）__________（标段名称）的项目法人代表______________（姓名）“无欠薪”承诺。</w:t>
      </w:r>
    </w:p>
    <w:p>
      <w:pPr>
        <w:rPr>
          <w:rFonts w:cs="Times New Roman"/>
        </w:rPr>
      </w:pPr>
      <w:r>
        <w:rPr>
          <w:rFonts w:ascii="宋体" w:cs="宋体"/>
        </w:rPr>
        <w:t>2</w:t>
      </w:r>
      <w:r>
        <w:rPr>
          <w:rFonts w:hint="eastAsia" w:ascii="宋体" w:cs="宋体"/>
        </w:rPr>
        <w:t>、本竞包人实行全员实名制管理，</w:t>
      </w:r>
      <w:r>
        <w:rPr>
          <w:rFonts w:hint="eastAsia" w:cs="宋体"/>
        </w:rPr>
        <w:t>建立农民工工资专用账户，实行银行按月代发工资制度并且发包人有监督的权利。如本项目未按规定兑现，发包人不需经本标竞包人同意确认有权直接从工程款中扣除该费用，用于直接支付民工工资，并扣罚双倍的费用。</w:t>
      </w:r>
    </w:p>
    <w:p>
      <w:pPr>
        <w:spacing w:line="420" w:lineRule="exact"/>
        <w:jc w:val="left"/>
        <w:rPr>
          <w:rFonts w:ascii="宋体" w:cs="Times New Roman"/>
        </w:rPr>
      </w:pPr>
      <w:r>
        <w:rPr>
          <w:rFonts w:ascii="宋体" w:cs="宋体"/>
        </w:rPr>
        <w:t>3</w:t>
      </w:r>
      <w:r>
        <w:rPr>
          <w:rFonts w:hint="eastAsia" w:ascii="宋体" w:cs="宋体"/>
        </w:rPr>
        <w:t>、本竞包人提供的资料保证真实。</w:t>
      </w:r>
    </w:p>
    <w:p>
      <w:pPr>
        <w:spacing w:line="420" w:lineRule="exact"/>
        <w:jc w:val="left"/>
        <w:rPr>
          <w:rFonts w:ascii="宋体" w:cs="Times New Roman"/>
        </w:rPr>
      </w:pPr>
      <w:r>
        <w:rPr>
          <w:rFonts w:hint="eastAsia" w:ascii="宋体" w:cs="宋体"/>
        </w:rPr>
        <w:t>以上情况如有不实，愿意被取消承包资格并上报行政主管部门，由行政主管部门列入不良行为记录，并</w:t>
      </w:r>
      <w:r>
        <w:rPr>
          <w:rFonts w:hint="eastAsia" w:cs="宋体"/>
        </w:rPr>
        <w:t>没收竞包保证金</w:t>
      </w:r>
      <w:r>
        <w:rPr>
          <w:rFonts w:hint="eastAsia" w:ascii="宋体" w:cs="宋体"/>
        </w:rPr>
        <w:t>。</w:t>
      </w:r>
    </w:p>
    <w:p>
      <w:pPr>
        <w:spacing w:line="420" w:lineRule="exact"/>
        <w:jc w:val="left"/>
        <w:rPr>
          <w:rFonts w:ascii="宋体" w:cs="Times New Roman"/>
        </w:rPr>
      </w:pPr>
      <w:r>
        <w:rPr>
          <w:rFonts w:hint="eastAsia" w:ascii="宋体" w:cs="宋体"/>
        </w:rPr>
        <w:t>附：项目法人身份证复印件</w:t>
      </w:r>
    </w:p>
    <w:tbl>
      <w:tblPr>
        <w:tblStyle w:val="24"/>
        <w:tblW w:w="9004"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5" w:hRule="atLeast"/>
        </w:trPr>
        <w:tc>
          <w:tcPr>
            <w:tcW w:w="9004" w:type="dxa"/>
          </w:tcPr>
          <w:p>
            <w:pPr>
              <w:spacing w:line="600" w:lineRule="auto"/>
              <w:jc w:val="center"/>
              <w:rPr>
                <w:rFonts w:ascii="宋体" w:cs="Times New Roman"/>
                <w:kern w:val="2"/>
              </w:rPr>
            </w:pPr>
          </w:p>
          <w:p>
            <w:pPr>
              <w:spacing w:line="600" w:lineRule="auto"/>
              <w:jc w:val="center"/>
              <w:rPr>
                <w:rFonts w:ascii="宋体" w:cs="Times New Roman"/>
                <w:kern w:val="2"/>
              </w:rPr>
            </w:pPr>
          </w:p>
          <w:p>
            <w:pPr>
              <w:spacing w:line="600" w:lineRule="auto"/>
              <w:jc w:val="center"/>
              <w:rPr>
                <w:rFonts w:ascii="宋体" w:cs="Times New Roman"/>
                <w:kern w:val="2"/>
              </w:rPr>
            </w:pPr>
          </w:p>
          <w:p>
            <w:pPr>
              <w:spacing w:line="600" w:lineRule="auto"/>
              <w:jc w:val="center"/>
              <w:rPr>
                <w:rFonts w:ascii="宋体" w:cs="Times New Roman"/>
                <w:kern w:val="2"/>
              </w:rPr>
            </w:pPr>
            <w:r>
              <w:rPr>
                <w:rFonts w:hint="eastAsia" w:ascii="宋体" w:cs="宋体"/>
                <w:kern w:val="2"/>
              </w:rPr>
              <w:t>项目法人身份证（正、反面）复印件粘贴处</w:t>
            </w:r>
          </w:p>
        </w:tc>
      </w:tr>
    </w:tbl>
    <w:p>
      <w:pPr>
        <w:spacing w:line="600" w:lineRule="auto"/>
        <w:rPr>
          <w:rFonts w:ascii="宋体" w:cs="Times New Roman"/>
        </w:rPr>
      </w:pPr>
    </w:p>
    <w:p>
      <w:pPr>
        <w:jc w:val="right"/>
        <w:rPr>
          <w:rFonts w:ascii="宋体" w:cs="Times New Roman"/>
        </w:rPr>
      </w:pPr>
      <w:r>
        <w:rPr>
          <w:rFonts w:hint="eastAsia" w:ascii="宋体" w:cs="宋体"/>
        </w:rPr>
        <w:t>竞包人：_______________（盖单位章）</w:t>
      </w:r>
    </w:p>
    <w:p>
      <w:pPr>
        <w:jc w:val="right"/>
        <w:rPr>
          <w:rFonts w:ascii="宋体" w:cs="Times New Roman"/>
        </w:rPr>
      </w:pPr>
    </w:p>
    <w:p>
      <w:pPr>
        <w:spacing w:line="340" w:lineRule="exact"/>
        <w:ind w:firstLine="6600" w:firstLineChars="2750"/>
        <w:jc w:val="left"/>
        <w:textAlignment w:val="auto"/>
        <w:rPr>
          <w:rFonts w:ascii="宋体" w:cs="Times New Roman"/>
          <w:sz w:val="21"/>
          <w:szCs w:val="21"/>
        </w:rPr>
      </w:pPr>
      <w:r>
        <w:rPr>
          <w:rFonts w:hint="eastAsia" w:ascii="宋体" w:cs="宋体"/>
        </w:rPr>
        <w:t>年 月 日</w:t>
      </w:r>
    </w:p>
    <w:p>
      <w:pPr>
        <w:spacing w:line="340" w:lineRule="exact"/>
        <w:jc w:val="left"/>
        <w:textAlignment w:val="auto"/>
        <w:rPr>
          <w:rFonts w:ascii="宋体" w:cs="Times New Roman"/>
          <w:sz w:val="21"/>
          <w:szCs w:val="21"/>
        </w:rPr>
      </w:pPr>
    </w:p>
    <w:p>
      <w:pPr>
        <w:spacing w:line="340" w:lineRule="exact"/>
        <w:jc w:val="left"/>
        <w:textAlignment w:val="auto"/>
        <w:rPr>
          <w:rFonts w:ascii="宋体" w:cs="宋体"/>
          <w:sz w:val="21"/>
          <w:szCs w:val="21"/>
        </w:rPr>
      </w:pPr>
    </w:p>
    <w:p>
      <w:pPr>
        <w:spacing w:line="340" w:lineRule="exact"/>
        <w:jc w:val="left"/>
        <w:textAlignment w:val="auto"/>
        <w:rPr>
          <w:rFonts w:ascii="宋体" w:cs="宋体"/>
          <w:sz w:val="21"/>
          <w:szCs w:val="21"/>
        </w:rPr>
      </w:pPr>
    </w:p>
    <w:p>
      <w:pPr>
        <w:spacing w:line="340" w:lineRule="exact"/>
        <w:jc w:val="left"/>
        <w:textAlignment w:val="auto"/>
        <w:rPr>
          <w:rFonts w:ascii="宋体" w:cs="宋体"/>
          <w:sz w:val="21"/>
          <w:szCs w:val="21"/>
        </w:rPr>
      </w:pPr>
    </w:p>
    <w:p>
      <w:pPr>
        <w:spacing w:line="340" w:lineRule="exact"/>
        <w:jc w:val="left"/>
        <w:textAlignment w:val="auto"/>
        <w:rPr>
          <w:rFonts w:ascii="宋体" w:cs="宋体"/>
          <w:sz w:val="21"/>
          <w:szCs w:val="21"/>
        </w:rPr>
      </w:pPr>
    </w:p>
    <w:p>
      <w:pPr>
        <w:spacing w:line="340" w:lineRule="exact"/>
        <w:jc w:val="left"/>
        <w:textAlignment w:val="auto"/>
        <w:rPr>
          <w:rFonts w:ascii="宋体" w:cs="宋体"/>
          <w:sz w:val="21"/>
          <w:szCs w:val="21"/>
        </w:rPr>
      </w:pPr>
    </w:p>
    <w:p>
      <w:pPr>
        <w:spacing w:line="340" w:lineRule="exact"/>
        <w:jc w:val="left"/>
        <w:textAlignment w:val="auto"/>
        <w:rPr>
          <w:rFonts w:ascii="宋体" w:cs="宋体"/>
          <w:sz w:val="21"/>
          <w:szCs w:val="21"/>
        </w:rPr>
      </w:pPr>
    </w:p>
    <w:p>
      <w:pPr>
        <w:pStyle w:val="5"/>
        <w:spacing w:line="360" w:lineRule="auto"/>
        <w:jc w:val="both"/>
        <w:rPr>
          <w:rFonts w:ascii="宋体" w:hAnsi="宋体"/>
          <w:szCs w:val="30"/>
        </w:rPr>
      </w:pPr>
      <w:bookmarkStart w:id="379" w:name="_Toc389815213"/>
    </w:p>
    <w:p>
      <w:pPr>
        <w:pStyle w:val="5"/>
        <w:spacing w:line="360" w:lineRule="auto"/>
        <w:jc w:val="center"/>
        <w:rPr>
          <w:rFonts w:ascii="宋体" w:hAnsi="宋体"/>
          <w:szCs w:val="30"/>
        </w:rPr>
      </w:pPr>
      <w:bookmarkStart w:id="380" w:name="_Toc25326"/>
      <w:r>
        <w:rPr>
          <w:rFonts w:hint="eastAsia" w:ascii="宋体" w:hAnsi="宋体"/>
          <w:szCs w:val="30"/>
        </w:rPr>
        <w:t>第五章 工程量清单</w:t>
      </w:r>
      <w:bookmarkEnd w:id="379"/>
      <w:bookmarkEnd w:id="380"/>
    </w:p>
    <w:bookmarkEnd w:id="148"/>
    <w:bookmarkEnd w:id="149"/>
    <w:bookmarkEnd w:id="378"/>
    <w:p>
      <w:pPr>
        <w:ind w:firstLine="3400" w:firstLineChars="850"/>
        <w:rPr>
          <w:sz w:val="21"/>
          <w:szCs w:val="21"/>
        </w:rPr>
      </w:pPr>
      <w:bookmarkStart w:id="381" w:name="_Toc303001138"/>
      <w:r>
        <w:rPr>
          <w:rFonts w:hint="eastAsia"/>
          <w:sz w:val="40"/>
        </w:rPr>
        <w:t>详细清单后附</w:t>
      </w:r>
    </w:p>
    <w:p>
      <w:pPr>
        <w:pStyle w:val="4"/>
        <w:ind w:firstLine="0"/>
      </w:pPr>
      <w:bookmarkStart w:id="382" w:name="_Toc405378508"/>
    </w:p>
    <w:p>
      <w:pPr>
        <w:pStyle w:val="4"/>
        <w:ind w:firstLine="0"/>
      </w:pPr>
    </w:p>
    <w:p>
      <w:pPr>
        <w:pStyle w:val="4"/>
        <w:ind w:firstLine="0"/>
      </w:pPr>
    </w:p>
    <w:p>
      <w:pPr>
        <w:pStyle w:val="4"/>
        <w:ind w:firstLine="0"/>
      </w:pPr>
    </w:p>
    <w:p>
      <w:pPr>
        <w:pStyle w:val="4"/>
        <w:ind w:firstLine="0"/>
      </w:pPr>
    </w:p>
    <w:p>
      <w:pPr>
        <w:pStyle w:val="4"/>
        <w:ind w:firstLine="0"/>
      </w:pPr>
    </w:p>
    <w:p>
      <w:pPr>
        <w:pStyle w:val="5"/>
        <w:spacing w:line="720" w:lineRule="auto"/>
        <w:jc w:val="center"/>
        <w:rPr>
          <w:rFonts w:ascii="宋体" w:hAnsi="宋体"/>
          <w:sz w:val="52"/>
          <w:szCs w:val="52"/>
        </w:rPr>
      </w:pPr>
    </w:p>
    <w:p>
      <w:pPr>
        <w:pStyle w:val="5"/>
        <w:spacing w:line="720" w:lineRule="auto"/>
        <w:jc w:val="center"/>
        <w:rPr>
          <w:rFonts w:ascii="宋体" w:hAnsi="宋体"/>
          <w:sz w:val="52"/>
          <w:szCs w:val="52"/>
        </w:rPr>
      </w:pPr>
    </w:p>
    <w:p>
      <w:pPr>
        <w:pStyle w:val="5"/>
        <w:spacing w:line="720" w:lineRule="auto"/>
        <w:jc w:val="center"/>
        <w:rPr>
          <w:rFonts w:ascii="宋体" w:hAnsi="宋体"/>
          <w:sz w:val="52"/>
          <w:szCs w:val="52"/>
        </w:rPr>
      </w:pPr>
    </w:p>
    <w:p>
      <w:pPr>
        <w:pStyle w:val="5"/>
        <w:spacing w:line="720" w:lineRule="auto"/>
        <w:jc w:val="center"/>
        <w:rPr>
          <w:rFonts w:ascii="宋体" w:hAnsi="宋体"/>
          <w:sz w:val="52"/>
          <w:szCs w:val="52"/>
        </w:rPr>
      </w:pPr>
    </w:p>
    <w:p>
      <w:pPr>
        <w:pStyle w:val="5"/>
        <w:spacing w:line="720" w:lineRule="auto"/>
        <w:jc w:val="center"/>
        <w:rPr>
          <w:rFonts w:ascii="宋体" w:hAnsi="宋体"/>
          <w:sz w:val="52"/>
          <w:szCs w:val="52"/>
        </w:rPr>
      </w:pPr>
    </w:p>
    <w:p>
      <w:pPr>
        <w:pStyle w:val="5"/>
        <w:spacing w:line="720" w:lineRule="auto"/>
        <w:jc w:val="center"/>
        <w:rPr>
          <w:rFonts w:ascii="宋体" w:hAnsi="宋体"/>
          <w:sz w:val="52"/>
          <w:szCs w:val="52"/>
        </w:rPr>
      </w:pPr>
    </w:p>
    <w:p>
      <w:pPr>
        <w:pStyle w:val="5"/>
        <w:spacing w:line="720" w:lineRule="auto"/>
        <w:jc w:val="center"/>
        <w:rPr>
          <w:rFonts w:ascii="宋体" w:hAnsi="宋体"/>
          <w:sz w:val="52"/>
          <w:szCs w:val="52"/>
        </w:rPr>
      </w:pPr>
    </w:p>
    <w:p>
      <w:pPr>
        <w:pStyle w:val="5"/>
        <w:spacing w:line="720" w:lineRule="auto"/>
        <w:jc w:val="center"/>
        <w:rPr>
          <w:rFonts w:ascii="宋体" w:hAnsi="宋体"/>
          <w:sz w:val="52"/>
          <w:szCs w:val="52"/>
        </w:rPr>
      </w:pPr>
    </w:p>
    <w:p>
      <w:pPr>
        <w:pStyle w:val="5"/>
        <w:spacing w:line="720" w:lineRule="auto"/>
        <w:jc w:val="both"/>
        <w:rPr>
          <w:rFonts w:ascii="宋体" w:hAnsi="宋体"/>
          <w:sz w:val="52"/>
          <w:szCs w:val="52"/>
        </w:rPr>
      </w:pPr>
    </w:p>
    <w:p>
      <w:pPr>
        <w:pStyle w:val="5"/>
        <w:spacing w:line="720" w:lineRule="auto"/>
        <w:jc w:val="center"/>
        <w:rPr>
          <w:rFonts w:ascii="宋体" w:hAnsi="宋体"/>
          <w:sz w:val="52"/>
          <w:szCs w:val="52"/>
        </w:rPr>
      </w:pPr>
      <w:bookmarkStart w:id="383" w:name="_Toc20453"/>
      <w:r>
        <w:rPr>
          <w:rFonts w:hint="eastAsia" w:ascii="宋体" w:hAnsi="宋体"/>
          <w:sz w:val="52"/>
          <w:szCs w:val="52"/>
        </w:rPr>
        <w:t>第   二   卷</w:t>
      </w:r>
      <w:bookmarkEnd w:id="381"/>
      <w:bookmarkEnd w:id="382"/>
      <w:bookmarkEnd w:id="383"/>
    </w:p>
    <w:p>
      <w:pPr>
        <w:pStyle w:val="4"/>
        <w:spacing w:line="720" w:lineRule="auto"/>
        <w:ind w:firstLine="0"/>
        <w:rPr>
          <w:rFonts w:ascii="宋体" w:hAnsi="宋体"/>
          <w:snapToGrid w:val="0"/>
          <w:szCs w:val="21"/>
        </w:rPr>
      </w:pPr>
    </w:p>
    <w:p>
      <w:pPr>
        <w:pStyle w:val="5"/>
        <w:spacing w:line="720" w:lineRule="auto"/>
        <w:rPr>
          <w:rFonts w:ascii="宋体" w:hAnsi="宋体"/>
          <w:sz w:val="32"/>
          <w:szCs w:val="32"/>
        </w:rPr>
      </w:pPr>
    </w:p>
    <w:p>
      <w:pPr>
        <w:pStyle w:val="4"/>
        <w:ind w:firstLine="0"/>
      </w:pPr>
      <w:bookmarkStart w:id="384" w:name="_Toc309222156"/>
    </w:p>
    <w:p>
      <w:pPr>
        <w:pStyle w:val="4"/>
        <w:ind w:firstLine="0"/>
      </w:pPr>
    </w:p>
    <w:p>
      <w:pPr>
        <w:pStyle w:val="4"/>
        <w:ind w:firstLine="0"/>
      </w:pPr>
    </w:p>
    <w:p>
      <w:pPr>
        <w:pStyle w:val="4"/>
        <w:ind w:firstLine="0"/>
      </w:pPr>
    </w:p>
    <w:p>
      <w:pPr>
        <w:pStyle w:val="4"/>
      </w:pPr>
    </w:p>
    <w:p>
      <w:pPr>
        <w:pStyle w:val="5"/>
        <w:spacing w:line="720" w:lineRule="auto"/>
        <w:jc w:val="center"/>
        <w:rPr>
          <w:rFonts w:ascii="宋体" w:hAnsi="宋体"/>
          <w:sz w:val="32"/>
          <w:szCs w:val="32"/>
        </w:rPr>
      </w:pPr>
    </w:p>
    <w:p>
      <w:pPr>
        <w:pStyle w:val="5"/>
        <w:spacing w:line="720" w:lineRule="auto"/>
        <w:jc w:val="center"/>
        <w:rPr>
          <w:rFonts w:ascii="宋体" w:hAnsi="宋体"/>
          <w:sz w:val="32"/>
          <w:szCs w:val="32"/>
        </w:rPr>
      </w:pPr>
      <w:bookmarkStart w:id="385" w:name="_Toc5942"/>
      <w:r>
        <w:rPr>
          <w:rFonts w:ascii="宋体" w:hAnsi="宋体"/>
          <w:sz w:val="32"/>
          <w:szCs w:val="32"/>
        </w:rPr>
        <w:t>第六章 图纸</w:t>
      </w:r>
      <w:bookmarkEnd w:id="385"/>
    </w:p>
    <w:p>
      <w:pPr>
        <w:spacing w:line="600" w:lineRule="auto"/>
        <w:rPr>
          <w:rFonts w:ascii="宋体" w:hAnsi="宋体"/>
          <w:b/>
        </w:rPr>
      </w:pPr>
      <w:bookmarkStart w:id="386" w:name="_Toc303001140"/>
      <w:r>
        <w:rPr>
          <w:rFonts w:hint="eastAsia" w:ascii="宋体" w:hAnsi="宋体"/>
          <w:b/>
        </w:rPr>
        <w:t>1、 说明</w:t>
      </w:r>
      <w:bookmarkEnd w:id="386"/>
    </w:p>
    <w:p>
      <w:pPr>
        <w:pStyle w:val="4"/>
        <w:tabs>
          <w:tab w:val="left" w:pos="2400"/>
        </w:tabs>
        <w:spacing w:line="360" w:lineRule="auto"/>
        <w:rPr>
          <w:rFonts w:ascii="宋体" w:hAnsi="宋体"/>
          <w:snapToGrid w:val="0"/>
          <w:szCs w:val="24"/>
        </w:rPr>
      </w:pPr>
      <w:r>
        <w:rPr>
          <w:rFonts w:hint="eastAsia" w:ascii="宋体" w:hAnsi="宋体"/>
          <w:snapToGrid w:val="0"/>
          <w:szCs w:val="24"/>
        </w:rPr>
        <w:t>本发包文件所附全部图纸为发包图，仅供竞包人在编制竞包文件时使用，不得作为施工详图使用，否则，由此而造成的一切后果均由承包人自负。</w:t>
      </w:r>
    </w:p>
    <w:p>
      <w:pPr>
        <w:spacing w:line="720" w:lineRule="auto"/>
        <w:rPr>
          <w:snapToGrid w:val="0"/>
          <w:szCs w:val="24"/>
        </w:rPr>
      </w:pPr>
      <w:bookmarkStart w:id="387" w:name="_Toc303001141"/>
      <w:r>
        <w:rPr>
          <w:rFonts w:hint="eastAsia" w:ascii="宋体" w:hAnsi="宋体"/>
          <w:b/>
        </w:rPr>
        <w:t>2 、图纸（详见图册）</w:t>
      </w:r>
      <w:bookmarkEnd w:id="387"/>
      <w:r>
        <w:rPr>
          <w:snapToGrid w:val="0"/>
        </w:rPr>
        <w:br w:type="page"/>
      </w:r>
    </w:p>
    <w:p>
      <w:pPr>
        <w:pStyle w:val="5"/>
        <w:jc w:val="center"/>
        <w:rPr>
          <w:rFonts w:ascii="宋体" w:hAnsi="宋体"/>
          <w:sz w:val="48"/>
        </w:rPr>
      </w:pPr>
    </w:p>
    <w:p>
      <w:pPr>
        <w:pStyle w:val="5"/>
        <w:jc w:val="center"/>
        <w:rPr>
          <w:rFonts w:ascii="宋体" w:hAnsi="宋体"/>
          <w:sz w:val="48"/>
        </w:rPr>
      </w:pPr>
    </w:p>
    <w:p>
      <w:pPr>
        <w:pStyle w:val="5"/>
        <w:jc w:val="center"/>
        <w:rPr>
          <w:rFonts w:ascii="宋体" w:hAnsi="宋体"/>
          <w:sz w:val="48"/>
        </w:rPr>
      </w:pPr>
    </w:p>
    <w:p>
      <w:pPr>
        <w:pStyle w:val="5"/>
        <w:jc w:val="center"/>
        <w:rPr>
          <w:rFonts w:ascii="宋体" w:hAnsi="宋体"/>
          <w:sz w:val="48"/>
        </w:rPr>
      </w:pPr>
    </w:p>
    <w:p>
      <w:pPr>
        <w:pStyle w:val="5"/>
        <w:jc w:val="center"/>
        <w:rPr>
          <w:rFonts w:ascii="宋体" w:hAnsi="宋体"/>
          <w:sz w:val="48"/>
        </w:rPr>
      </w:pPr>
    </w:p>
    <w:p>
      <w:pPr>
        <w:pStyle w:val="5"/>
        <w:jc w:val="center"/>
        <w:rPr>
          <w:rFonts w:ascii="宋体" w:hAnsi="宋体"/>
          <w:sz w:val="52"/>
          <w:szCs w:val="52"/>
        </w:rPr>
      </w:pPr>
      <w:bookmarkStart w:id="388" w:name="_Toc30994"/>
      <w:r>
        <w:rPr>
          <w:rFonts w:hint="eastAsia" w:ascii="宋体" w:hAnsi="宋体"/>
          <w:sz w:val="52"/>
          <w:szCs w:val="52"/>
        </w:rPr>
        <w:t>第   三   卷</w:t>
      </w:r>
      <w:bookmarkEnd w:id="388"/>
    </w:p>
    <w:p>
      <w:pPr>
        <w:rPr>
          <w:rFonts w:ascii="宋体" w:hAnsi="宋体"/>
          <w:snapToGrid w:val="0"/>
        </w:rPr>
      </w:pPr>
    </w:p>
    <w:p>
      <w:pPr>
        <w:pStyle w:val="5"/>
        <w:spacing w:line="360" w:lineRule="auto"/>
        <w:jc w:val="center"/>
        <w:rPr>
          <w:rFonts w:ascii="宋体" w:hAnsi="宋体"/>
          <w:sz w:val="32"/>
          <w:szCs w:val="32"/>
        </w:rPr>
      </w:pPr>
      <w:bookmarkStart w:id="389" w:name="_Toc303001143"/>
      <w:bookmarkStart w:id="390" w:name="_Toc217819084"/>
    </w:p>
    <w:p>
      <w:pPr>
        <w:pStyle w:val="5"/>
        <w:spacing w:line="360" w:lineRule="auto"/>
        <w:jc w:val="center"/>
        <w:rPr>
          <w:rFonts w:ascii="宋体" w:hAnsi="宋体"/>
          <w:bCs/>
          <w:sz w:val="32"/>
          <w:szCs w:val="32"/>
        </w:rPr>
      </w:pPr>
      <w:r>
        <w:rPr>
          <w:rFonts w:ascii="宋体" w:hAnsi="宋体"/>
          <w:sz w:val="32"/>
          <w:szCs w:val="32"/>
        </w:rPr>
        <w:br w:type="page"/>
      </w:r>
      <w:bookmarkStart w:id="391" w:name="_Toc17604"/>
      <w:r>
        <w:rPr>
          <w:rFonts w:hint="eastAsia" w:ascii="宋体" w:hAnsi="宋体"/>
          <w:sz w:val="32"/>
          <w:szCs w:val="32"/>
        </w:rPr>
        <w:t xml:space="preserve">第七章  </w:t>
      </w:r>
      <w:r>
        <w:rPr>
          <w:rFonts w:hint="eastAsia" w:ascii="宋体" w:hAnsi="宋体"/>
          <w:bCs/>
          <w:sz w:val="32"/>
          <w:szCs w:val="32"/>
        </w:rPr>
        <w:t>技术标</w:t>
      </w:r>
      <w:r>
        <w:rPr>
          <w:rFonts w:ascii="宋体" w:hAnsi="宋体"/>
          <w:bCs/>
          <w:sz w:val="32"/>
          <w:szCs w:val="32"/>
        </w:rPr>
        <w:t>准和要求</w:t>
      </w:r>
      <w:bookmarkEnd w:id="389"/>
      <w:bookmarkEnd w:id="390"/>
      <w:bookmarkStart w:id="392" w:name="_Toc134153223"/>
      <w:bookmarkStart w:id="393" w:name="_Toc122746617"/>
      <w:bookmarkStart w:id="394" w:name="_Toc167613142"/>
      <w:bookmarkStart w:id="395" w:name="_Toc132085884"/>
      <w:bookmarkStart w:id="396" w:name="_Toc221438559"/>
      <w:bookmarkStart w:id="397" w:name="_Toc130672762"/>
      <w:bookmarkStart w:id="398" w:name="_Toc69200173"/>
      <w:bookmarkStart w:id="399" w:name="_Toc90178295"/>
      <w:bookmarkStart w:id="400" w:name="_Toc303001144"/>
      <w:bookmarkStart w:id="401" w:name="_Toc130195275"/>
      <w:bookmarkStart w:id="402" w:name="_Toc130633075"/>
      <w:bookmarkStart w:id="403" w:name="_Toc25481970"/>
      <w:bookmarkStart w:id="404" w:name="_Toc134153083"/>
      <w:bookmarkStart w:id="405" w:name="_Toc131992794"/>
      <w:bookmarkStart w:id="406" w:name="_Toc130188422"/>
      <w:bookmarkStart w:id="407" w:name="_Toc85869939"/>
      <w:bookmarkStart w:id="408" w:name="_Toc232395738"/>
      <w:bookmarkStart w:id="409" w:name="_Toc99761987"/>
      <w:bookmarkStart w:id="410" w:name="_Toc85872453"/>
      <w:r>
        <w:rPr>
          <w:rFonts w:hint="eastAsia" w:ascii="宋体" w:hAnsi="宋体"/>
          <w:bCs/>
          <w:sz w:val="32"/>
          <w:szCs w:val="32"/>
        </w:rPr>
        <w:t>（合同技术条款）</w:t>
      </w:r>
      <w:bookmarkEnd w:id="391"/>
    </w:p>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p>
      <w:pPr>
        <w:pStyle w:val="5"/>
        <w:spacing w:line="360" w:lineRule="auto"/>
        <w:jc w:val="center"/>
        <w:rPr>
          <w:szCs w:val="30"/>
        </w:rPr>
      </w:pPr>
      <w:bookmarkStart w:id="411" w:name="_Toc336325322"/>
      <w:bookmarkStart w:id="412" w:name="_Toc311407724"/>
      <w:bookmarkStart w:id="413" w:name="_Toc976"/>
      <w:r>
        <w:rPr>
          <w:rFonts w:hint="eastAsia"/>
          <w:szCs w:val="30"/>
        </w:rPr>
        <w:t>第1节一般规定</w:t>
      </w:r>
      <w:bookmarkEnd w:id="411"/>
      <w:bookmarkEnd w:id="412"/>
      <w:bookmarkEnd w:id="413"/>
    </w:p>
    <w:p>
      <w:pPr>
        <w:pStyle w:val="6"/>
        <w:snapToGrid w:val="0"/>
        <w:spacing w:line="360" w:lineRule="exact"/>
        <w:rPr>
          <w:rFonts w:ascii="宋体" w:hAnsi="宋体" w:eastAsia="宋体"/>
          <w:snapToGrid w:val="0"/>
          <w:sz w:val="21"/>
          <w:szCs w:val="21"/>
        </w:rPr>
      </w:pPr>
      <w:bookmarkStart w:id="414" w:name="_Toc151517470"/>
      <w:bookmarkStart w:id="415" w:name="_Toc151604983"/>
      <w:bookmarkStart w:id="416" w:name="_Toc208389940"/>
      <w:bookmarkStart w:id="417" w:name="_Toc151604766"/>
      <w:bookmarkStart w:id="418" w:name="_Toc336325323"/>
      <w:bookmarkStart w:id="419" w:name="_Toc211762063"/>
      <w:bookmarkStart w:id="420" w:name="_Toc15988"/>
      <w:bookmarkStart w:id="421" w:name="_Toc87691743"/>
      <w:bookmarkStart w:id="422" w:name="_Toc311407725"/>
      <w:bookmarkStart w:id="423" w:name="_Toc341965008"/>
      <w:bookmarkStart w:id="424" w:name="_Toc339482491"/>
      <w:bookmarkStart w:id="425" w:name="_Toc339983397"/>
      <w:bookmarkStart w:id="426" w:name="_Toc336255210"/>
      <w:bookmarkStart w:id="427" w:name="_Toc339224625"/>
      <w:bookmarkStart w:id="428" w:name="_Toc45083908"/>
      <w:bookmarkStart w:id="429" w:name="_Toc121116507"/>
      <w:bookmarkStart w:id="430" w:name="_Toc167678285"/>
      <w:bookmarkStart w:id="431" w:name="_Toc167677994"/>
      <w:bookmarkStart w:id="432" w:name="_Toc139895908"/>
      <w:bookmarkStart w:id="433" w:name="_Toc139895906"/>
      <w:bookmarkStart w:id="434" w:name="_Toc260045505"/>
      <w:bookmarkStart w:id="435" w:name="_Toc47954886"/>
      <w:r>
        <w:rPr>
          <w:rFonts w:hint="eastAsia" w:ascii="宋体" w:hAnsi="宋体" w:eastAsia="宋体"/>
          <w:snapToGrid w:val="0"/>
          <w:sz w:val="21"/>
          <w:szCs w:val="21"/>
        </w:rPr>
        <w:t>1.1 说明</w:t>
      </w:r>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p>
    <w:p>
      <w:pPr>
        <w:pStyle w:val="7"/>
        <w:snapToGrid w:val="0"/>
        <w:spacing w:line="360" w:lineRule="exact"/>
        <w:rPr>
          <w:rFonts w:ascii="宋体" w:hAnsi="宋体" w:eastAsia="宋体"/>
          <w:color w:val="auto"/>
          <w:sz w:val="21"/>
          <w:szCs w:val="21"/>
        </w:rPr>
      </w:pPr>
      <w:bookmarkStart w:id="436" w:name="_Toc87691744"/>
      <w:r>
        <w:rPr>
          <w:rFonts w:hint="eastAsia" w:ascii="宋体" w:hAnsi="宋体" w:eastAsia="宋体"/>
          <w:color w:val="auto"/>
          <w:sz w:val="21"/>
          <w:szCs w:val="21"/>
        </w:rPr>
        <w:t>1.1.1 工程概况</w:t>
      </w:r>
      <w:bookmarkEnd w:id="436"/>
      <w:bookmarkStart w:id="437" w:name="_Toc87691745"/>
    </w:p>
    <w:p>
      <w:pPr>
        <w:pStyle w:val="7"/>
        <w:snapToGrid w:val="0"/>
        <w:spacing w:line="360" w:lineRule="exact"/>
        <w:ind w:firstLine="420" w:firstLineChars="200"/>
        <w:rPr>
          <w:rFonts w:hint="eastAsia" w:ascii="宋体" w:hAnsi="宋体" w:eastAsiaTheme="minorEastAsia"/>
          <w:b w:val="0"/>
          <w:color w:val="auto"/>
          <w:sz w:val="21"/>
          <w:szCs w:val="21"/>
          <w:lang w:eastAsia="zh-CN"/>
        </w:rPr>
      </w:pPr>
      <w:r>
        <w:rPr>
          <w:rFonts w:hint="eastAsia" w:ascii="宋体" w:hAnsi="宋体" w:eastAsiaTheme="minorEastAsia"/>
          <w:b w:val="0"/>
          <w:color w:val="auto"/>
          <w:sz w:val="21"/>
          <w:szCs w:val="21"/>
          <w:lang w:eastAsia="zh-CN"/>
        </w:rPr>
        <w:t>本项目位于湖州市高新区杨溇村，拟对杨溇村粮食功能区农田区块进行整体提升，总计涉及范围约520亩。主要工程建设规模为：新建渠道1.405公里；排渠加高0.772公里；渠系建筑物55处；新建DN200低压管道1.265公里，修筑机耕路2.775公里，均为砼路面。以及为完成上述工作所必须的措施项目和其他项目的建设及维护。</w:t>
      </w:r>
    </w:p>
    <w:p>
      <w:pPr>
        <w:pStyle w:val="7"/>
        <w:snapToGrid w:val="0"/>
        <w:spacing w:line="360" w:lineRule="exact"/>
        <w:ind w:firstLine="420" w:firstLineChars="200"/>
        <w:rPr>
          <w:rFonts w:ascii="宋体" w:hAnsi="宋体" w:eastAsia="宋体"/>
          <w:sz w:val="21"/>
          <w:szCs w:val="21"/>
        </w:rPr>
      </w:pPr>
      <w:r>
        <w:rPr>
          <w:rFonts w:hint="eastAsia" w:ascii="宋体" w:hAnsi="宋体" w:eastAsiaTheme="minorEastAsia"/>
          <w:b w:val="0"/>
          <w:color w:val="auto"/>
          <w:sz w:val="21"/>
          <w:szCs w:val="21"/>
          <w:lang w:eastAsia="zh-CN"/>
        </w:rPr>
        <w:t>计划总投资约为79.40万元，工程质量要求合格，计划工期为60日历天。</w:t>
      </w:r>
      <w:bookmarkEnd w:id="437"/>
    </w:p>
    <w:p>
      <w:pPr>
        <w:pStyle w:val="7"/>
        <w:snapToGrid w:val="0"/>
        <w:spacing w:line="360" w:lineRule="exact"/>
        <w:rPr>
          <w:rFonts w:hint="eastAsia" w:ascii="宋体" w:hAnsi="宋体" w:eastAsia="宋体"/>
          <w:color w:val="auto"/>
          <w:sz w:val="21"/>
          <w:szCs w:val="21"/>
        </w:rPr>
      </w:pPr>
      <w:bookmarkStart w:id="438" w:name="_Toc87691746"/>
      <w:r>
        <w:rPr>
          <w:rFonts w:hint="eastAsia" w:ascii="宋体" w:hAnsi="宋体" w:eastAsia="宋体"/>
          <w:color w:val="auto"/>
          <w:sz w:val="21"/>
          <w:szCs w:val="21"/>
        </w:rPr>
        <w:t>1.1.2.1 水文气象</w:t>
      </w:r>
    </w:p>
    <w:p>
      <w:pPr>
        <w:snapToGrid w:val="0"/>
        <w:spacing w:line="360" w:lineRule="exact"/>
        <w:ind w:firstLine="420" w:firstLineChars="200"/>
        <w:rPr>
          <w:rFonts w:ascii="宋体" w:hAnsi="宋体"/>
          <w:snapToGrid w:val="0"/>
          <w:sz w:val="21"/>
          <w:szCs w:val="21"/>
        </w:rPr>
      </w:pPr>
      <w:r>
        <w:rPr>
          <w:rFonts w:hint="eastAsia" w:ascii="宋体" w:hAnsi="宋体"/>
          <w:snapToGrid w:val="0"/>
          <w:sz w:val="21"/>
          <w:szCs w:val="21"/>
        </w:rPr>
        <w:t>本工程</w:t>
      </w:r>
      <w:r>
        <w:rPr>
          <w:rFonts w:ascii="宋体" w:hAnsi="宋体"/>
          <w:snapToGrid w:val="0"/>
          <w:sz w:val="21"/>
          <w:szCs w:val="21"/>
        </w:rPr>
        <w:t>地处亚热带季风气候区，温暖湿润，四季分明，雨热同季。由于季风气候的不稳定性，易受夏季梅雨和台风洪涝、冬春低温寒潮、盛夏高温干旱等灾害性天气的影响。多年平均气温15.8</w:t>
      </w:r>
      <w:r>
        <w:rPr>
          <w:rFonts w:hint="eastAsia" w:ascii="宋体" w:hAnsi="宋体"/>
          <w:snapToGrid w:val="0"/>
          <w:sz w:val="21"/>
          <w:szCs w:val="21"/>
        </w:rPr>
        <w:t>℃</w:t>
      </w:r>
      <w:r>
        <w:rPr>
          <w:rFonts w:ascii="宋体" w:hAnsi="宋体"/>
          <w:snapToGrid w:val="0"/>
          <w:sz w:val="21"/>
          <w:szCs w:val="21"/>
        </w:rPr>
        <w:t>，极端最高气温39</w:t>
      </w:r>
      <w:r>
        <w:rPr>
          <w:rFonts w:hint="eastAsia" w:ascii="宋体" w:hAnsi="宋体"/>
          <w:snapToGrid w:val="0"/>
          <w:sz w:val="21"/>
          <w:szCs w:val="21"/>
        </w:rPr>
        <w:t>℃</w:t>
      </w:r>
      <w:r>
        <w:rPr>
          <w:rFonts w:ascii="宋体" w:hAnsi="宋体"/>
          <w:snapToGrid w:val="0"/>
          <w:sz w:val="21"/>
          <w:szCs w:val="21"/>
        </w:rPr>
        <w:t>（1966年），极端最低气温-11.1</w:t>
      </w:r>
      <w:r>
        <w:rPr>
          <w:rFonts w:hint="eastAsia" w:ascii="宋体" w:hAnsi="宋体"/>
          <w:snapToGrid w:val="0"/>
          <w:sz w:val="21"/>
          <w:szCs w:val="21"/>
        </w:rPr>
        <w:t>℃</w:t>
      </w:r>
      <w:r>
        <w:rPr>
          <w:rFonts w:ascii="宋体" w:hAnsi="宋体"/>
          <w:snapToGrid w:val="0"/>
          <w:sz w:val="21"/>
          <w:szCs w:val="21"/>
        </w:rPr>
        <w:t>（1969年），平均风速3.0m/s，多年平均最大风速20.3m/s，一般风向为W、WNW。</w:t>
      </w:r>
    </w:p>
    <w:p>
      <w:pPr>
        <w:snapToGrid w:val="0"/>
        <w:spacing w:line="360" w:lineRule="exact"/>
        <w:ind w:firstLine="420" w:firstLineChars="200"/>
        <w:rPr>
          <w:rFonts w:ascii="宋体" w:hAnsi="宋体"/>
          <w:snapToGrid w:val="0"/>
          <w:sz w:val="21"/>
          <w:szCs w:val="21"/>
        </w:rPr>
      </w:pPr>
      <w:r>
        <w:rPr>
          <w:rFonts w:ascii="宋体" w:hAnsi="宋体"/>
          <w:snapToGrid w:val="0"/>
          <w:sz w:val="21"/>
          <w:szCs w:val="21"/>
        </w:rPr>
        <w:t>多年平均降水量</w:t>
      </w:r>
      <w:r>
        <w:rPr>
          <w:rFonts w:hint="eastAsia" w:ascii="宋体" w:hAnsi="宋体"/>
          <w:snapToGrid w:val="0"/>
          <w:sz w:val="21"/>
          <w:szCs w:val="21"/>
        </w:rPr>
        <w:t>1398.5</w:t>
      </w:r>
      <w:r>
        <w:rPr>
          <w:rFonts w:ascii="宋体" w:hAnsi="宋体"/>
          <w:snapToGrid w:val="0"/>
          <w:sz w:val="21"/>
          <w:szCs w:val="21"/>
        </w:rPr>
        <w:t>mm，建国后最大年降雨量达2102.6mm（杭长桥站1954年降雨量），最枯年降雨量729mm（杭长桥站1978年），平均年降雨日142~155天，无霜期235天左右。降雨以梅雨和台风雨为主，年内雨量分布不均，5~10月降水量占70%左右，易成洪涝灾害。</w:t>
      </w:r>
    </w:p>
    <w:p>
      <w:pPr>
        <w:pStyle w:val="7"/>
        <w:snapToGrid w:val="0"/>
        <w:spacing w:line="360" w:lineRule="exact"/>
        <w:rPr>
          <w:rFonts w:ascii="宋体" w:hAnsi="宋体" w:eastAsia="宋体"/>
          <w:sz w:val="21"/>
          <w:szCs w:val="21"/>
        </w:rPr>
      </w:pPr>
      <w:r>
        <w:rPr>
          <w:rFonts w:hint="eastAsia" w:ascii="宋体" w:hAnsi="宋体" w:eastAsia="宋体"/>
          <w:sz w:val="21"/>
          <w:szCs w:val="21"/>
        </w:rPr>
        <w:t>1.1.3 施工条件</w:t>
      </w:r>
      <w:bookmarkEnd w:id="438"/>
    </w:p>
    <w:p>
      <w:pPr>
        <w:snapToGrid w:val="0"/>
        <w:spacing w:line="360" w:lineRule="exact"/>
        <w:ind w:firstLine="420" w:firstLineChars="200"/>
        <w:rPr>
          <w:rFonts w:ascii="宋体" w:hAnsi="宋体"/>
          <w:snapToGrid w:val="0"/>
          <w:sz w:val="21"/>
          <w:szCs w:val="21"/>
        </w:rPr>
      </w:pPr>
      <w:r>
        <w:rPr>
          <w:rFonts w:hint="eastAsia" w:ascii="宋体" w:hAnsi="宋体"/>
          <w:snapToGrid w:val="0"/>
          <w:sz w:val="21"/>
          <w:szCs w:val="21"/>
        </w:rPr>
        <w:t>1.1.3</w:t>
      </w:r>
      <w:r>
        <w:rPr>
          <w:rFonts w:ascii="宋体" w:hAnsi="宋体"/>
          <w:snapToGrid w:val="0"/>
          <w:sz w:val="21"/>
          <w:szCs w:val="21"/>
        </w:rPr>
        <w:t>.1</w:t>
      </w:r>
      <w:r>
        <w:rPr>
          <w:rFonts w:hint="eastAsia" w:ascii="宋体" w:hAnsi="宋体"/>
          <w:snapToGrid w:val="0"/>
          <w:sz w:val="21"/>
          <w:szCs w:val="21"/>
        </w:rPr>
        <w:t xml:space="preserve"> 土料场</w:t>
      </w:r>
    </w:p>
    <w:p>
      <w:pPr>
        <w:snapToGrid w:val="0"/>
        <w:spacing w:line="360" w:lineRule="exact"/>
        <w:ind w:firstLine="420" w:firstLineChars="200"/>
        <w:rPr>
          <w:rFonts w:ascii="宋体" w:hAnsi="宋体"/>
          <w:snapToGrid w:val="0"/>
          <w:sz w:val="21"/>
          <w:szCs w:val="21"/>
        </w:rPr>
      </w:pPr>
      <w:r>
        <w:rPr>
          <w:rFonts w:hint="eastAsia" w:ascii="宋体" w:hAnsi="宋体"/>
          <w:snapToGrid w:val="0"/>
          <w:sz w:val="21"/>
          <w:szCs w:val="21"/>
        </w:rPr>
        <w:t>回填土料利用满足回填要求的开挖土，若回填土料不足则回填土料料源由承包人自行负责，不足部分的回填土料的料源费、运输费、填筑费、检验、试验、验收等相应费用均进入相关项目的单价中，发包人不另行支付。</w:t>
      </w:r>
    </w:p>
    <w:p>
      <w:pPr>
        <w:snapToGrid w:val="0"/>
        <w:spacing w:line="360" w:lineRule="exact"/>
        <w:ind w:firstLine="420" w:firstLineChars="200"/>
        <w:rPr>
          <w:rFonts w:ascii="宋体" w:hAnsi="宋体"/>
          <w:snapToGrid w:val="0"/>
          <w:sz w:val="21"/>
          <w:szCs w:val="21"/>
        </w:rPr>
      </w:pPr>
      <w:r>
        <w:rPr>
          <w:rFonts w:hint="eastAsia" w:ascii="宋体" w:hAnsi="宋体"/>
          <w:snapToGrid w:val="0"/>
          <w:sz w:val="21"/>
          <w:szCs w:val="21"/>
        </w:rPr>
        <w:t>1.1.3</w:t>
      </w:r>
      <w:r>
        <w:rPr>
          <w:rFonts w:ascii="宋体" w:hAnsi="宋体"/>
          <w:snapToGrid w:val="0"/>
          <w:sz w:val="21"/>
          <w:szCs w:val="21"/>
        </w:rPr>
        <w:t>.</w:t>
      </w:r>
      <w:r>
        <w:rPr>
          <w:rFonts w:hint="eastAsia" w:ascii="宋体" w:hAnsi="宋体"/>
          <w:snapToGrid w:val="0"/>
          <w:sz w:val="21"/>
          <w:szCs w:val="21"/>
        </w:rPr>
        <w:t>2弃渣场</w:t>
      </w:r>
    </w:p>
    <w:p>
      <w:pPr>
        <w:snapToGrid w:val="0"/>
        <w:spacing w:line="360" w:lineRule="exact"/>
        <w:ind w:firstLine="420" w:firstLineChars="200"/>
        <w:rPr>
          <w:rFonts w:ascii="宋体" w:hAnsi="宋体"/>
          <w:snapToGrid w:val="0"/>
          <w:sz w:val="21"/>
          <w:szCs w:val="21"/>
        </w:rPr>
      </w:pPr>
      <w:r>
        <w:rPr>
          <w:rFonts w:hint="eastAsia" w:ascii="宋体" w:hAnsi="宋体"/>
          <w:snapToGrid w:val="0"/>
          <w:sz w:val="21"/>
          <w:szCs w:val="21"/>
        </w:rPr>
        <w:t>弃渣场地由竞包人自行解决，并经</w:t>
      </w:r>
      <w:r>
        <w:rPr>
          <w:rFonts w:ascii="宋体" w:hAnsi="宋体"/>
          <w:snapToGrid w:val="0"/>
          <w:sz w:val="21"/>
          <w:szCs w:val="21"/>
        </w:rPr>
        <w:t>监理人</w:t>
      </w:r>
      <w:r>
        <w:rPr>
          <w:rFonts w:hint="eastAsia" w:ascii="宋体" w:hAnsi="宋体"/>
          <w:snapToGrid w:val="0"/>
          <w:sz w:val="21"/>
          <w:szCs w:val="21"/>
        </w:rPr>
        <w:t>确认。及时做好弃渣场内水保，环保措施，弃渣场相关费用进入开挖项目单价中。</w:t>
      </w:r>
    </w:p>
    <w:p>
      <w:pPr>
        <w:snapToGrid w:val="0"/>
        <w:spacing w:line="360" w:lineRule="exact"/>
        <w:ind w:firstLine="420" w:firstLineChars="200"/>
        <w:rPr>
          <w:rFonts w:ascii="宋体" w:hAnsi="宋体"/>
          <w:snapToGrid w:val="0"/>
          <w:sz w:val="21"/>
          <w:szCs w:val="21"/>
        </w:rPr>
      </w:pPr>
      <w:r>
        <w:rPr>
          <w:rFonts w:hint="eastAsia" w:ascii="宋体" w:hAnsi="宋体"/>
          <w:snapToGrid w:val="0"/>
          <w:sz w:val="21"/>
          <w:szCs w:val="21"/>
        </w:rPr>
        <w:t>1.1.3</w:t>
      </w:r>
      <w:r>
        <w:rPr>
          <w:rFonts w:ascii="宋体" w:hAnsi="宋体"/>
          <w:snapToGrid w:val="0"/>
          <w:sz w:val="21"/>
          <w:szCs w:val="21"/>
        </w:rPr>
        <w:t>.</w:t>
      </w:r>
      <w:r>
        <w:rPr>
          <w:rFonts w:hint="eastAsia" w:ascii="宋体" w:hAnsi="宋体"/>
          <w:snapToGrid w:val="0"/>
          <w:sz w:val="21"/>
          <w:szCs w:val="21"/>
        </w:rPr>
        <w:t>3建筑材料</w:t>
      </w:r>
      <w:r>
        <w:rPr>
          <w:rFonts w:ascii="宋体" w:hAnsi="宋体"/>
          <w:snapToGrid w:val="0"/>
          <w:sz w:val="21"/>
          <w:szCs w:val="21"/>
        </w:rPr>
        <w:tab/>
      </w:r>
    </w:p>
    <w:p>
      <w:pPr>
        <w:pStyle w:val="4"/>
        <w:snapToGrid w:val="0"/>
        <w:spacing w:line="360" w:lineRule="exact"/>
        <w:ind w:firstLine="525"/>
        <w:rPr>
          <w:rFonts w:ascii="宋体" w:hAnsi="宋体"/>
          <w:snapToGrid w:val="0"/>
          <w:sz w:val="21"/>
          <w:szCs w:val="21"/>
        </w:rPr>
      </w:pPr>
      <w:r>
        <w:rPr>
          <w:rFonts w:hint="eastAsia" w:ascii="宋体" w:hAnsi="宋体"/>
          <w:snapToGrid w:val="0"/>
          <w:sz w:val="21"/>
          <w:szCs w:val="21"/>
        </w:rPr>
        <w:t>建筑材料均由竞包人自行负责。</w:t>
      </w:r>
    </w:p>
    <w:bookmarkEnd w:id="428"/>
    <w:p>
      <w:pPr>
        <w:pStyle w:val="6"/>
        <w:snapToGrid w:val="0"/>
        <w:spacing w:line="360" w:lineRule="exact"/>
        <w:rPr>
          <w:rFonts w:ascii="宋体" w:hAnsi="宋体" w:eastAsia="宋体"/>
          <w:snapToGrid w:val="0"/>
          <w:sz w:val="21"/>
          <w:szCs w:val="21"/>
        </w:rPr>
      </w:pPr>
      <w:bookmarkStart w:id="439" w:name="_Toc339224626"/>
      <w:bookmarkStart w:id="440" w:name="_Toc339983398"/>
      <w:bookmarkStart w:id="441" w:name="_Toc19608"/>
      <w:bookmarkStart w:id="442" w:name="_Toc45075900"/>
      <w:bookmarkStart w:id="443" w:name="_Toc151604984"/>
      <w:bookmarkStart w:id="444" w:name="_Toc341965009"/>
      <w:bookmarkStart w:id="445" w:name="_Toc151604767"/>
      <w:bookmarkStart w:id="446" w:name="_Toc147385283"/>
      <w:bookmarkStart w:id="447" w:name="_Toc151517471"/>
      <w:bookmarkStart w:id="448" w:name="_Toc57080983"/>
      <w:bookmarkStart w:id="449" w:name="_Toc311407726"/>
      <w:bookmarkStart w:id="450" w:name="_Toc336255211"/>
      <w:bookmarkStart w:id="451" w:name="_Toc45616672"/>
      <w:bookmarkStart w:id="452" w:name="_Toc336325324"/>
      <w:bookmarkStart w:id="453" w:name="_Toc339482492"/>
      <w:bookmarkStart w:id="454" w:name="_Toc208389941"/>
      <w:bookmarkStart w:id="455" w:name="_Toc211762064"/>
      <w:bookmarkStart w:id="456" w:name="_Toc116355474"/>
      <w:r>
        <w:rPr>
          <w:rFonts w:ascii="宋体" w:hAnsi="宋体" w:eastAsia="宋体"/>
          <w:snapToGrid w:val="0"/>
          <w:sz w:val="21"/>
          <w:szCs w:val="21"/>
        </w:rPr>
        <w:t xml:space="preserve">1.2 </w:t>
      </w:r>
      <w:r>
        <w:rPr>
          <w:rFonts w:hint="eastAsia" w:ascii="宋体" w:hAnsi="宋体" w:eastAsia="宋体"/>
          <w:snapToGrid w:val="0"/>
          <w:sz w:val="21"/>
          <w:szCs w:val="21"/>
        </w:rPr>
        <w:t>合同工作范围</w:t>
      </w:r>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p>
    <w:p>
      <w:pPr>
        <w:pStyle w:val="7"/>
        <w:snapToGrid w:val="0"/>
        <w:spacing w:line="360" w:lineRule="exact"/>
        <w:rPr>
          <w:rFonts w:ascii="宋体" w:hAnsi="宋体" w:eastAsia="宋体"/>
          <w:sz w:val="21"/>
          <w:szCs w:val="21"/>
        </w:rPr>
      </w:pPr>
      <w:r>
        <w:rPr>
          <w:rFonts w:ascii="宋体" w:hAnsi="宋体" w:eastAsia="宋体"/>
          <w:sz w:val="21"/>
          <w:szCs w:val="21"/>
        </w:rPr>
        <w:t xml:space="preserve">1.2.1 </w:t>
      </w:r>
      <w:r>
        <w:rPr>
          <w:rFonts w:hint="eastAsia" w:ascii="宋体" w:hAnsi="宋体" w:eastAsia="宋体"/>
          <w:sz w:val="21"/>
          <w:szCs w:val="21"/>
        </w:rPr>
        <w:t>本合同承包人承包的工程项目和工作内容</w:t>
      </w:r>
    </w:p>
    <w:p>
      <w:pPr>
        <w:snapToGrid w:val="0"/>
        <w:spacing w:line="360" w:lineRule="exact"/>
        <w:ind w:firstLine="420" w:firstLineChars="200"/>
        <w:rPr>
          <w:rFonts w:ascii="宋体" w:hAnsi="宋体"/>
          <w:snapToGrid w:val="0"/>
          <w:sz w:val="21"/>
          <w:szCs w:val="21"/>
        </w:rPr>
      </w:pPr>
      <w:r>
        <w:rPr>
          <w:rFonts w:ascii="宋体" w:hAnsi="宋体"/>
          <w:snapToGrid w:val="0"/>
          <w:sz w:val="21"/>
          <w:szCs w:val="21"/>
        </w:rPr>
        <w:t xml:space="preserve">(1) </w:t>
      </w:r>
      <w:r>
        <w:rPr>
          <w:rFonts w:hint="eastAsia" w:ascii="宋体" w:hAnsi="宋体"/>
          <w:snapToGrid w:val="0"/>
          <w:sz w:val="21"/>
          <w:szCs w:val="21"/>
        </w:rPr>
        <w:t>承包人应承包完成的永久工程项目包括：</w:t>
      </w:r>
    </w:p>
    <w:p>
      <w:pPr>
        <w:pStyle w:val="4"/>
        <w:snapToGrid w:val="0"/>
        <w:spacing w:line="360" w:lineRule="exact"/>
        <w:ind w:firstLine="525" w:firstLineChars="250"/>
        <w:rPr>
          <w:rFonts w:ascii="宋体" w:cs="Times New Roman"/>
          <w:snapToGrid w:val="0"/>
          <w:sz w:val="21"/>
          <w:szCs w:val="21"/>
        </w:rPr>
      </w:pPr>
      <w:r>
        <w:rPr>
          <w:rFonts w:hint="eastAsia" w:ascii="宋体" w:hAnsi="宋体"/>
          <w:snapToGrid w:val="0"/>
          <w:sz w:val="21"/>
          <w:szCs w:val="21"/>
        </w:rPr>
        <w:t>1）</w:t>
      </w:r>
      <w:r>
        <w:rPr>
          <w:rFonts w:hint="eastAsia" w:ascii="宋体" w:hAnsi="宋体" w:cs="宋体"/>
          <w:snapToGrid w:val="0"/>
          <w:sz w:val="21"/>
          <w:szCs w:val="21"/>
        </w:rPr>
        <w:t>具体详见工程量清单及图纸。</w:t>
      </w:r>
    </w:p>
    <w:p>
      <w:pPr>
        <w:snapToGrid w:val="0"/>
        <w:spacing w:line="360" w:lineRule="exact"/>
        <w:ind w:firstLine="482"/>
        <w:rPr>
          <w:rFonts w:ascii="宋体" w:hAnsi="宋体"/>
          <w:snapToGrid w:val="0"/>
          <w:sz w:val="21"/>
          <w:szCs w:val="21"/>
        </w:rPr>
      </w:pPr>
      <w:r>
        <w:rPr>
          <w:rFonts w:ascii="宋体" w:hAnsi="宋体"/>
          <w:snapToGrid w:val="0"/>
          <w:sz w:val="21"/>
          <w:szCs w:val="21"/>
        </w:rPr>
        <w:t xml:space="preserve">(2) </w:t>
      </w:r>
      <w:r>
        <w:rPr>
          <w:rFonts w:hint="eastAsia" w:ascii="宋体" w:hAnsi="宋体"/>
          <w:snapToGrid w:val="0"/>
          <w:sz w:val="21"/>
          <w:szCs w:val="21"/>
        </w:rPr>
        <w:t>承包人应承包完成的临时工程项目包括：</w:t>
      </w:r>
    </w:p>
    <w:p>
      <w:pPr>
        <w:snapToGrid w:val="0"/>
        <w:spacing w:line="360" w:lineRule="exact"/>
        <w:ind w:firstLine="482"/>
        <w:rPr>
          <w:rFonts w:ascii="宋体" w:hAnsi="宋体"/>
          <w:snapToGrid w:val="0"/>
          <w:sz w:val="21"/>
          <w:szCs w:val="21"/>
        </w:rPr>
      </w:pPr>
      <w:r>
        <w:rPr>
          <w:rFonts w:hint="eastAsia" w:ascii="宋体" w:hAnsi="宋体"/>
          <w:snapToGrid w:val="0"/>
          <w:sz w:val="21"/>
          <w:szCs w:val="21"/>
        </w:rPr>
        <w:t>1）施工道路，场内由承包人根据现有的施工道路条件，在满足工程施工的前提下，根据施工的需要，自行确定施工道路的级别与布置，并负责设计、施工、维护和养护；</w:t>
      </w:r>
    </w:p>
    <w:p>
      <w:pPr>
        <w:snapToGrid w:val="0"/>
        <w:spacing w:line="360" w:lineRule="exact"/>
        <w:ind w:firstLine="482"/>
        <w:rPr>
          <w:rFonts w:ascii="宋体" w:hAnsi="宋体"/>
          <w:snapToGrid w:val="0"/>
          <w:sz w:val="21"/>
          <w:szCs w:val="21"/>
        </w:rPr>
      </w:pPr>
      <w:r>
        <w:rPr>
          <w:rFonts w:hint="eastAsia" w:ascii="宋体" w:hAnsi="宋体"/>
          <w:snapToGrid w:val="0"/>
          <w:sz w:val="21"/>
          <w:szCs w:val="21"/>
        </w:rPr>
        <w:t>2）压气系统；</w:t>
      </w:r>
    </w:p>
    <w:p>
      <w:pPr>
        <w:snapToGrid w:val="0"/>
        <w:spacing w:line="360" w:lineRule="exact"/>
        <w:ind w:firstLine="482"/>
        <w:rPr>
          <w:rFonts w:ascii="宋体" w:hAnsi="宋体"/>
          <w:snapToGrid w:val="0"/>
          <w:sz w:val="21"/>
          <w:szCs w:val="21"/>
        </w:rPr>
      </w:pPr>
      <w:r>
        <w:rPr>
          <w:rFonts w:hint="eastAsia" w:ascii="宋体" w:hAnsi="宋体"/>
          <w:snapToGrid w:val="0"/>
          <w:sz w:val="21"/>
          <w:szCs w:val="21"/>
        </w:rPr>
        <w:t>3）施工用水系统；</w:t>
      </w:r>
    </w:p>
    <w:p>
      <w:pPr>
        <w:snapToGrid w:val="0"/>
        <w:spacing w:line="360" w:lineRule="exact"/>
        <w:ind w:firstLine="482"/>
        <w:rPr>
          <w:rFonts w:ascii="宋体" w:hAnsi="宋体"/>
          <w:snapToGrid w:val="0"/>
          <w:sz w:val="21"/>
          <w:szCs w:val="21"/>
        </w:rPr>
      </w:pPr>
      <w:r>
        <w:rPr>
          <w:rFonts w:hint="eastAsia" w:ascii="宋体" w:hAnsi="宋体"/>
          <w:snapToGrid w:val="0"/>
          <w:sz w:val="21"/>
          <w:szCs w:val="21"/>
        </w:rPr>
        <w:t>4）施工用电系统；</w:t>
      </w:r>
    </w:p>
    <w:p>
      <w:pPr>
        <w:snapToGrid w:val="0"/>
        <w:spacing w:line="360" w:lineRule="exact"/>
        <w:ind w:firstLine="482"/>
        <w:rPr>
          <w:rFonts w:ascii="宋体" w:hAnsi="宋体"/>
          <w:snapToGrid w:val="0"/>
          <w:sz w:val="21"/>
          <w:szCs w:val="21"/>
        </w:rPr>
      </w:pPr>
      <w:r>
        <w:rPr>
          <w:rFonts w:hint="eastAsia" w:ascii="宋体" w:hAnsi="宋体"/>
          <w:snapToGrid w:val="0"/>
          <w:sz w:val="21"/>
          <w:szCs w:val="21"/>
        </w:rPr>
        <w:t>5）砼拌和系统；</w:t>
      </w:r>
    </w:p>
    <w:p>
      <w:pPr>
        <w:snapToGrid w:val="0"/>
        <w:spacing w:line="360" w:lineRule="exact"/>
        <w:ind w:firstLine="482"/>
        <w:rPr>
          <w:rFonts w:ascii="宋体" w:hAnsi="宋体"/>
          <w:snapToGrid w:val="0"/>
          <w:sz w:val="21"/>
          <w:szCs w:val="21"/>
        </w:rPr>
      </w:pPr>
      <w:r>
        <w:rPr>
          <w:rFonts w:hint="eastAsia" w:ascii="宋体" w:hAnsi="宋体"/>
          <w:snapToGrid w:val="0"/>
          <w:sz w:val="21"/>
          <w:szCs w:val="21"/>
        </w:rPr>
        <w:t>6）碎石料系统；</w:t>
      </w:r>
    </w:p>
    <w:p>
      <w:pPr>
        <w:snapToGrid w:val="0"/>
        <w:spacing w:line="360" w:lineRule="exact"/>
        <w:ind w:firstLine="482"/>
        <w:rPr>
          <w:rFonts w:ascii="宋体" w:hAnsi="宋体"/>
          <w:snapToGrid w:val="0"/>
          <w:sz w:val="21"/>
          <w:szCs w:val="21"/>
        </w:rPr>
      </w:pPr>
      <w:r>
        <w:rPr>
          <w:rFonts w:hint="eastAsia" w:ascii="宋体" w:hAnsi="宋体"/>
          <w:snapToGrid w:val="0"/>
          <w:sz w:val="21"/>
          <w:szCs w:val="21"/>
        </w:rPr>
        <w:t>7）施工场地平整；</w:t>
      </w:r>
    </w:p>
    <w:p>
      <w:pPr>
        <w:snapToGrid w:val="0"/>
        <w:spacing w:line="360" w:lineRule="exact"/>
        <w:ind w:firstLine="482"/>
        <w:rPr>
          <w:rFonts w:ascii="宋体" w:hAnsi="宋体"/>
          <w:snapToGrid w:val="0"/>
          <w:sz w:val="21"/>
          <w:szCs w:val="21"/>
        </w:rPr>
      </w:pPr>
      <w:r>
        <w:rPr>
          <w:rFonts w:hint="eastAsia" w:ascii="宋体" w:hAnsi="宋体"/>
          <w:snapToGrid w:val="0"/>
          <w:sz w:val="21"/>
          <w:szCs w:val="21"/>
        </w:rPr>
        <w:t>8）修配加工企业；</w:t>
      </w:r>
    </w:p>
    <w:p>
      <w:pPr>
        <w:snapToGrid w:val="0"/>
        <w:spacing w:line="360" w:lineRule="exact"/>
        <w:ind w:firstLine="482"/>
        <w:rPr>
          <w:rFonts w:ascii="宋体" w:hAnsi="宋体"/>
          <w:snapToGrid w:val="0"/>
          <w:sz w:val="21"/>
          <w:szCs w:val="21"/>
        </w:rPr>
      </w:pPr>
      <w:r>
        <w:rPr>
          <w:rFonts w:hint="eastAsia" w:ascii="宋体" w:hAnsi="宋体"/>
          <w:snapToGrid w:val="0"/>
          <w:sz w:val="21"/>
          <w:szCs w:val="21"/>
        </w:rPr>
        <w:t>9）临时生产管理及生活设施；</w:t>
      </w:r>
    </w:p>
    <w:p>
      <w:pPr>
        <w:snapToGrid w:val="0"/>
        <w:spacing w:line="360" w:lineRule="exact"/>
        <w:ind w:firstLine="482"/>
        <w:rPr>
          <w:rFonts w:ascii="宋体" w:hAnsi="宋体"/>
          <w:snapToGrid w:val="0"/>
          <w:sz w:val="21"/>
          <w:szCs w:val="21"/>
        </w:rPr>
      </w:pPr>
      <w:r>
        <w:rPr>
          <w:rFonts w:hint="eastAsia" w:ascii="宋体" w:hAnsi="宋体"/>
          <w:snapToGrid w:val="0"/>
          <w:sz w:val="21"/>
          <w:szCs w:val="21"/>
        </w:rPr>
        <w:t>10）施工场地使用完的拆除；</w:t>
      </w:r>
    </w:p>
    <w:p>
      <w:pPr>
        <w:snapToGrid w:val="0"/>
        <w:spacing w:line="360" w:lineRule="exact"/>
        <w:ind w:firstLine="482"/>
        <w:rPr>
          <w:rFonts w:ascii="宋体" w:hAnsi="宋体"/>
          <w:snapToGrid w:val="0"/>
          <w:sz w:val="21"/>
          <w:szCs w:val="21"/>
        </w:rPr>
      </w:pPr>
      <w:r>
        <w:rPr>
          <w:rFonts w:hint="eastAsia" w:ascii="宋体" w:hAnsi="宋体"/>
          <w:snapToGrid w:val="0"/>
          <w:sz w:val="21"/>
          <w:szCs w:val="21"/>
        </w:rPr>
        <w:t>11）其它有关临时工程。</w:t>
      </w:r>
    </w:p>
    <w:p>
      <w:pPr>
        <w:pStyle w:val="7"/>
        <w:snapToGrid w:val="0"/>
        <w:spacing w:line="360" w:lineRule="exact"/>
        <w:rPr>
          <w:rFonts w:ascii="宋体" w:hAnsi="宋体" w:eastAsia="宋体"/>
          <w:sz w:val="21"/>
          <w:szCs w:val="21"/>
        </w:rPr>
      </w:pPr>
      <w:r>
        <w:rPr>
          <w:rFonts w:ascii="宋体" w:hAnsi="宋体" w:eastAsia="宋体"/>
          <w:sz w:val="21"/>
          <w:szCs w:val="21"/>
        </w:rPr>
        <w:t xml:space="preserve">1.2.2 </w:t>
      </w:r>
      <w:r>
        <w:rPr>
          <w:rFonts w:hint="eastAsia" w:ascii="宋体" w:hAnsi="宋体" w:eastAsia="宋体"/>
          <w:sz w:val="21"/>
          <w:szCs w:val="21"/>
        </w:rPr>
        <w:t>发包人承担的工程项目和工作内容</w:t>
      </w:r>
    </w:p>
    <w:p>
      <w:pPr>
        <w:snapToGrid w:val="0"/>
        <w:spacing w:line="360" w:lineRule="exact"/>
        <w:ind w:firstLine="482"/>
        <w:rPr>
          <w:rFonts w:ascii="宋体" w:hAnsi="宋体"/>
          <w:snapToGrid w:val="0"/>
          <w:sz w:val="21"/>
          <w:szCs w:val="21"/>
        </w:rPr>
      </w:pPr>
      <w:r>
        <w:rPr>
          <w:rFonts w:hint="eastAsia" w:ascii="宋体" w:hAnsi="宋体"/>
          <w:snapToGrid w:val="0"/>
          <w:sz w:val="21"/>
          <w:szCs w:val="21"/>
        </w:rPr>
        <w:t>有关政策处理的事宜。</w:t>
      </w:r>
    </w:p>
    <w:p>
      <w:pPr>
        <w:pStyle w:val="7"/>
        <w:snapToGrid w:val="0"/>
        <w:spacing w:line="360" w:lineRule="exact"/>
        <w:rPr>
          <w:rFonts w:ascii="宋体" w:hAnsi="宋体" w:eastAsia="宋体"/>
          <w:bCs/>
          <w:sz w:val="21"/>
          <w:szCs w:val="21"/>
        </w:rPr>
      </w:pPr>
      <w:r>
        <w:rPr>
          <w:rFonts w:hint="eastAsia" w:ascii="宋体" w:hAnsi="宋体" w:eastAsia="宋体"/>
          <w:bCs/>
          <w:sz w:val="21"/>
          <w:szCs w:val="21"/>
        </w:rPr>
        <w:t xml:space="preserve">1.3 </w:t>
      </w:r>
      <w:r>
        <w:rPr>
          <w:rFonts w:ascii="宋体" w:hAnsi="宋体" w:eastAsia="宋体"/>
          <w:bCs/>
          <w:sz w:val="21"/>
          <w:szCs w:val="21"/>
        </w:rPr>
        <w:t>发包人提供的施工图纸和文件</w:t>
      </w:r>
    </w:p>
    <w:p>
      <w:pPr>
        <w:pStyle w:val="7"/>
        <w:snapToGrid w:val="0"/>
        <w:spacing w:line="360" w:lineRule="exact"/>
        <w:rPr>
          <w:rFonts w:ascii="宋体" w:hAnsi="宋体" w:eastAsia="宋体"/>
          <w:sz w:val="21"/>
          <w:szCs w:val="21"/>
        </w:rPr>
      </w:pPr>
      <w:r>
        <w:rPr>
          <w:rFonts w:hint="eastAsia" w:ascii="宋体" w:hAnsi="宋体" w:eastAsia="宋体"/>
          <w:sz w:val="21"/>
          <w:szCs w:val="21"/>
        </w:rPr>
        <w:t xml:space="preserve">1.3.1 </w:t>
      </w:r>
      <w:r>
        <w:rPr>
          <w:rFonts w:ascii="宋体" w:hAnsi="宋体" w:eastAsia="宋体"/>
          <w:sz w:val="21"/>
          <w:szCs w:val="21"/>
        </w:rPr>
        <w:t>发包人负责提供的施工图纸和文件</w:t>
      </w:r>
    </w:p>
    <w:p>
      <w:pPr>
        <w:pStyle w:val="4"/>
        <w:snapToGrid w:val="0"/>
        <w:spacing w:line="360" w:lineRule="exact"/>
        <w:rPr>
          <w:rFonts w:ascii="宋体" w:hAnsi="宋体"/>
          <w:sz w:val="21"/>
          <w:szCs w:val="21"/>
        </w:rPr>
      </w:pPr>
      <w:r>
        <w:rPr>
          <w:rFonts w:hint="eastAsia" w:ascii="宋体" w:hAnsi="宋体"/>
          <w:sz w:val="21"/>
          <w:szCs w:val="21"/>
        </w:rPr>
        <w:t xml:space="preserve">(1) </w:t>
      </w:r>
      <w:r>
        <w:rPr>
          <w:rFonts w:ascii="宋体" w:hAnsi="宋体"/>
          <w:sz w:val="21"/>
          <w:szCs w:val="21"/>
        </w:rPr>
        <w:t>由发包人负责设计的工程项目</w:t>
      </w:r>
      <w:r>
        <w:rPr>
          <w:rFonts w:hint="eastAsia" w:ascii="宋体" w:hAnsi="宋体"/>
          <w:sz w:val="21"/>
          <w:szCs w:val="21"/>
        </w:rPr>
        <w:t>，</w:t>
      </w:r>
      <w:r>
        <w:rPr>
          <w:rFonts w:ascii="宋体" w:hAnsi="宋体"/>
          <w:sz w:val="21"/>
          <w:szCs w:val="21"/>
        </w:rPr>
        <w:t>应由监理人按本章第</w:t>
      </w:r>
      <w:r>
        <w:rPr>
          <w:rFonts w:hint="eastAsia" w:ascii="宋体" w:hAnsi="宋体"/>
          <w:sz w:val="21"/>
          <w:szCs w:val="21"/>
        </w:rPr>
        <w:t>1.3.2</w:t>
      </w:r>
      <w:r>
        <w:rPr>
          <w:rFonts w:ascii="宋体" w:hAnsi="宋体"/>
          <w:sz w:val="21"/>
          <w:szCs w:val="21"/>
        </w:rPr>
        <w:t>条签订的供图计划提供施工图纸给承包人</w:t>
      </w:r>
      <w:r>
        <w:rPr>
          <w:rFonts w:hint="eastAsia" w:ascii="宋体" w:hAnsi="宋体"/>
          <w:sz w:val="21"/>
          <w:szCs w:val="21"/>
        </w:rPr>
        <w:t>。</w:t>
      </w:r>
    </w:p>
    <w:p>
      <w:pPr>
        <w:pStyle w:val="4"/>
        <w:snapToGrid w:val="0"/>
        <w:spacing w:line="360" w:lineRule="exact"/>
        <w:rPr>
          <w:rFonts w:ascii="宋体" w:hAnsi="宋体"/>
          <w:sz w:val="21"/>
          <w:szCs w:val="21"/>
        </w:rPr>
      </w:pPr>
      <w:r>
        <w:rPr>
          <w:rFonts w:hint="eastAsia" w:ascii="宋体" w:hAnsi="宋体"/>
          <w:sz w:val="21"/>
          <w:szCs w:val="21"/>
        </w:rPr>
        <w:t xml:space="preserve">(2) </w:t>
      </w:r>
      <w:r>
        <w:rPr>
          <w:rFonts w:ascii="宋体" w:hAnsi="宋体"/>
          <w:sz w:val="21"/>
          <w:szCs w:val="21"/>
        </w:rPr>
        <w:t>发包人按合同约定向承包人提供的设计基本资料</w:t>
      </w:r>
      <w:r>
        <w:rPr>
          <w:rFonts w:hint="eastAsia" w:ascii="宋体" w:hAnsi="宋体"/>
          <w:sz w:val="21"/>
          <w:szCs w:val="21"/>
        </w:rPr>
        <w:t>、</w:t>
      </w:r>
      <w:r>
        <w:rPr>
          <w:rFonts w:ascii="宋体" w:hAnsi="宋体"/>
          <w:sz w:val="21"/>
          <w:szCs w:val="21"/>
        </w:rPr>
        <w:t>材料样品</w:t>
      </w:r>
      <w:r>
        <w:rPr>
          <w:rFonts w:hint="eastAsia" w:ascii="宋体" w:hAnsi="宋体"/>
          <w:sz w:val="21"/>
          <w:szCs w:val="21"/>
        </w:rPr>
        <w:t>、</w:t>
      </w:r>
      <w:r>
        <w:rPr>
          <w:rFonts w:ascii="宋体" w:hAnsi="宋体"/>
          <w:sz w:val="21"/>
          <w:szCs w:val="21"/>
        </w:rPr>
        <w:t>试验成果</w:t>
      </w:r>
      <w:r>
        <w:rPr>
          <w:rFonts w:hint="eastAsia" w:ascii="宋体" w:hAnsi="宋体"/>
          <w:sz w:val="21"/>
          <w:szCs w:val="21"/>
        </w:rPr>
        <w:t>，</w:t>
      </w:r>
      <w:r>
        <w:rPr>
          <w:rFonts w:ascii="宋体" w:hAnsi="宋体"/>
          <w:sz w:val="21"/>
          <w:szCs w:val="21"/>
        </w:rPr>
        <w:t>以及根据合同要求提供的录像</w:t>
      </w:r>
      <w:r>
        <w:rPr>
          <w:rFonts w:hint="eastAsia" w:ascii="宋体" w:hAnsi="宋体"/>
          <w:sz w:val="21"/>
          <w:szCs w:val="21"/>
        </w:rPr>
        <w:t>、</w:t>
      </w:r>
      <w:r>
        <w:rPr>
          <w:rFonts w:ascii="宋体" w:hAnsi="宋体"/>
          <w:sz w:val="21"/>
          <w:szCs w:val="21"/>
        </w:rPr>
        <w:t>照片</w:t>
      </w:r>
      <w:r>
        <w:rPr>
          <w:rFonts w:hint="eastAsia" w:ascii="宋体" w:hAnsi="宋体"/>
          <w:sz w:val="21"/>
          <w:szCs w:val="21"/>
        </w:rPr>
        <w:t>、</w:t>
      </w:r>
      <w:r>
        <w:rPr>
          <w:rFonts w:ascii="宋体" w:hAnsi="宋体"/>
          <w:sz w:val="21"/>
          <w:szCs w:val="21"/>
        </w:rPr>
        <w:t>会议纪要等所有图纸</w:t>
      </w:r>
      <w:r>
        <w:rPr>
          <w:rFonts w:hint="eastAsia" w:ascii="宋体" w:hAnsi="宋体"/>
          <w:sz w:val="21"/>
          <w:szCs w:val="21"/>
        </w:rPr>
        <w:t>、</w:t>
      </w:r>
      <w:r>
        <w:rPr>
          <w:rFonts w:ascii="宋体" w:hAnsi="宋体"/>
          <w:sz w:val="21"/>
          <w:szCs w:val="21"/>
        </w:rPr>
        <w:t>文件</w:t>
      </w:r>
      <w:r>
        <w:rPr>
          <w:rFonts w:hint="eastAsia" w:ascii="宋体" w:hAnsi="宋体"/>
          <w:sz w:val="21"/>
          <w:szCs w:val="21"/>
        </w:rPr>
        <w:t>（</w:t>
      </w:r>
      <w:r>
        <w:rPr>
          <w:rFonts w:ascii="宋体" w:hAnsi="宋体"/>
          <w:sz w:val="21"/>
          <w:szCs w:val="21"/>
        </w:rPr>
        <w:t>包括软件</w:t>
      </w:r>
      <w:r>
        <w:rPr>
          <w:rFonts w:hint="eastAsia" w:ascii="宋体" w:hAnsi="宋体"/>
          <w:sz w:val="21"/>
          <w:szCs w:val="21"/>
        </w:rPr>
        <w:t>、</w:t>
      </w:r>
      <w:r>
        <w:rPr>
          <w:rFonts w:ascii="宋体" w:hAnsi="宋体"/>
          <w:sz w:val="21"/>
          <w:szCs w:val="21"/>
        </w:rPr>
        <w:t>移动硬盘</w:t>
      </w:r>
      <w:r>
        <w:rPr>
          <w:rFonts w:hint="eastAsia" w:ascii="宋体" w:hAnsi="宋体"/>
          <w:sz w:val="21"/>
          <w:szCs w:val="21"/>
        </w:rPr>
        <w:t>）</w:t>
      </w:r>
      <w:r>
        <w:rPr>
          <w:rFonts w:ascii="宋体" w:hAnsi="宋体"/>
          <w:sz w:val="21"/>
          <w:szCs w:val="21"/>
        </w:rPr>
        <w:t>和影像资料等</w:t>
      </w:r>
      <w:r>
        <w:rPr>
          <w:rFonts w:hint="eastAsia" w:ascii="宋体" w:hAnsi="宋体"/>
          <w:sz w:val="21"/>
          <w:szCs w:val="21"/>
        </w:rPr>
        <w:t>，</w:t>
      </w:r>
      <w:r>
        <w:rPr>
          <w:rFonts w:ascii="宋体" w:hAnsi="宋体"/>
          <w:sz w:val="21"/>
          <w:szCs w:val="21"/>
        </w:rPr>
        <w:t>发包人不再另行收取费用</w:t>
      </w:r>
      <w:r>
        <w:rPr>
          <w:rFonts w:hint="eastAsia" w:ascii="宋体" w:hAnsi="宋体"/>
          <w:sz w:val="21"/>
          <w:szCs w:val="21"/>
        </w:rPr>
        <w:t>。</w:t>
      </w:r>
    </w:p>
    <w:p>
      <w:pPr>
        <w:pStyle w:val="7"/>
        <w:snapToGrid w:val="0"/>
        <w:spacing w:line="360" w:lineRule="exact"/>
        <w:rPr>
          <w:rFonts w:ascii="宋体" w:hAnsi="宋体" w:eastAsia="宋体"/>
          <w:bCs/>
          <w:sz w:val="21"/>
          <w:szCs w:val="21"/>
        </w:rPr>
      </w:pPr>
      <w:r>
        <w:rPr>
          <w:rFonts w:hint="eastAsia" w:ascii="宋体" w:hAnsi="宋体" w:eastAsia="宋体"/>
          <w:bCs/>
          <w:sz w:val="21"/>
          <w:szCs w:val="21"/>
        </w:rPr>
        <w:t xml:space="preserve">1.3.2 </w:t>
      </w:r>
      <w:r>
        <w:rPr>
          <w:rFonts w:ascii="宋体" w:hAnsi="宋体" w:eastAsia="宋体"/>
          <w:bCs/>
          <w:sz w:val="21"/>
          <w:szCs w:val="21"/>
        </w:rPr>
        <w:t>发包人供图计划</w:t>
      </w:r>
    </w:p>
    <w:p>
      <w:pPr>
        <w:pStyle w:val="4"/>
        <w:snapToGrid w:val="0"/>
        <w:spacing w:line="360" w:lineRule="exact"/>
        <w:rPr>
          <w:rFonts w:ascii="宋体" w:hAnsi="宋体"/>
          <w:sz w:val="21"/>
          <w:szCs w:val="21"/>
        </w:rPr>
      </w:pPr>
      <w:r>
        <w:rPr>
          <w:rFonts w:hint="eastAsia" w:ascii="宋体" w:hAnsi="宋体"/>
          <w:sz w:val="21"/>
          <w:szCs w:val="21"/>
        </w:rPr>
        <w:t>(1) 发包人应在发出开工通知后</w:t>
      </w:r>
      <w:r>
        <w:rPr>
          <w:rFonts w:hint="eastAsia" w:ascii="宋体" w:hAnsi="宋体"/>
          <w:sz w:val="21"/>
          <w:szCs w:val="21"/>
          <w:u w:val="single"/>
        </w:rPr>
        <w:t xml:space="preserve"> 7 </w:t>
      </w:r>
      <w:r>
        <w:rPr>
          <w:rFonts w:hint="eastAsia" w:ascii="宋体" w:hAnsi="宋体"/>
          <w:sz w:val="21"/>
          <w:szCs w:val="21"/>
        </w:rPr>
        <w:t>天内，与承包人共同商签发包人供图计划，经合同双方签订的供图计划作为合同的补充文件。</w:t>
      </w:r>
    </w:p>
    <w:p>
      <w:pPr>
        <w:pStyle w:val="4"/>
        <w:snapToGrid w:val="0"/>
        <w:spacing w:line="360" w:lineRule="exact"/>
        <w:rPr>
          <w:rFonts w:ascii="宋体" w:hAnsi="宋体"/>
          <w:sz w:val="21"/>
          <w:szCs w:val="21"/>
        </w:rPr>
      </w:pPr>
      <w:r>
        <w:rPr>
          <w:rFonts w:hint="eastAsia" w:ascii="宋体" w:hAnsi="宋体"/>
          <w:sz w:val="21"/>
          <w:szCs w:val="21"/>
        </w:rPr>
        <w:t xml:space="preserve">(2) </w:t>
      </w:r>
      <w:r>
        <w:rPr>
          <w:rFonts w:ascii="宋体" w:hAnsi="宋体"/>
          <w:sz w:val="21"/>
          <w:szCs w:val="21"/>
        </w:rPr>
        <w:t>不论何种原因调整和修订了合同进度计划</w:t>
      </w:r>
      <w:r>
        <w:rPr>
          <w:rFonts w:hint="eastAsia" w:ascii="宋体" w:hAnsi="宋体"/>
          <w:sz w:val="21"/>
          <w:szCs w:val="21"/>
        </w:rPr>
        <w:t>，</w:t>
      </w:r>
      <w:r>
        <w:rPr>
          <w:rFonts w:ascii="宋体" w:hAnsi="宋体"/>
          <w:sz w:val="21"/>
          <w:szCs w:val="21"/>
        </w:rPr>
        <w:t>监理人应及时与承包人共同修订供图计划</w:t>
      </w:r>
      <w:r>
        <w:rPr>
          <w:rFonts w:hint="eastAsia" w:ascii="宋体" w:hAnsi="宋体"/>
          <w:sz w:val="21"/>
          <w:szCs w:val="21"/>
        </w:rPr>
        <w:t>，</w:t>
      </w:r>
      <w:r>
        <w:rPr>
          <w:rFonts w:ascii="宋体" w:hAnsi="宋体"/>
          <w:sz w:val="21"/>
          <w:szCs w:val="21"/>
        </w:rPr>
        <w:t>并作为执行合同进度计划的补充文件</w:t>
      </w:r>
      <w:r>
        <w:rPr>
          <w:rFonts w:hint="eastAsia" w:ascii="宋体" w:hAnsi="宋体"/>
          <w:sz w:val="21"/>
          <w:szCs w:val="21"/>
        </w:rPr>
        <w:t>。</w:t>
      </w:r>
    </w:p>
    <w:p>
      <w:pPr>
        <w:pStyle w:val="4"/>
        <w:snapToGrid w:val="0"/>
        <w:spacing w:line="360" w:lineRule="exact"/>
        <w:rPr>
          <w:rFonts w:ascii="宋体" w:hAnsi="宋体"/>
          <w:sz w:val="21"/>
          <w:szCs w:val="21"/>
        </w:rPr>
      </w:pPr>
      <w:r>
        <w:rPr>
          <w:rFonts w:hint="eastAsia" w:ascii="宋体" w:hAnsi="宋体"/>
          <w:sz w:val="21"/>
          <w:szCs w:val="21"/>
        </w:rPr>
        <w:t xml:space="preserve">(3) </w:t>
      </w:r>
      <w:r>
        <w:rPr>
          <w:rFonts w:ascii="宋体" w:hAnsi="宋体"/>
          <w:sz w:val="21"/>
          <w:szCs w:val="21"/>
        </w:rPr>
        <w:t>发包人应向承包人提供</w:t>
      </w:r>
      <w:r>
        <w:rPr>
          <w:rFonts w:hint="eastAsia" w:ascii="宋体" w:hAnsi="宋体"/>
          <w:sz w:val="21"/>
          <w:szCs w:val="21"/>
          <w:u w:val="single"/>
        </w:rPr>
        <w:t xml:space="preserve"> 6</w:t>
      </w:r>
      <w:r>
        <w:rPr>
          <w:rFonts w:ascii="宋体" w:hAnsi="宋体"/>
          <w:sz w:val="21"/>
          <w:szCs w:val="21"/>
        </w:rPr>
        <w:t>份各类施工图纸</w:t>
      </w:r>
      <w:r>
        <w:rPr>
          <w:rFonts w:hint="eastAsia" w:ascii="宋体" w:hAnsi="宋体"/>
          <w:sz w:val="21"/>
          <w:szCs w:val="21"/>
        </w:rPr>
        <w:t>（</w:t>
      </w:r>
      <w:r>
        <w:rPr>
          <w:rFonts w:ascii="宋体" w:hAnsi="宋体"/>
          <w:sz w:val="21"/>
          <w:szCs w:val="21"/>
        </w:rPr>
        <w:t>包括设计修改图</w:t>
      </w:r>
      <w:r>
        <w:rPr>
          <w:rFonts w:hint="eastAsia" w:ascii="宋体" w:hAnsi="宋体"/>
          <w:sz w:val="21"/>
          <w:szCs w:val="21"/>
        </w:rPr>
        <w:t>）。</w:t>
      </w:r>
      <w:r>
        <w:rPr>
          <w:rFonts w:ascii="宋体" w:hAnsi="宋体"/>
          <w:sz w:val="21"/>
          <w:szCs w:val="21"/>
        </w:rPr>
        <w:t>承包人可根据施工需要</w:t>
      </w:r>
      <w:r>
        <w:rPr>
          <w:rFonts w:hint="eastAsia" w:ascii="宋体" w:hAnsi="宋体"/>
          <w:sz w:val="21"/>
          <w:szCs w:val="21"/>
        </w:rPr>
        <w:t>，</w:t>
      </w:r>
      <w:r>
        <w:rPr>
          <w:rFonts w:ascii="宋体" w:hAnsi="宋体"/>
          <w:sz w:val="21"/>
          <w:szCs w:val="21"/>
        </w:rPr>
        <w:t>要求增加提供图纸份数</w:t>
      </w:r>
      <w:r>
        <w:rPr>
          <w:rFonts w:hint="eastAsia" w:ascii="宋体" w:hAnsi="宋体"/>
          <w:sz w:val="21"/>
          <w:szCs w:val="21"/>
        </w:rPr>
        <w:t>，</w:t>
      </w:r>
      <w:r>
        <w:rPr>
          <w:rFonts w:ascii="宋体" w:hAnsi="宋体"/>
          <w:sz w:val="21"/>
          <w:szCs w:val="21"/>
        </w:rPr>
        <w:t>并为增供的图纸支付费用</w:t>
      </w:r>
      <w:r>
        <w:rPr>
          <w:rFonts w:hint="eastAsia" w:ascii="宋体" w:hAnsi="宋体"/>
          <w:sz w:val="21"/>
          <w:szCs w:val="21"/>
        </w:rPr>
        <w:t>。</w:t>
      </w:r>
    </w:p>
    <w:p>
      <w:pPr>
        <w:pStyle w:val="7"/>
        <w:snapToGrid w:val="0"/>
        <w:spacing w:line="360" w:lineRule="exact"/>
        <w:rPr>
          <w:rFonts w:ascii="宋体" w:hAnsi="宋体" w:eastAsia="宋体"/>
          <w:sz w:val="21"/>
          <w:szCs w:val="21"/>
        </w:rPr>
      </w:pPr>
      <w:r>
        <w:rPr>
          <w:rFonts w:hint="eastAsia" w:ascii="宋体" w:hAnsi="宋体" w:eastAsia="宋体"/>
          <w:sz w:val="21"/>
          <w:szCs w:val="21"/>
        </w:rPr>
        <w:t>1.3.3 发包人提供施工图纸的期限</w:t>
      </w:r>
    </w:p>
    <w:p>
      <w:pPr>
        <w:pStyle w:val="4"/>
        <w:snapToGrid w:val="0"/>
        <w:spacing w:line="360" w:lineRule="exact"/>
        <w:rPr>
          <w:rFonts w:ascii="宋体" w:hAnsi="宋体"/>
          <w:sz w:val="21"/>
          <w:szCs w:val="21"/>
        </w:rPr>
      </w:pPr>
      <w:r>
        <w:rPr>
          <w:rFonts w:hint="eastAsia" w:ascii="宋体" w:hAnsi="宋体"/>
          <w:sz w:val="21"/>
          <w:szCs w:val="21"/>
        </w:rPr>
        <w:t>(1) 用于承包人编制施工进度计划和施工总布置所需的工程枢纽总布置图和主要工程建筑物布置图在签署合同协议后</w:t>
      </w:r>
      <w:r>
        <w:rPr>
          <w:rFonts w:hint="eastAsia" w:ascii="宋体" w:hAnsi="宋体"/>
          <w:sz w:val="21"/>
          <w:szCs w:val="21"/>
          <w:u w:val="single"/>
        </w:rPr>
        <w:t xml:space="preserve"> 7 </w:t>
      </w:r>
      <w:r>
        <w:rPr>
          <w:rFonts w:hint="eastAsia" w:ascii="宋体" w:hAnsi="宋体"/>
          <w:sz w:val="21"/>
          <w:szCs w:val="21"/>
        </w:rPr>
        <w:t>天内提供给承包人。</w:t>
      </w:r>
    </w:p>
    <w:p>
      <w:pPr>
        <w:pStyle w:val="4"/>
        <w:snapToGrid w:val="0"/>
        <w:spacing w:line="360" w:lineRule="exact"/>
        <w:rPr>
          <w:rFonts w:ascii="宋体" w:hAnsi="宋体"/>
          <w:sz w:val="21"/>
          <w:szCs w:val="21"/>
        </w:rPr>
      </w:pPr>
      <w:r>
        <w:rPr>
          <w:rFonts w:hint="eastAsia" w:ascii="宋体" w:hAnsi="宋体"/>
          <w:sz w:val="21"/>
          <w:szCs w:val="21"/>
        </w:rPr>
        <w:t>(2) 用于各工程项目施工的工程建筑物结构布置图、体形图等施工图纸，应在该项目工程施工前</w:t>
      </w:r>
      <w:r>
        <w:rPr>
          <w:rFonts w:hint="eastAsia" w:ascii="宋体" w:hAnsi="宋体"/>
          <w:sz w:val="21"/>
          <w:szCs w:val="21"/>
          <w:u w:val="single"/>
        </w:rPr>
        <w:t xml:space="preserve"> 14 </w:t>
      </w:r>
      <w:r>
        <w:rPr>
          <w:rFonts w:hint="eastAsia" w:ascii="宋体" w:hAnsi="宋体"/>
          <w:sz w:val="21"/>
          <w:szCs w:val="21"/>
        </w:rPr>
        <w:t>天提供给承包人。</w:t>
      </w:r>
    </w:p>
    <w:p>
      <w:pPr>
        <w:pStyle w:val="4"/>
        <w:snapToGrid w:val="0"/>
        <w:spacing w:line="360" w:lineRule="exact"/>
        <w:rPr>
          <w:rFonts w:ascii="宋体" w:hAnsi="宋体"/>
          <w:sz w:val="21"/>
          <w:szCs w:val="21"/>
        </w:rPr>
      </w:pPr>
      <w:r>
        <w:rPr>
          <w:rFonts w:hint="eastAsia" w:ascii="宋体" w:hAnsi="宋体"/>
          <w:sz w:val="21"/>
          <w:szCs w:val="21"/>
        </w:rPr>
        <w:t>(3) 用于工程施工的开挖支护图、配筋图、细部设计图和浇筑图等施工图纸，应在该部位施工前</w:t>
      </w:r>
      <w:r>
        <w:rPr>
          <w:rFonts w:hint="eastAsia" w:ascii="宋体" w:hAnsi="宋体"/>
          <w:sz w:val="21"/>
          <w:szCs w:val="21"/>
          <w:u w:val="single"/>
        </w:rPr>
        <w:t xml:space="preserve"> 14</w:t>
      </w:r>
      <w:r>
        <w:rPr>
          <w:rFonts w:hint="eastAsia" w:ascii="宋体" w:hAnsi="宋体"/>
          <w:sz w:val="21"/>
          <w:szCs w:val="21"/>
        </w:rPr>
        <w:t>天提供给承包人。</w:t>
      </w:r>
    </w:p>
    <w:p>
      <w:pPr>
        <w:pStyle w:val="4"/>
        <w:snapToGrid w:val="0"/>
        <w:spacing w:line="360" w:lineRule="exact"/>
        <w:rPr>
          <w:rFonts w:ascii="宋体" w:hAnsi="宋体"/>
          <w:sz w:val="21"/>
          <w:szCs w:val="21"/>
        </w:rPr>
      </w:pPr>
      <w:r>
        <w:rPr>
          <w:rFonts w:hint="eastAsia" w:ascii="宋体" w:hAnsi="宋体"/>
          <w:sz w:val="21"/>
          <w:szCs w:val="21"/>
        </w:rPr>
        <w:t>(4) 用于机电设备安装的安装总图及其有关的图纸和技术文件（包括由设备供货商提交的图纸和技术文件）应在机电设备安装开始前</w:t>
      </w:r>
      <w:r>
        <w:rPr>
          <w:rFonts w:hint="eastAsia" w:ascii="宋体" w:hAnsi="宋体"/>
          <w:sz w:val="21"/>
          <w:szCs w:val="21"/>
          <w:u w:val="single"/>
        </w:rPr>
        <w:t xml:space="preserve">21 </w:t>
      </w:r>
      <w:r>
        <w:rPr>
          <w:rFonts w:hint="eastAsia" w:ascii="宋体" w:hAnsi="宋体"/>
          <w:sz w:val="21"/>
          <w:szCs w:val="21"/>
        </w:rPr>
        <w:t>天提供给承包人。用于机电设备安装的埋设件图纸应在安装埋设前</w:t>
      </w:r>
      <w:r>
        <w:rPr>
          <w:rFonts w:hint="eastAsia" w:ascii="宋体" w:hAnsi="宋体"/>
          <w:sz w:val="21"/>
          <w:szCs w:val="21"/>
          <w:u w:val="single"/>
        </w:rPr>
        <w:t xml:space="preserve">  21 </w:t>
      </w:r>
      <w:r>
        <w:rPr>
          <w:rFonts w:hint="eastAsia" w:ascii="宋体" w:hAnsi="宋体"/>
          <w:sz w:val="21"/>
          <w:szCs w:val="21"/>
        </w:rPr>
        <w:t>天提供给承包人。</w:t>
      </w:r>
    </w:p>
    <w:p>
      <w:pPr>
        <w:pStyle w:val="4"/>
        <w:snapToGrid w:val="0"/>
        <w:spacing w:line="360" w:lineRule="exact"/>
        <w:rPr>
          <w:rFonts w:ascii="宋体" w:hAnsi="宋体"/>
          <w:sz w:val="21"/>
          <w:szCs w:val="21"/>
        </w:rPr>
      </w:pPr>
      <w:r>
        <w:rPr>
          <w:rFonts w:hint="eastAsia" w:ascii="宋体" w:hAnsi="宋体"/>
          <w:sz w:val="21"/>
          <w:szCs w:val="21"/>
        </w:rPr>
        <w:t>（</w:t>
      </w:r>
      <w:r>
        <w:rPr>
          <w:rFonts w:ascii="宋体" w:hAnsi="宋体"/>
          <w:sz w:val="21"/>
          <w:szCs w:val="21"/>
        </w:rPr>
        <w:t>5</w:t>
      </w:r>
      <w:r>
        <w:rPr>
          <w:rFonts w:hint="eastAsia" w:ascii="宋体" w:hAnsi="宋体"/>
          <w:sz w:val="21"/>
          <w:szCs w:val="21"/>
        </w:rPr>
        <w:t>）用于金属结构的制作和安装（如压力钢管、钢结构的制作和安装以及闸门和启闭机的安装等）的安装总图、分件图、安装说明书等图纸和文件，应在开始制作安装前</w:t>
      </w:r>
      <w:r>
        <w:rPr>
          <w:rFonts w:ascii="宋体" w:hAnsi="宋体"/>
          <w:sz w:val="21"/>
          <w:szCs w:val="21"/>
          <w:u w:val="single"/>
        </w:rPr>
        <w:t xml:space="preserve">21 </w:t>
      </w:r>
      <w:r>
        <w:rPr>
          <w:rFonts w:hint="eastAsia" w:ascii="宋体" w:hAnsi="宋体"/>
          <w:sz w:val="21"/>
          <w:szCs w:val="21"/>
        </w:rPr>
        <w:t>天提供给承包人。</w:t>
      </w:r>
    </w:p>
    <w:p>
      <w:pPr>
        <w:pStyle w:val="4"/>
        <w:snapToGrid w:val="0"/>
        <w:spacing w:line="360" w:lineRule="exact"/>
        <w:ind w:firstLine="0"/>
        <w:rPr>
          <w:rFonts w:ascii="宋体" w:hAnsi="宋体"/>
          <w:sz w:val="21"/>
          <w:szCs w:val="21"/>
        </w:rPr>
      </w:pPr>
      <w:r>
        <w:rPr>
          <w:rFonts w:hint="eastAsia" w:ascii="宋体" w:hAnsi="宋体"/>
          <w:sz w:val="21"/>
          <w:szCs w:val="21"/>
        </w:rPr>
        <w:t>（</w:t>
      </w:r>
      <w:r>
        <w:rPr>
          <w:rFonts w:ascii="宋体" w:hAnsi="宋体"/>
          <w:sz w:val="21"/>
          <w:szCs w:val="21"/>
        </w:rPr>
        <w:t>6</w:t>
      </w:r>
      <w:r>
        <w:rPr>
          <w:rFonts w:hint="eastAsia" w:ascii="宋体" w:hAnsi="宋体"/>
          <w:sz w:val="21"/>
          <w:szCs w:val="21"/>
        </w:rPr>
        <w:t>）用于安装监测仪器安装和埋设的施工图纸和技术文件应在开始安装埋设前</w:t>
      </w:r>
      <w:r>
        <w:rPr>
          <w:rFonts w:ascii="宋体" w:hAnsi="宋体"/>
          <w:sz w:val="21"/>
          <w:szCs w:val="21"/>
          <w:u w:val="single"/>
        </w:rPr>
        <w:t xml:space="preserve">21 </w:t>
      </w:r>
      <w:r>
        <w:rPr>
          <w:rFonts w:hint="eastAsia" w:ascii="宋体" w:hAnsi="宋体"/>
          <w:sz w:val="21"/>
          <w:szCs w:val="21"/>
        </w:rPr>
        <w:t>天提供给承包人。</w:t>
      </w:r>
    </w:p>
    <w:p>
      <w:pPr>
        <w:pStyle w:val="7"/>
        <w:snapToGrid w:val="0"/>
        <w:spacing w:line="360" w:lineRule="exact"/>
        <w:rPr>
          <w:rFonts w:ascii="宋体" w:hAnsi="宋体" w:eastAsia="宋体"/>
          <w:bCs/>
          <w:sz w:val="21"/>
          <w:szCs w:val="21"/>
        </w:rPr>
      </w:pPr>
      <w:r>
        <w:rPr>
          <w:rFonts w:hint="eastAsia" w:ascii="宋体" w:hAnsi="宋体" w:eastAsia="宋体"/>
          <w:bCs/>
          <w:sz w:val="21"/>
          <w:szCs w:val="21"/>
        </w:rPr>
        <w:t>1.3.4 施工图纸的修改</w:t>
      </w:r>
    </w:p>
    <w:p>
      <w:pPr>
        <w:pStyle w:val="4"/>
        <w:snapToGrid w:val="0"/>
        <w:spacing w:line="360" w:lineRule="exact"/>
        <w:rPr>
          <w:rFonts w:ascii="宋体" w:hAnsi="宋体"/>
          <w:sz w:val="21"/>
          <w:szCs w:val="21"/>
        </w:rPr>
      </w:pPr>
      <w:r>
        <w:rPr>
          <w:rFonts w:hint="eastAsia" w:ascii="宋体" w:hAnsi="宋体"/>
          <w:sz w:val="21"/>
          <w:szCs w:val="21"/>
        </w:rPr>
        <w:t>（1）承包人收到发包人按上述第1.3.3条的规定提交施工图纸后，应进行详细检查，若发现错误或表达不清楚时，应在收到图纸后的</w:t>
      </w:r>
      <w:r>
        <w:rPr>
          <w:rFonts w:hint="eastAsia" w:ascii="宋体" w:hAnsi="宋体"/>
          <w:sz w:val="21"/>
          <w:szCs w:val="21"/>
          <w:u w:val="single"/>
        </w:rPr>
        <w:t xml:space="preserve"> 14 </w:t>
      </w:r>
      <w:r>
        <w:rPr>
          <w:rFonts w:hint="eastAsia" w:ascii="宋体" w:hAnsi="宋体"/>
          <w:sz w:val="21"/>
          <w:szCs w:val="21"/>
        </w:rPr>
        <w:t>天内书面通知监理人。若监理人确认需要作出修改或补充时，应在接件后</w:t>
      </w:r>
      <w:r>
        <w:rPr>
          <w:rFonts w:hint="eastAsia" w:ascii="宋体" w:hAnsi="宋体"/>
          <w:sz w:val="21"/>
          <w:szCs w:val="21"/>
          <w:u w:val="single"/>
        </w:rPr>
        <w:t xml:space="preserve"> 14 </w:t>
      </w:r>
      <w:r>
        <w:rPr>
          <w:rFonts w:hint="eastAsia" w:ascii="宋体" w:hAnsi="宋体"/>
          <w:sz w:val="21"/>
          <w:szCs w:val="21"/>
        </w:rPr>
        <w:t>天内将修改和补充后的施工图纸重新提供给承包人。</w:t>
      </w:r>
    </w:p>
    <w:p>
      <w:pPr>
        <w:pStyle w:val="4"/>
        <w:snapToGrid w:val="0"/>
        <w:spacing w:line="360" w:lineRule="exact"/>
        <w:rPr>
          <w:rFonts w:ascii="宋体" w:hAnsi="宋体"/>
          <w:sz w:val="21"/>
          <w:szCs w:val="21"/>
        </w:rPr>
      </w:pPr>
      <w:r>
        <w:rPr>
          <w:rFonts w:hint="eastAsia" w:ascii="宋体" w:hAnsi="宋体"/>
          <w:sz w:val="21"/>
          <w:szCs w:val="21"/>
        </w:rPr>
        <w:t>（2）监理人发出施工图纸后，需要对某些工程设计进行修改和补充时，应在该部位开始施工</w:t>
      </w:r>
      <w:r>
        <w:rPr>
          <w:rFonts w:hint="eastAsia" w:ascii="宋体" w:hAnsi="宋体"/>
          <w:sz w:val="21"/>
          <w:szCs w:val="21"/>
          <w:u w:val="single"/>
        </w:rPr>
        <w:t xml:space="preserve"> 14 </w:t>
      </w:r>
      <w:r>
        <w:rPr>
          <w:rFonts w:hint="eastAsia" w:ascii="宋体" w:hAnsi="宋体"/>
          <w:sz w:val="21"/>
          <w:szCs w:val="21"/>
        </w:rPr>
        <w:t>天前及时签发设计修改图。</w:t>
      </w:r>
    </w:p>
    <w:p>
      <w:pPr>
        <w:pStyle w:val="4"/>
        <w:snapToGrid w:val="0"/>
        <w:spacing w:line="360" w:lineRule="exact"/>
        <w:rPr>
          <w:rFonts w:ascii="宋体" w:hAnsi="宋体"/>
          <w:sz w:val="21"/>
          <w:szCs w:val="21"/>
        </w:rPr>
      </w:pPr>
      <w:r>
        <w:rPr>
          <w:rFonts w:hint="eastAsia" w:ascii="宋体" w:hAnsi="宋体"/>
          <w:sz w:val="21"/>
          <w:szCs w:val="21"/>
        </w:rPr>
        <w:t>（3）若因施工情况紧急，监理人无法在上述规定的时间内签发修改施工图纸，可以临时发出施工图修改通知单，但应在此后的合理时限内补发正式施工图纸。</w:t>
      </w:r>
    </w:p>
    <w:p>
      <w:pPr>
        <w:pStyle w:val="7"/>
        <w:snapToGrid w:val="0"/>
        <w:spacing w:line="360" w:lineRule="exact"/>
        <w:rPr>
          <w:rFonts w:ascii="宋体" w:hAnsi="宋体" w:eastAsia="宋体"/>
          <w:sz w:val="21"/>
          <w:szCs w:val="21"/>
        </w:rPr>
      </w:pPr>
      <w:r>
        <w:rPr>
          <w:rFonts w:hint="eastAsia" w:ascii="宋体" w:hAnsi="宋体" w:eastAsia="宋体"/>
          <w:sz w:val="21"/>
          <w:szCs w:val="21"/>
        </w:rPr>
        <w:t>1.4 承包人提交的文件</w:t>
      </w:r>
    </w:p>
    <w:p>
      <w:pPr>
        <w:pStyle w:val="7"/>
        <w:snapToGrid w:val="0"/>
        <w:spacing w:line="360" w:lineRule="exact"/>
        <w:rPr>
          <w:rFonts w:ascii="宋体" w:hAnsi="宋体" w:eastAsia="宋体"/>
          <w:sz w:val="21"/>
          <w:szCs w:val="21"/>
        </w:rPr>
      </w:pPr>
      <w:r>
        <w:rPr>
          <w:rFonts w:hint="eastAsia" w:ascii="宋体" w:hAnsi="宋体" w:eastAsia="宋体"/>
          <w:sz w:val="21"/>
          <w:szCs w:val="21"/>
        </w:rPr>
        <w:t>1.4.1 承包人文件的提交计划</w:t>
      </w:r>
    </w:p>
    <w:p>
      <w:pPr>
        <w:pStyle w:val="4"/>
        <w:snapToGrid w:val="0"/>
        <w:spacing w:line="360" w:lineRule="exact"/>
        <w:rPr>
          <w:rFonts w:ascii="宋体" w:hAnsi="宋体"/>
          <w:sz w:val="21"/>
          <w:szCs w:val="21"/>
        </w:rPr>
      </w:pPr>
      <w:r>
        <w:rPr>
          <w:rFonts w:hint="eastAsia" w:ascii="宋体" w:hAnsi="宋体"/>
          <w:sz w:val="21"/>
          <w:szCs w:val="21"/>
        </w:rPr>
        <w:t>承包人应在签署协议书后</w:t>
      </w:r>
      <w:r>
        <w:rPr>
          <w:rFonts w:hint="eastAsia" w:ascii="宋体" w:hAnsi="宋体"/>
          <w:sz w:val="21"/>
          <w:szCs w:val="21"/>
          <w:u w:val="single"/>
        </w:rPr>
        <w:t xml:space="preserve"> 14</w:t>
      </w:r>
      <w:r>
        <w:rPr>
          <w:rFonts w:hint="eastAsia" w:ascii="宋体" w:hAnsi="宋体"/>
          <w:sz w:val="21"/>
          <w:szCs w:val="21"/>
        </w:rPr>
        <w:t>天内，根据监理人批准的合同进度计划，编制一份由项目经理签署的承包人文件提交计划，提交监理人审批，监理人应在收到该提交计划后的</w:t>
      </w:r>
      <w:r>
        <w:rPr>
          <w:rFonts w:hint="eastAsia" w:ascii="宋体" w:hAnsi="宋体"/>
          <w:sz w:val="21"/>
          <w:szCs w:val="21"/>
          <w:u w:val="single"/>
        </w:rPr>
        <w:t xml:space="preserve"> 14 </w:t>
      </w:r>
      <w:r>
        <w:rPr>
          <w:rFonts w:hint="eastAsia" w:ascii="宋体" w:hAnsi="宋体"/>
          <w:sz w:val="21"/>
          <w:szCs w:val="21"/>
        </w:rPr>
        <w:t>天内批复承包人。承包人文件的内容应包括本章第1.4.2~1.4.5条规定的各项提交件，以及按合同约定应由承包人提交的其它图纸和文件。</w:t>
      </w:r>
    </w:p>
    <w:p>
      <w:pPr>
        <w:pStyle w:val="7"/>
        <w:snapToGrid w:val="0"/>
        <w:spacing w:line="360" w:lineRule="exact"/>
        <w:rPr>
          <w:rFonts w:ascii="宋体" w:hAnsi="宋体" w:eastAsia="宋体"/>
          <w:bCs/>
          <w:sz w:val="21"/>
          <w:szCs w:val="21"/>
        </w:rPr>
      </w:pPr>
      <w:r>
        <w:rPr>
          <w:rFonts w:hint="eastAsia" w:ascii="宋体" w:hAnsi="宋体" w:eastAsia="宋体"/>
          <w:bCs/>
          <w:sz w:val="21"/>
          <w:szCs w:val="21"/>
        </w:rPr>
        <w:t>1.4.2 承包人负责设计的临时工程图纸和文件</w:t>
      </w:r>
    </w:p>
    <w:p>
      <w:pPr>
        <w:pStyle w:val="4"/>
        <w:snapToGrid w:val="0"/>
        <w:spacing w:line="360" w:lineRule="exact"/>
        <w:rPr>
          <w:rFonts w:ascii="宋体" w:hAnsi="宋体"/>
          <w:sz w:val="21"/>
          <w:szCs w:val="21"/>
        </w:rPr>
      </w:pPr>
      <w:r>
        <w:rPr>
          <w:rFonts w:hint="eastAsia" w:ascii="宋体" w:hAnsi="宋体"/>
          <w:sz w:val="21"/>
          <w:szCs w:val="21"/>
        </w:rPr>
        <w:t>(1) 由承包人负责设计的临时工程项目，应在该项目开工前</w:t>
      </w:r>
      <w:r>
        <w:rPr>
          <w:rFonts w:hint="eastAsia" w:ascii="宋体" w:hAnsi="宋体"/>
          <w:sz w:val="21"/>
          <w:szCs w:val="21"/>
          <w:u w:val="single"/>
        </w:rPr>
        <w:t xml:space="preserve"> 28 </w:t>
      </w:r>
      <w:r>
        <w:rPr>
          <w:rFonts w:hint="eastAsia" w:ascii="宋体" w:hAnsi="宋体"/>
          <w:sz w:val="21"/>
          <w:szCs w:val="21"/>
        </w:rPr>
        <w:t>天，提交该项目的总布置图、结构详图及其设计依据，以及监理人认为需要提交的其它图纸和文件，提交监理人批准。</w:t>
      </w:r>
    </w:p>
    <w:p>
      <w:pPr>
        <w:pStyle w:val="4"/>
        <w:snapToGrid w:val="0"/>
        <w:spacing w:line="360" w:lineRule="exact"/>
        <w:rPr>
          <w:rFonts w:ascii="宋体" w:hAnsi="宋体"/>
          <w:sz w:val="21"/>
          <w:szCs w:val="21"/>
        </w:rPr>
      </w:pPr>
      <w:r>
        <w:rPr>
          <w:rFonts w:hint="eastAsia" w:ascii="宋体" w:hAnsi="宋体"/>
          <w:sz w:val="21"/>
          <w:szCs w:val="21"/>
        </w:rPr>
        <w:t>(2) 承包人提交的上述临时工程项目的基本资料、试验成果、施工样品，以及所有图纸、文件和影像资料等，其所需的费用均包括在相关项目的报价中，发包人不另行支付。</w:t>
      </w:r>
    </w:p>
    <w:p>
      <w:pPr>
        <w:pStyle w:val="7"/>
        <w:snapToGrid w:val="0"/>
        <w:spacing w:line="360" w:lineRule="exact"/>
        <w:rPr>
          <w:rFonts w:ascii="宋体" w:hAnsi="宋体" w:eastAsia="宋体"/>
          <w:sz w:val="21"/>
          <w:szCs w:val="21"/>
        </w:rPr>
      </w:pPr>
      <w:r>
        <w:rPr>
          <w:rFonts w:hint="eastAsia" w:ascii="宋体" w:hAnsi="宋体" w:eastAsia="宋体"/>
          <w:sz w:val="21"/>
          <w:szCs w:val="21"/>
        </w:rPr>
        <w:t>1.4.3 施工总进度计划</w:t>
      </w:r>
    </w:p>
    <w:p>
      <w:pPr>
        <w:pStyle w:val="4"/>
        <w:snapToGrid w:val="0"/>
        <w:spacing w:line="360" w:lineRule="exact"/>
        <w:rPr>
          <w:rFonts w:ascii="宋体" w:hAnsi="宋体"/>
          <w:sz w:val="21"/>
          <w:szCs w:val="21"/>
        </w:rPr>
      </w:pPr>
      <w:r>
        <w:rPr>
          <w:rFonts w:hint="eastAsia" w:ascii="宋体" w:hAnsi="宋体"/>
          <w:sz w:val="21"/>
          <w:szCs w:val="21"/>
        </w:rPr>
        <w:t>(1) 承包人按本合同条款第10.1款要求提交的施工总进度计划，应采用关键线路法编制网络图。网络图应包括以下各项数据和内容，表述全部工程施工作业间的逻辑关系：</w:t>
      </w:r>
    </w:p>
    <w:p>
      <w:pPr>
        <w:pStyle w:val="4"/>
        <w:snapToGrid w:val="0"/>
        <w:spacing w:line="360" w:lineRule="exact"/>
        <w:rPr>
          <w:rFonts w:ascii="宋体" w:hAnsi="宋体"/>
          <w:sz w:val="21"/>
          <w:szCs w:val="21"/>
        </w:rPr>
      </w:pPr>
      <w:r>
        <w:rPr>
          <w:rFonts w:hint="eastAsia" w:ascii="宋体" w:hAnsi="宋体"/>
          <w:sz w:val="21"/>
          <w:szCs w:val="21"/>
        </w:rPr>
        <w:t>1）作业和相应节点编号；</w:t>
      </w:r>
    </w:p>
    <w:p>
      <w:pPr>
        <w:pStyle w:val="4"/>
        <w:snapToGrid w:val="0"/>
        <w:spacing w:line="360" w:lineRule="exact"/>
        <w:rPr>
          <w:rFonts w:ascii="宋体" w:hAnsi="宋体"/>
          <w:sz w:val="21"/>
          <w:szCs w:val="21"/>
        </w:rPr>
      </w:pPr>
      <w:r>
        <w:rPr>
          <w:rFonts w:hint="eastAsia" w:ascii="宋体" w:hAnsi="宋体"/>
          <w:sz w:val="21"/>
          <w:szCs w:val="21"/>
        </w:rPr>
        <w:t>2）各项施工作业间的衔接逻辑和协调关系；</w:t>
      </w:r>
    </w:p>
    <w:p>
      <w:pPr>
        <w:pStyle w:val="4"/>
        <w:snapToGrid w:val="0"/>
        <w:spacing w:line="360" w:lineRule="exact"/>
        <w:rPr>
          <w:rFonts w:ascii="宋体" w:hAnsi="宋体"/>
          <w:sz w:val="21"/>
          <w:szCs w:val="21"/>
        </w:rPr>
      </w:pPr>
      <w:r>
        <w:rPr>
          <w:rFonts w:hint="eastAsia" w:ascii="宋体" w:hAnsi="宋体"/>
          <w:sz w:val="21"/>
          <w:szCs w:val="21"/>
        </w:rPr>
        <w:t>3）持续时间；</w:t>
      </w:r>
    </w:p>
    <w:p>
      <w:pPr>
        <w:pStyle w:val="4"/>
        <w:snapToGrid w:val="0"/>
        <w:spacing w:line="360" w:lineRule="exact"/>
        <w:rPr>
          <w:rFonts w:ascii="宋体" w:hAnsi="宋体"/>
          <w:sz w:val="21"/>
          <w:szCs w:val="21"/>
        </w:rPr>
      </w:pPr>
      <w:r>
        <w:rPr>
          <w:rFonts w:hint="eastAsia" w:ascii="宋体" w:hAnsi="宋体"/>
          <w:sz w:val="21"/>
          <w:szCs w:val="21"/>
        </w:rPr>
        <w:t>4）最早开工及最早完工日期；</w:t>
      </w:r>
    </w:p>
    <w:p>
      <w:pPr>
        <w:pStyle w:val="4"/>
        <w:snapToGrid w:val="0"/>
        <w:spacing w:line="360" w:lineRule="exact"/>
        <w:rPr>
          <w:rFonts w:ascii="宋体" w:hAnsi="宋体"/>
          <w:sz w:val="21"/>
          <w:szCs w:val="21"/>
        </w:rPr>
      </w:pPr>
      <w:r>
        <w:rPr>
          <w:rFonts w:hint="eastAsia" w:ascii="宋体" w:hAnsi="宋体"/>
          <w:sz w:val="21"/>
          <w:szCs w:val="21"/>
        </w:rPr>
        <w:t>5）最迟开工及最迟完工日期；</w:t>
      </w:r>
    </w:p>
    <w:p>
      <w:pPr>
        <w:pStyle w:val="4"/>
        <w:snapToGrid w:val="0"/>
        <w:spacing w:line="360" w:lineRule="exact"/>
        <w:rPr>
          <w:rFonts w:ascii="宋体" w:hAnsi="宋体"/>
          <w:sz w:val="21"/>
          <w:szCs w:val="21"/>
        </w:rPr>
      </w:pPr>
      <w:r>
        <w:rPr>
          <w:rFonts w:hint="eastAsia" w:ascii="宋体" w:hAnsi="宋体"/>
          <w:sz w:val="21"/>
          <w:szCs w:val="21"/>
        </w:rPr>
        <w:t>6）总时差和自由时差；</w:t>
      </w:r>
    </w:p>
    <w:p>
      <w:pPr>
        <w:pStyle w:val="4"/>
        <w:snapToGrid w:val="0"/>
        <w:spacing w:line="360" w:lineRule="exact"/>
        <w:rPr>
          <w:rFonts w:ascii="宋体" w:hAnsi="宋体"/>
          <w:sz w:val="21"/>
          <w:szCs w:val="21"/>
        </w:rPr>
      </w:pPr>
      <w:r>
        <w:rPr>
          <w:rFonts w:hint="eastAsia" w:ascii="宋体" w:hAnsi="宋体"/>
          <w:sz w:val="21"/>
          <w:szCs w:val="21"/>
        </w:rPr>
        <w:t>7）主要项目施工强度曲线；</w:t>
      </w:r>
    </w:p>
    <w:p>
      <w:pPr>
        <w:pStyle w:val="4"/>
        <w:snapToGrid w:val="0"/>
        <w:spacing w:line="360" w:lineRule="exact"/>
        <w:rPr>
          <w:rFonts w:ascii="宋体" w:hAnsi="宋体"/>
          <w:sz w:val="21"/>
          <w:szCs w:val="21"/>
        </w:rPr>
      </w:pPr>
      <w:r>
        <w:rPr>
          <w:rFonts w:hint="eastAsia" w:ascii="宋体" w:hAnsi="宋体"/>
          <w:sz w:val="21"/>
          <w:szCs w:val="21"/>
        </w:rPr>
        <w:t>8）附需要资源和说明。</w:t>
      </w:r>
    </w:p>
    <w:p>
      <w:pPr>
        <w:pStyle w:val="4"/>
        <w:snapToGrid w:val="0"/>
        <w:spacing w:line="360" w:lineRule="exact"/>
        <w:rPr>
          <w:rFonts w:ascii="宋体" w:hAnsi="宋体"/>
          <w:sz w:val="21"/>
          <w:szCs w:val="21"/>
        </w:rPr>
      </w:pPr>
      <w:r>
        <w:rPr>
          <w:rFonts w:hint="eastAsia" w:ascii="宋体" w:hAnsi="宋体"/>
          <w:sz w:val="21"/>
          <w:szCs w:val="21"/>
        </w:rPr>
        <w:t>(2) 承包人编制的施工总进度计划应满足本合同约定的各工程施工控制节点工期要求。</w:t>
      </w:r>
    </w:p>
    <w:p>
      <w:pPr>
        <w:pStyle w:val="7"/>
        <w:snapToGrid w:val="0"/>
        <w:spacing w:line="360" w:lineRule="exact"/>
        <w:rPr>
          <w:rFonts w:ascii="宋体" w:hAnsi="宋体" w:eastAsia="宋体"/>
          <w:bCs/>
          <w:sz w:val="21"/>
          <w:szCs w:val="21"/>
        </w:rPr>
      </w:pPr>
      <w:r>
        <w:rPr>
          <w:rFonts w:hint="eastAsia" w:ascii="宋体" w:hAnsi="宋体" w:eastAsia="宋体"/>
          <w:bCs/>
          <w:sz w:val="21"/>
          <w:szCs w:val="21"/>
        </w:rPr>
        <w:t>1.4.4 施工总布置设计</w:t>
      </w:r>
    </w:p>
    <w:p>
      <w:pPr>
        <w:pStyle w:val="4"/>
        <w:snapToGrid w:val="0"/>
        <w:spacing w:line="360" w:lineRule="exact"/>
        <w:rPr>
          <w:rFonts w:ascii="宋体" w:hAnsi="宋体"/>
          <w:sz w:val="21"/>
          <w:szCs w:val="21"/>
        </w:rPr>
      </w:pPr>
      <w:r>
        <w:rPr>
          <w:rFonts w:hint="eastAsia" w:ascii="宋体" w:hAnsi="宋体"/>
          <w:sz w:val="21"/>
          <w:szCs w:val="21"/>
        </w:rPr>
        <w:t>(1) 承包人应在收到开工通知后的</w:t>
      </w:r>
      <w:r>
        <w:rPr>
          <w:rFonts w:hint="eastAsia" w:ascii="宋体" w:hAnsi="宋体"/>
          <w:sz w:val="21"/>
          <w:szCs w:val="21"/>
          <w:u w:val="single"/>
        </w:rPr>
        <w:t xml:space="preserve"> 28 </w:t>
      </w:r>
      <w:r>
        <w:rPr>
          <w:rFonts w:hint="eastAsia" w:ascii="宋体" w:hAnsi="宋体"/>
          <w:sz w:val="21"/>
          <w:szCs w:val="21"/>
        </w:rPr>
        <w:t>天内，将本合同工程的施工总布置设计文件，提交监理人批准。监理人应在签收后</w:t>
      </w:r>
      <w:r>
        <w:rPr>
          <w:rFonts w:hint="eastAsia" w:ascii="宋体" w:hAnsi="宋体"/>
          <w:sz w:val="21"/>
          <w:szCs w:val="21"/>
          <w:u w:val="single"/>
        </w:rPr>
        <w:t xml:space="preserve"> 14</w:t>
      </w:r>
      <w:r>
        <w:rPr>
          <w:rFonts w:hint="eastAsia" w:ascii="宋体" w:hAnsi="宋体"/>
          <w:sz w:val="21"/>
          <w:szCs w:val="21"/>
        </w:rPr>
        <w:t>天内批复承包人。</w:t>
      </w:r>
    </w:p>
    <w:p>
      <w:pPr>
        <w:pStyle w:val="4"/>
        <w:snapToGrid w:val="0"/>
        <w:spacing w:line="360" w:lineRule="exact"/>
        <w:rPr>
          <w:rFonts w:ascii="宋体" w:hAnsi="宋体"/>
          <w:sz w:val="21"/>
          <w:szCs w:val="21"/>
        </w:rPr>
      </w:pPr>
      <w:r>
        <w:rPr>
          <w:rFonts w:hint="eastAsia" w:ascii="宋体" w:hAnsi="宋体"/>
          <w:sz w:val="21"/>
          <w:szCs w:val="21"/>
        </w:rPr>
        <w:t>(2) 承包人提交的施工总布置设计文件，其内容应包括施工总平面布置图、主要剖面图和设计说明书。承包人应按本技术条款第2章所列各项临时设施的设计和使用要求进行总平面布置，施工总布置的占地范围不得超过发包人划定的界线。</w:t>
      </w:r>
    </w:p>
    <w:p>
      <w:pPr>
        <w:pStyle w:val="4"/>
        <w:snapToGrid w:val="0"/>
        <w:spacing w:line="360" w:lineRule="exact"/>
        <w:rPr>
          <w:rFonts w:ascii="宋体" w:hAnsi="宋体"/>
          <w:sz w:val="21"/>
          <w:szCs w:val="21"/>
        </w:rPr>
      </w:pPr>
      <w:r>
        <w:rPr>
          <w:rFonts w:hint="eastAsia" w:ascii="宋体" w:hAnsi="宋体"/>
          <w:sz w:val="21"/>
          <w:szCs w:val="21"/>
        </w:rPr>
        <w:t>(3) 承包人应按本技术条款第3章有关“施工安全措施”和第4章“环境保护和水土保持”的要求，保护好临时设施周围的边坡、冲沟、河道、河岸的稳定和安全。</w:t>
      </w:r>
    </w:p>
    <w:p>
      <w:pPr>
        <w:pStyle w:val="7"/>
        <w:snapToGrid w:val="0"/>
        <w:spacing w:line="360" w:lineRule="exact"/>
        <w:rPr>
          <w:rFonts w:ascii="宋体" w:hAnsi="宋体" w:eastAsia="宋体"/>
          <w:sz w:val="21"/>
          <w:szCs w:val="21"/>
        </w:rPr>
      </w:pPr>
      <w:r>
        <w:rPr>
          <w:rFonts w:hint="eastAsia" w:ascii="宋体" w:hAnsi="宋体" w:eastAsia="宋体"/>
          <w:sz w:val="21"/>
          <w:szCs w:val="21"/>
        </w:rPr>
        <w:t>1.4.5 主要施工方法和措施</w:t>
      </w:r>
    </w:p>
    <w:p>
      <w:pPr>
        <w:pStyle w:val="4"/>
        <w:snapToGrid w:val="0"/>
        <w:spacing w:line="360" w:lineRule="exact"/>
        <w:rPr>
          <w:rFonts w:ascii="宋体" w:hAnsi="宋体"/>
          <w:sz w:val="21"/>
          <w:szCs w:val="21"/>
        </w:rPr>
      </w:pPr>
      <w:r>
        <w:rPr>
          <w:rFonts w:hint="eastAsia" w:ascii="宋体" w:hAnsi="宋体"/>
          <w:sz w:val="21"/>
          <w:szCs w:val="21"/>
        </w:rPr>
        <w:t>(1) 承包人应在每项工程开始施工或安装前</w:t>
      </w:r>
      <w:r>
        <w:rPr>
          <w:rFonts w:hint="eastAsia" w:ascii="宋体" w:hAnsi="宋体"/>
          <w:sz w:val="21"/>
          <w:szCs w:val="21"/>
          <w:u w:val="single"/>
        </w:rPr>
        <w:t xml:space="preserve"> 28 </w:t>
      </w:r>
      <w:r>
        <w:rPr>
          <w:rFonts w:hint="eastAsia" w:ascii="宋体" w:hAnsi="宋体"/>
          <w:sz w:val="21"/>
          <w:szCs w:val="21"/>
        </w:rPr>
        <w:t>天，编制各工程项目的施工方法和措施，提交监理人批准。监理人应在收到文件后的</w:t>
      </w:r>
      <w:r>
        <w:rPr>
          <w:rFonts w:hint="eastAsia" w:ascii="宋体" w:hAnsi="宋体"/>
          <w:sz w:val="21"/>
          <w:szCs w:val="21"/>
          <w:u w:val="single"/>
        </w:rPr>
        <w:t xml:space="preserve"> 14 </w:t>
      </w:r>
      <w:r>
        <w:rPr>
          <w:rFonts w:hint="eastAsia" w:ascii="宋体" w:hAnsi="宋体"/>
          <w:sz w:val="21"/>
          <w:szCs w:val="21"/>
        </w:rPr>
        <w:t>天内批复承包人。</w:t>
      </w:r>
    </w:p>
    <w:p>
      <w:pPr>
        <w:pStyle w:val="4"/>
        <w:snapToGrid w:val="0"/>
        <w:spacing w:line="360" w:lineRule="exact"/>
        <w:rPr>
          <w:rFonts w:ascii="宋体" w:hAnsi="宋体"/>
          <w:sz w:val="21"/>
          <w:szCs w:val="21"/>
        </w:rPr>
      </w:pPr>
      <w:r>
        <w:rPr>
          <w:rFonts w:hint="eastAsia" w:ascii="宋体" w:hAnsi="宋体"/>
          <w:sz w:val="21"/>
          <w:szCs w:val="21"/>
        </w:rPr>
        <w:t>(2) 承包人按监理人指示提交的施工方法和措施，应包括施工需要的浇筑图、车间加工图和安装图等施工文件。</w:t>
      </w:r>
    </w:p>
    <w:p>
      <w:pPr>
        <w:pStyle w:val="7"/>
        <w:snapToGrid w:val="0"/>
        <w:spacing w:line="360" w:lineRule="exact"/>
        <w:rPr>
          <w:rFonts w:ascii="宋体" w:hAnsi="宋体" w:eastAsia="宋体"/>
          <w:bCs/>
          <w:sz w:val="21"/>
          <w:szCs w:val="21"/>
        </w:rPr>
      </w:pPr>
      <w:r>
        <w:rPr>
          <w:rFonts w:hint="eastAsia" w:ascii="宋体" w:hAnsi="宋体" w:eastAsia="宋体"/>
          <w:bCs/>
          <w:sz w:val="21"/>
          <w:szCs w:val="21"/>
        </w:rPr>
        <w:t>1.4.6 承包人文件的审批</w:t>
      </w:r>
    </w:p>
    <w:p>
      <w:pPr>
        <w:pStyle w:val="4"/>
        <w:snapToGrid w:val="0"/>
        <w:spacing w:line="360" w:lineRule="exact"/>
        <w:rPr>
          <w:rFonts w:ascii="宋体" w:hAnsi="宋体"/>
          <w:sz w:val="21"/>
          <w:szCs w:val="21"/>
        </w:rPr>
      </w:pPr>
      <w:r>
        <w:rPr>
          <w:rFonts w:hint="eastAsia" w:ascii="宋体" w:hAnsi="宋体"/>
          <w:sz w:val="21"/>
          <w:szCs w:val="21"/>
        </w:rPr>
        <w:t>(1) 除合同另有约定外，凡须经监理人审批的承包人文件，应在收到文件后</w:t>
      </w:r>
      <w:r>
        <w:rPr>
          <w:rFonts w:hint="eastAsia" w:ascii="宋体" w:hAnsi="宋体"/>
          <w:sz w:val="21"/>
          <w:szCs w:val="21"/>
          <w:u w:val="single"/>
        </w:rPr>
        <w:t xml:space="preserve"> 28</w:t>
      </w:r>
      <w:r>
        <w:rPr>
          <w:rFonts w:hint="eastAsia" w:ascii="宋体" w:hAnsi="宋体"/>
          <w:sz w:val="21"/>
          <w:szCs w:val="21"/>
        </w:rPr>
        <w:t>天内批复承包人，逾期不批复，则视为已经监理人批准。监理人的审批意见包括：</w:t>
      </w:r>
    </w:p>
    <w:p>
      <w:pPr>
        <w:pStyle w:val="4"/>
        <w:snapToGrid w:val="0"/>
        <w:spacing w:line="360" w:lineRule="exact"/>
        <w:rPr>
          <w:rFonts w:ascii="宋体" w:hAnsi="宋体"/>
          <w:sz w:val="21"/>
          <w:szCs w:val="21"/>
        </w:rPr>
      </w:pPr>
      <w:r>
        <w:rPr>
          <w:rFonts w:hint="eastAsia" w:ascii="宋体" w:hAnsi="宋体"/>
          <w:sz w:val="21"/>
          <w:szCs w:val="21"/>
        </w:rPr>
        <w:t>1）同意按此执行；或</w:t>
      </w:r>
    </w:p>
    <w:p>
      <w:pPr>
        <w:pStyle w:val="4"/>
        <w:snapToGrid w:val="0"/>
        <w:spacing w:line="360" w:lineRule="exact"/>
        <w:rPr>
          <w:rFonts w:ascii="宋体" w:hAnsi="宋体"/>
          <w:sz w:val="21"/>
          <w:szCs w:val="21"/>
        </w:rPr>
      </w:pPr>
      <w:r>
        <w:rPr>
          <w:rFonts w:hint="eastAsia" w:ascii="宋体" w:hAnsi="宋体"/>
          <w:sz w:val="21"/>
          <w:szCs w:val="21"/>
        </w:rPr>
        <w:t>2）按修改意见执行；或</w:t>
      </w:r>
    </w:p>
    <w:p>
      <w:pPr>
        <w:pStyle w:val="4"/>
        <w:snapToGrid w:val="0"/>
        <w:spacing w:line="360" w:lineRule="exact"/>
        <w:rPr>
          <w:rFonts w:ascii="宋体" w:hAnsi="宋体"/>
          <w:sz w:val="21"/>
          <w:szCs w:val="21"/>
        </w:rPr>
      </w:pPr>
      <w:r>
        <w:rPr>
          <w:rFonts w:hint="eastAsia" w:ascii="宋体" w:hAnsi="宋体"/>
          <w:sz w:val="21"/>
          <w:szCs w:val="21"/>
        </w:rPr>
        <w:t>3）修改后重新提交；或</w:t>
      </w:r>
    </w:p>
    <w:p>
      <w:pPr>
        <w:pStyle w:val="4"/>
        <w:snapToGrid w:val="0"/>
        <w:spacing w:line="360" w:lineRule="exact"/>
        <w:rPr>
          <w:rFonts w:ascii="宋体" w:hAnsi="宋体"/>
          <w:sz w:val="21"/>
          <w:szCs w:val="21"/>
        </w:rPr>
      </w:pPr>
      <w:r>
        <w:rPr>
          <w:rFonts w:hint="eastAsia" w:ascii="宋体" w:hAnsi="宋体"/>
          <w:sz w:val="21"/>
          <w:szCs w:val="21"/>
        </w:rPr>
        <w:t>4）不予批准。</w:t>
      </w:r>
    </w:p>
    <w:p>
      <w:pPr>
        <w:pStyle w:val="4"/>
        <w:snapToGrid w:val="0"/>
        <w:spacing w:line="360" w:lineRule="exact"/>
        <w:rPr>
          <w:rFonts w:ascii="宋体" w:hAnsi="宋体"/>
          <w:sz w:val="21"/>
          <w:szCs w:val="21"/>
        </w:rPr>
      </w:pPr>
      <w:r>
        <w:rPr>
          <w:rFonts w:hint="eastAsia" w:ascii="宋体" w:hAnsi="宋体"/>
          <w:sz w:val="21"/>
          <w:szCs w:val="21"/>
        </w:rPr>
        <w:t>(2) 凡标有“按修改意见执行”或“修改后重新提交”的图纸和文件，应由承包人在收到批复件后</w:t>
      </w:r>
      <w:r>
        <w:rPr>
          <w:rFonts w:hint="eastAsia" w:ascii="宋体" w:hAnsi="宋体"/>
          <w:sz w:val="21"/>
          <w:szCs w:val="21"/>
          <w:u w:val="single"/>
        </w:rPr>
        <w:t xml:space="preserve"> 14 </w:t>
      </w:r>
      <w:r>
        <w:rPr>
          <w:rFonts w:hint="eastAsia" w:ascii="宋体" w:hAnsi="宋体"/>
          <w:sz w:val="21"/>
          <w:szCs w:val="21"/>
        </w:rPr>
        <w:t>天内作出相应修改。所有修改都应由承包人在修改的图纸和文件上标明编号、日期以及说明修改范围和内容，并由承包人项目经理签字后，重新提交监理人批复，监理人应在图纸的角签部位和文件的签署栏签注处理意见后，发还承包人执行。</w:t>
      </w:r>
    </w:p>
    <w:p>
      <w:pPr>
        <w:pStyle w:val="4"/>
        <w:snapToGrid w:val="0"/>
        <w:spacing w:line="360" w:lineRule="exact"/>
        <w:rPr>
          <w:rFonts w:ascii="宋体" w:hAnsi="宋体"/>
          <w:sz w:val="21"/>
          <w:szCs w:val="21"/>
        </w:rPr>
      </w:pPr>
      <w:r>
        <w:rPr>
          <w:rFonts w:hint="eastAsia" w:ascii="宋体" w:hAnsi="宋体"/>
          <w:sz w:val="21"/>
          <w:szCs w:val="21"/>
        </w:rPr>
        <w:t>(3) 凡合同约定由承包人提交监理人批准的图纸和文件，必须由项目经理或其授权代表签名，否则均属无效。凡未经监理人按上述第1款规定签署的图纸和文件，均属无效。</w:t>
      </w:r>
    </w:p>
    <w:p>
      <w:pPr>
        <w:pStyle w:val="7"/>
        <w:snapToGrid w:val="0"/>
        <w:spacing w:line="360" w:lineRule="exact"/>
        <w:rPr>
          <w:rFonts w:ascii="宋体" w:hAnsi="宋体" w:eastAsia="宋体"/>
          <w:bCs/>
          <w:sz w:val="21"/>
          <w:szCs w:val="21"/>
        </w:rPr>
      </w:pPr>
      <w:r>
        <w:rPr>
          <w:rFonts w:hint="eastAsia" w:ascii="宋体" w:hAnsi="宋体" w:eastAsia="宋体"/>
          <w:bCs/>
          <w:sz w:val="21"/>
          <w:szCs w:val="21"/>
        </w:rPr>
        <w:t>1.5 发包人提供的材料和工程设备</w:t>
      </w:r>
    </w:p>
    <w:p>
      <w:pPr>
        <w:pStyle w:val="4"/>
        <w:snapToGrid w:val="0"/>
        <w:spacing w:line="360" w:lineRule="exact"/>
        <w:rPr>
          <w:rFonts w:ascii="宋体" w:hAnsi="宋体"/>
          <w:sz w:val="21"/>
          <w:szCs w:val="21"/>
        </w:rPr>
      </w:pPr>
      <w:r>
        <w:rPr>
          <w:rFonts w:hint="eastAsia" w:ascii="宋体" w:hAnsi="宋体"/>
          <w:sz w:val="21"/>
          <w:szCs w:val="21"/>
        </w:rPr>
        <w:t>发包人无材料和工程设备提供。</w:t>
      </w:r>
    </w:p>
    <w:p>
      <w:pPr>
        <w:pStyle w:val="7"/>
        <w:snapToGrid w:val="0"/>
        <w:spacing w:line="360" w:lineRule="exact"/>
        <w:rPr>
          <w:rFonts w:ascii="宋体" w:hAnsi="宋体" w:eastAsia="宋体"/>
          <w:sz w:val="21"/>
          <w:szCs w:val="21"/>
        </w:rPr>
      </w:pPr>
      <w:r>
        <w:rPr>
          <w:rFonts w:hint="eastAsia" w:ascii="宋体" w:hAnsi="宋体" w:eastAsia="宋体"/>
          <w:sz w:val="21"/>
          <w:szCs w:val="21"/>
        </w:rPr>
        <w:t>1.6 承包人提供的材料和设备</w:t>
      </w:r>
    </w:p>
    <w:p>
      <w:pPr>
        <w:pStyle w:val="7"/>
        <w:snapToGrid w:val="0"/>
        <w:spacing w:line="360" w:lineRule="exact"/>
        <w:rPr>
          <w:rFonts w:ascii="宋体" w:hAnsi="宋体" w:eastAsia="宋体"/>
          <w:sz w:val="21"/>
          <w:szCs w:val="21"/>
        </w:rPr>
      </w:pPr>
      <w:r>
        <w:rPr>
          <w:rFonts w:hint="eastAsia" w:ascii="宋体" w:hAnsi="宋体" w:eastAsia="宋体"/>
          <w:sz w:val="21"/>
          <w:szCs w:val="21"/>
        </w:rPr>
        <w:t>1.6.1 承包人提供的材料</w:t>
      </w:r>
    </w:p>
    <w:p>
      <w:pPr>
        <w:pStyle w:val="4"/>
        <w:snapToGrid w:val="0"/>
        <w:spacing w:line="360" w:lineRule="exact"/>
        <w:rPr>
          <w:rFonts w:ascii="宋体" w:hAnsi="宋体"/>
          <w:sz w:val="21"/>
          <w:szCs w:val="21"/>
        </w:rPr>
      </w:pPr>
      <w:r>
        <w:rPr>
          <w:rFonts w:hint="eastAsia" w:ascii="宋体" w:hAnsi="宋体"/>
          <w:sz w:val="21"/>
          <w:szCs w:val="21"/>
        </w:rPr>
        <w:t>(1) 承包人提供的材料应由监理人按以下程序进行检查和验收：</w:t>
      </w:r>
    </w:p>
    <w:p>
      <w:pPr>
        <w:pStyle w:val="4"/>
        <w:snapToGrid w:val="0"/>
        <w:spacing w:line="360" w:lineRule="exact"/>
        <w:rPr>
          <w:rFonts w:ascii="宋体" w:hAnsi="宋体"/>
          <w:sz w:val="21"/>
          <w:szCs w:val="21"/>
        </w:rPr>
      </w:pPr>
      <w:r>
        <w:rPr>
          <w:rFonts w:hint="eastAsia" w:ascii="宋体" w:hAnsi="宋体"/>
          <w:sz w:val="21"/>
          <w:szCs w:val="21"/>
        </w:rPr>
        <w:t>1）查验证件：承包人应按供货合同的要求查验每批材料的发货单、计量单、装箱材料的合格证书、化验单以及其它有关图纸、文件和证件，并应将上述图纸，以及文件、证件的复印件提交监理人；</w:t>
      </w:r>
    </w:p>
    <w:p>
      <w:pPr>
        <w:pStyle w:val="4"/>
        <w:snapToGrid w:val="0"/>
        <w:spacing w:line="360" w:lineRule="exact"/>
        <w:rPr>
          <w:rFonts w:ascii="宋体" w:hAnsi="宋体"/>
          <w:sz w:val="21"/>
          <w:szCs w:val="21"/>
        </w:rPr>
      </w:pPr>
      <w:r>
        <w:rPr>
          <w:rFonts w:hint="eastAsia" w:ascii="宋体" w:hAnsi="宋体"/>
          <w:sz w:val="21"/>
          <w:szCs w:val="21"/>
        </w:rPr>
        <w:t>2）抽样检验：承包人应会同监理人按本合同约定和技术条款各章的有关规定进行材料抽样检验，检验结果应提交监理人。并对每批材料是否合格作出鉴定；</w:t>
      </w:r>
    </w:p>
    <w:p>
      <w:pPr>
        <w:pStyle w:val="4"/>
        <w:snapToGrid w:val="0"/>
        <w:spacing w:line="360" w:lineRule="exact"/>
        <w:rPr>
          <w:rFonts w:ascii="宋体" w:hAnsi="宋体"/>
          <w:sz w:val="21"/>
          <w:szCs w:val="21"/>
        </w:rPr>
      </w:pPr>
      <w:r>
        <w:rPr>
          <w:rFonts w:hint="eastAsia" w:ascii="宋体" w:hAnsi="宋体"/>
          <w:sz w:val="21"/>
          <w:szCs w:val="21"/>
        </w:rPr>
        <w:t>3）材料验收：经鉴定合格的材料方能验收，承包人应与监理人共同核对每批材料的品名、规格、数量，并作好记录，共同验点入库。</w:t>
      </w:r>
    </w:p>
    <w:p>
      <w:pPr>
        <w:pStyle w:val="4"/>
        <w:snapToGrid w:val="0"/>
        <w:spacing w:line="360" w:lineRule="exact"/>
        <w:rPr>
          <w:rFonts w:ascii="宋体" w:hAnsi="宋体"/>
          <w:sz w:val="21"/>
          <w:szCs w:val="21"/>
        </w:rPr>
      </w:pPr>
      <w:r>
        <w:rPr>
          <w:rFonts w:hint="eastAsia" w:ascii="宋体" w:hAnsi="宋体"/>
          <w:sz w:val="21"/>
          <w:szCs w:val="21"/>
        </w:rPr>
        <w:t>(2) 不合格材料的处理</w:t>
      </w:r>
    </w:p>
    <w:p>
      <w:pPr>
        <w:pStyle w:val="4"/>
        <w:snapToGrid w:val="0"/>
        <w:spacing w:line="360" w:lineRule="exact"/>
        <w:rPr>
          <w:rFonts w:ascii="宋体" w:hAnsi="宋体"/>
          <w:sz w:val="21"/>
          <w:szCs w:val="21"/>
        </w:rPr>
      </w:pPr>
      <w:r>
        <w:rPr>
          <w:rFonts w:hint="eastAsia" w:ascii="宋体" w:hAnsi="宋体"/>
          <w:sz w:val="21"/>
          <w:szCs w:val="21"/>
        </w:rPr>
        <w:t>经监理人查库发现的不合格材料，应禁止使用，并清除出场。承包人违约使用了不合格材料，应按本合同约定予以清除或返工至合格为止。</w:t>
      </w:r>
    </w:p>
    <w:p>
      <w:pPr>
        <w:pStyle w:val="4"/>
        <w:snapToGrid w:val="0"/>
        <w:spacing w:line="360" w:lineRule="exact"/>
        <w:rPr>
          <w:rFonts w:ascii="宋体" w:hAnsi="宋体"/>
          <w:sz w:val="21"/>
          <w:szCs w:val="21"/>
        </w:rPr>
      </w:pPr>
      <w:r>
        <w:rPr>
          <w:rFonts w:hint="eastAsia" w:ascii="宋体" w:hAnsi="宋体"/>
          <w:sz w:val="21"/>
          <w:szCs w:val="21"/>
        </w:rPr>
        <w:t>(3) 代用材料</w:t>
      </w:r>
    </w:p>
    <w:p>
      <w:pPr>
        <w:pStyle w:val="4"/>
        <w:snapToGrid w:val="0"/>
        <w:spacing w:line="360" w:lineRule="exact"/>
        <w:rPr>
          <w:rFonts w:ascii="宋体" w:hAnsi="宋体"/>
          <w:sz w:val="21"/>
          <w:szCs w:val="21"/>
        </w:rPr>
      </w:pPr>
      <w:r>
        <w:rPr>
          <w:rFonts w:hint="eastAsia" w:ascii="宋体" w:hAnsi="宋体"/>
          <w:sz w:val="21"/>
          <w:szCs w:val="21"/>
        </w:rPr>
        <w:t>承包人申请代用材料，应将代用材料的技术标准、质量证明书和试验报告提交监理人。经监理人批准后，才能采用代用材料。</w:t>
      </w:r>
    </w:p>
    <w:p>
      <w:pPr>
        <w:pStyle w:val="7"/>
        <w:snapToGrid w:val="0"/>
        <w:spacing w:line="360" w:lineRule="exact"/>
        <w:rPr>
          <w:rFonts w:ascii="宋体" w:hAnsi="宋体" w:eastAsia="宋体"/>
          <w:b w:val="0"/>
          <w:bCs/>
          <w:sz w:val="21"/>
          <w:szCs w:val="21"/>
        </w:rPr>
      </w:pPr>
      <w:r>
        <w:rPr>
          <w:rFonts w:hint="eastAsia" w:ascii="宋体" w:hAnsi="宋体" w:eastAsia="宋体"/>
          <w:bCs/>
          <w:sz w:val="21"/>
          <w:szCs w:val="21"/>
        </w:rPr>
        <w:t>1.6.2 承包人提供的工程设备</w:t>
      </w:r>
    </w:p>
    <w:p>
      <w:pPr>
        <w:pStyle w:val="14"/>
        <w:adjustRightInd w:val="0"/>
        <w:snapToGrid w:val="0"/>
        <w:spacing w:line="360" w:lineRule="exact"/>
        <w:ind w:firstLine="502"/>
        <w:rPr>
          <w:rFonts w:hAnsi="宋体"/>
          <w:szCs w:val="21"/>
        </w:rPr>
      </w:pPr>
      <w:r>
        <w:rPr>
          <w:rFonts w:hint="eastAsia" w:hAnsi="宋体"/>
          <w:szCs w:val="21"/>
        </w:rPr>
        <w:t>按合同约定由承包人负责采购和安装的工程设备，应由承包人将工程设备的订货清单提交监理人批准。承包人应按监理人批准的工程设备订货清单办理订货，并应将订货协议副本提交监理人。承包人应承担工程设备的采购、验收、运输和保管的责任。承包人应承担工程设备的采购、验收、运输和保管的责任。</w:t>
      </w:r>
    </w:p>
    <w:p>
      <w:pPr>
        <w:pStyle w:val="7"/>
        <w:snapToGrid w:val="0"/>
        <w:spacing w:line="360" w:lineRule="exact"/>
        <w:rPr>
          <w:rFonts w:ascii="宋体" w:hAnsi="宋体" w:eastAsia="宋体"/>
          <w:sz w:val="21"/>
          <w:szCs w:val="21"/>
        </w:rPr>
      </w:pPr>
      <w:r>
        <w:rPr>
          <w:rFonts w:hint="eastAsia" w:ascii="宋体" w:hAnsi="宋体" w:eastAsia="宋体"/>
          <w:sz w:val="21"/>
          <w:szCs w:val="21"/>
        </w:rPr>
        <w:t>1.6.3 承包人施工设备</w:t>
      </w:r>
    </w:p>
    <w:p>
      <w:pPr>
        <w:pStyle w:val="4"/>
        <w:snapToGrid w:val="0"/>
        <w:spacing w:line="360" w:lineRule="exact"/>
        <w:rPr>
          <w:rFonts w:ascii="宋体" w:hAnsi="宋体"/>
          <w:sz w:val="21"/>
          <w:szCs w:val="21"/>
        </w:rPr>
      </w:pPr>
      <w:r>
        <w:rPr>
          <w:rFonts w:hint="eastAsia" w:ascii="宋体" w:hAnsi="宋体"/>
          <w:sz w:val="21"/>
          <w:szCs w:val="21"/>
        </w:rPr>
        <w:t>(1) 承包人应在签署合同协议书后</w:t>
      </w:r>
      <w:r>
        <w:rPr>
          <w:rFonts w:hint="eastAsia" w:ascii="宋体" w:hAnsi="宋体"/>
          <w:sz w:val="21"/>
          <w:szCs w:val="21"/>
          <w:u w:val="single"/>
        </w:rPr>
        <w:t xml:space="preserve"> 14 </w:t>
      </w:r>
      <w:r>
        <w:rPr>
          <w:rFonts w:hint="eastAsia" w:ascii="宋体" w:hAnsi="宋体"/>
          <w:sz w:val="21"/>
          <w:szCs w:val="21"/>
        </w:rPr>
        <w:t>天内，提交一份为完成本合同各项工作所需的施工设备清单，提交监理人批准。施工设备清单的内容应包括：</w:t>
      </w:r>
    </w:p>
    <w:p>
      <w:pPr>
        <w:pStyle w:val="4"/>
        <w:snapToGrid w:val="0"/>
        <w:spacing w:line="360" w:lineRule="exact"/>
        <w:rPr>
          <w:rFonts w:ascii="宋体" w:hAnsi="宋体"/>
          <w:sz w:val="21"/>
          <w:szCs w:val="21"/>
        </w:rPr>
      </w:pPr>
      <w:r>
        <w:rPr>
          <w:rFonts w:hint="eastAsia" w:ascii="宋体" w:hAnsi="宋体"/>
          <w:sz w:val="21"/>
          <w:szCs w:val="21"/>
        </w:rPr>
        <w:t>1）新购设备的生产厂家、品名、型号、规格、主要性能、数量和预计进场时间，承包人应向监理人提交新购置主要施工设备的订货协议复印件；</w:t>
      </w:r>
    </w:p>
    <w:p>
      <w:pPr>
        <w:pStyle w:val="4"/>
        <w:snapToGrid w:val="0"/>
        <w:spacing w:line="360" w:lineRule="exact"/>
        <w:rPr>
          <w:rFonts w:ascii="宋体" w:hAnsi="宋体"/>
          <w:sz w:val="21"/>
          <w:szCs w:val="21"/>
        </w:rPr>
      </w:pPr>
      <w:r>
        <w:rPr>
          <w:rFonts w:hint="eastAsia" w:ascii="宋体" w:hAnsi="宋体"/>
          <w:sz w:val="21"/>
          <w:szCs w:val="21"/>
        </w:rPr>
        <w:t>2）旧施工设备的购置时间、残值、运行和检修记录以及维修保养证书等；</w:t>
      </w:r>
    </w:p>
    <w:p>
      <w:pPr>
        <w:pStyle w:val="4"/>
        <w:snapToGrid w:val="0"/>
        <w:spacing w:line="360" w:lineRule="exact"/>
        <w:rPr>
          <w:rFonts w:ascii="宋体" w:hAnsi="宋体"/>
          <w:sz w:val="21"/>
          <w:szCs w:val="21"/>
        </w:rPr>
      </w:pPr>
      <w:r>
        <w:rPr>
          <w:rFonts w:hint="eastAsia" w:ascii="宋体" w:hAnsi="宋体"/>
          <w:sz w:val="21"/>
          <w:szCs w:val="21"/>
        </w:rPr>
        <w:t>3）租赁设备的购置时间、租赁期限、租赁价格、运行检修记录以及维修保养证书等。</w:t>
      </w:r>
    </w:p>
    <w:p>
      <w:pPr>
        <w:pStyle w:val="4"/>
        <w:snapToGrid w:val="0"/>
        <w:spacing w:line="360" w:lineRule="exact"/>
        <w:rPr>
          <w:rFonts w:ascii="宋体" w:hAnsi="宋体"/>
          <w:sz w:val="21"/>
          <w:szCs w:val="21"/>
        </w:rPr>
      </w:pPr>
      <w:r>
        <w:rPr>
          <w:rFonts w:hint="eastAsia" w:ascii="宋体" w:hAnsi="宋体"/>
          <w:sz w:val="21"/>
          <w:szCs w:val="21"/>
        </w:rPr>
        <w:t>(2) 承包人配置的旧施工设备（包括租赁的旧设备），应由监理人进行检查，并须进行试运行，确认其符合使用要求后方可投人使用。</w:t>
      </w:r>
    </w:p>
    <w:p>
      <w:pPr>
        <w:pStyle w:val="4"/>
        <w:snapToGrid w:val="0"/>
        <w:spacing w:line="360" w:lineRule="exact"/>
        <w:rPr>
          <w:rFonts w:ascii="宋体" w:hAnsi="宋体"/>
          <w:sz w:val="21"/>
          <w:szCs w:val="21"/>
        </w:rPr>
      </w:pPr>
      <w:r>
        <w:rPr>
          <w:rFonts w:hint="eastAsia" w:ascii="宋体" w:hAnsi="宋体"/>
          <w:sz w:val="21"/>
          <w:szCs w:val="21"/>
        </w:rPr>
        <w:t>(3) 承包人施工设备进场后，监理人应按承包人提供的施工设备清单，仔细核查进场施工设备的数量、规格和性能是否符合施工进度计划和质量控制的要求，监理人有权索取必要的施工设备资料，如发现进场的施工设备不能满足施工要求时，监理人有权责令撤换。</w:t>
      </w:r>
    </w:p>
    <w:p>
      <w:pPr>
        <w:pStyle w:val="7"/>
        <w:snapToGrid w:val="0"/>
        <w:spacing w:line="360" w:lineRule="exact"/>
        <w:rPr>
          <w:rFonts w:ascii="宋体" w:hAnsi="宋体" w:eastAsia="宋体"/>
          <w:bCs/>
          <w:sz w:val="21"/>
          <w:szCs w:val="21"/>
        </w:rPr>
      </w:pPr>
      <w:r>
        <w:rPr>
          <w:rFonts w:hint="eastAsia" w:ascii="宋体" w:hAnsi="宋体" w:eastAsia="宋体"/>
          <w:bCs/>
          <w:sz w:val="21"/>
          <w:szCs w:val="21"/>
        </w:rPr>
        <w:t>1.6.4 不合格的材料和工程设备的处理</w:t>
      </w:r>
    </w:p>
    <w:p>
      <w:pPr>
        <w:pStyle w:val="4"/>
        <w:snapToGrid w:val="0"/>
        <w:spacing w:line="360" w:lineRule="exact"/>
        <w:rPr>
          <w:rFonts w:ascii="宋体" w:hAnsi="宋体"/>
          <w:sz w:val="21"/>
          <w:szCs w:val="21"/>
        </w:rPr>
      </w:pPr>
      <w:r>
        <w:rPr>
          <w:rFonts w:hint="eastAsia" w:ascii="宋体" w:hAnsi="宋体"/>
          <w:sz w:val="21"/>
          <w:szCs w:val="21"/>
        </w:rPr>
        <w:t>由于承包人使用了不合格材料和工程设备造成了工程损害，监理人可要求承包人立即采取措施进行补救，直至彻底清除工程的不合格部位以及不合格的材料或工程设备，由此增加的费用和工期延误责任由承包人承担。</w:t>
      </w:r>
    </w:p>
    <w:p>
      <w:pPr>
        <w:pStyle w:val="7"/>
        <w:snapToGrid w:val="0"/>
        <w:spacing w:line="360" w:lineRule="exact"/>
        <w:rPr>
          <w:rFonts w:ascii="宋体" w:hAnsi="宋体" w:eastAsia="宋体"/>
          <w:bCs/>
          <w:sz w:val="21"/>
          <w:szCs w:val="21"/>
        </w:rPr>
      </w:pPr>
      <w:r>
        <w:rPr>
          <w:rFonts w:hint="eastAsia" w:ascii="宋体" w:hAnsi="宋体" w:eastAsia="宋体"/>
          <w:bCs/>
          <w:sz w:val="21"/>
          <w:szCs w:val="21"/>
        </w:rPr>
        <w:t>1.7 进度计划的实施</w:t>
      </w:r>
    </w:p>
    <w:p>
      <w:pPr>
        <w:pStyle w:val="7"/>
        <w:snapToGrid w:val="0"/>
        <w:spacing w:line="360" w:lineRule="exact"/>
        <w:rPr>
          <w:rFonts w:ascii="宋体" w:hAnsi="宋体" w:eastAsia="宋体"/>
          <w:sz w:val="21"/>
          <w:szCs w:val="21"/>
        </w:rPr>
      </w:pPr>
      <w:r>
        <w:rPr>
          <w:rFonts w:hint="eastAsia" w:ascii="宋体" w:hAnsi="宋体" w:eastAsia="宋体"/>
          <w:sz w:val="21"/>
          <w:szCs w:val="21"/>
        </w:rPr>
        <w:t>1.7.1 施工总进度实施措施</w:t>
      </w:r>
    </w:p>
    <w:p>
      <w:pPr>
        <w:pStyle w:val="4"/>
        <w:snapToGrid w:val="0"/>
        <w:spacing w:line="360" w:lineRule="exact"/>
        <w:rPr>
          <w:rFonts w:ascii="宋体" w:hAnsi="宋体"/>
          <w:sz w:val="21"/>
          <w:szCs w:val="21"/>
        </w:rPr>
      </w:pPr>
      <w:r>
        <w:rPr>
          <w:rFonts w:hint="eastAsia" w:ascii="宋体" w:hAnsi="宋体"/>
          <w:sz w:val="21"/>
          <w:szCs w:val="21"/>
        </w:rPr>
        <w:t>承包人应按监理人根据本章第1.4.3条要求批准的施工总进度实施计划，编制详细的施工总进度计划的实施措施，提交监理人批准。实施措施应说明以下内容：</w:t>
      </w:r>
    </w:p>
    <w:p>
      <w:pPr>
        <w:pStyle w:val="4"/>
        <w:snapToGrid w:val="0"/>
        <w:spacing w:line="360" w:lineRule="exact"/>
        <w:rPr>
          <w:rFonts w:ascii="宋体" w:hAnsi="宋体"/>
          <w:sz w:val="21"/>
          <w:szCs w:val="21"/>
        </w:rPr>
      </w:pPr>
      <w:r>
        <w:rPr>
          <w:rFonts w:hint="eastAsia" w:ascii="宋体" w:hAnsi="宋体"/>
          <w:sz w:val="21"/>
          <w:szCs w:val="21"/>
        </w:rPr>
        <w:t>(1) 各永久工程和临时工程项目按期完成的年、月工程量计划和各年度形象面貌。</w:t>
      </w:r>
    </w:p>
    <w:p>
      <w:pPr>
        <w:pStyle w:val="4"/>
        <w:snapToGrid w:val="0"/>
        <w:spacing w:line="360" w:lineRule="exact"/>
        <w:rPr>
          <w:rFonts w:ascii="宋体" w:hAnsi="宋体"/>
          <w:sz w:val="21"/>
          <w:szCs w:val="21"/>
        </w:rPr>
      </w:pPr>
      <w:r>
        <w:rPr>
          <w:rFonts w:hint="eastAsia" w:ascii="宋体" w:hAnsi="宋体"/>
          <w:sz w:val="21"/>
          <w:szCs w:val="21"/>
        </w:rPr>
        <w:t>(2) 主要物资材料（如钢材、钢筋、木材、水泥、砂石骨料、土料和石料、柴油、用水和用电等）使用计划及主要材料订货安排。</w:t>
      </w:r>
    </w:p>
    <w:p>
      <w:pPr>
        <w:pStyle w:val="4"/>
        <w:snapToGrid w:val="0"/>
        <w:spacing w:line="360" w:lineRule="exact"/>
        <w:rPr>
          <w:rFonts w:ascii="宋体" w:hAnsi="宋体"/>
          <w:sz w:val="21"/>
          <w:szCs w:val="21"/>
        </w:rPr>
      </w:pPr>
      <w:r>
        <w:rPr>
          <w:rFonts w:hint="eastAsia" w:ascii="宋体" w:hAnsi="宋体"/>
          <w:sz w:val="21"/>
          <w:szCs w:val="21"/>
        </w:rPr>
        <w:t>(3) 施工现场各类人员配备和劳务计划。</w:t>
      </w:r>
    </w:p>
    <w:p>
      <w:pPr>
        <w:pStyle w:val="4"/>
        <w:snapToGrid w:val="0"/>
        <w:spacing w:line="360" w:lineRule="exact"/>
        <w:rPr>
          <w:rFonts w:ascii="宋体" w:hAnsi="宋体"/>
          <w:sz w:val="21"/>
          <w:szCs w:val="21"/>
        </w:rPr>
      </w:pPr>
      <w:r>
        <w:rPr>
          <w:rFonts w:hint="eastAsia" w:ascii="宋体" w:hAnsi="宋体"/>
          <w:sz w:val="21"/>
          <w:szCs w:val="21"/>
        </w:rPr>
        <w:t>(4) 工程设备的订货、交货计划。</w:t>
      </w:r>
    </w:p>
    <w:p>
      <w:pPr>
        <w:pStyle w:val="4"/>
        <w:snapToGrid w:val="0"/>
        <w:spacing w:line="360" w:lineRule="exact"/>
        <w:rPr>
          <w:rFonts w:ascii="宋体" w:hAnsi="宋体"/>
          <w:sz w:val="21"/>
          <w:szCs w:val="21"/>
        </w:rPr>
      </w:pPr>
      <w:r>
        <w:rPr>
          <w:rFonts w:hint="eastAsia" w:ascii="宋体" w:hAnsi="宋体"/>
          <w:sz w:val="21"/>
          <w:szCs w:val="21"/>
        </w:rPr>
        <w:t>(5) 其它说明。</w:t>
      </w:r>
    </w:p>
    <w:p>
      <w:pPr>
        <w:pStyle w:val="7"/>
        <w:snapToGrid w:val="0"/>
        <w:spacing w:line="360" w:lineRule="exact"/>
        <w:rPr>
          <w:rFonts w:ascii="宋体" w:hAnsi="宋体" w:eastAsia="宋体"/>
          <w:bCs/>
          <w:sz w:val="21"/>
          <w:szCs w:val="21"/>
        </w:rPr>
      </w:pPr>
      <w:r>
        <w:rPr>
          <w:rFonts w:hint="eastAsia" w:ascii="宋体" w:hAnsi="宋体" w:eastAsia="宋体"/>
          <w:bCs/>
          <w:sz w:val="21"/>
          <w:szCs w:val="21"/>
        </w:rPr>
        <w:t>1.7.2 年进度计划</w:t>
      </w:r>
    </w:p>
    <w:p>
      <w:pPr>
        <w:pStyle w:val="4"/>
        <w:snapToGrid w:val="0"/>
        <w:spacing w:line="360" w:lineRule="exact"/>
        <w:rPr>
          <w:rFonts w:ascii="宋体" w:hAnsi="宋体"/>
          <w:sz w:val="21"/>
          <w:szCs w:val="21"/>
        </w:rPr>
      </w:pPr>
      <w:r>
        <w:rPr>
          <w:rFonts w:hint="eastAsia" w:ascii="宋体" w:hAnsi="宋体"/>
          <w:sz w:val="21"/>
          <w:szCs w:val="21"/>
        </w:rPr>
        <w:t>承包人应在每年</w:t>
      </w:r>
      <w:r>
        <w:rPr>
          <w:rFonts w:hint="eastAsia" w:ascii="宋体" w:hAnsi="宋体"/>
          <w:sz w:val="21"/>
          <w:szCs w:val="21"/>
          <w:u w:val="single"/>
        </w:rPr>
        <w:t xml:space="preserve"> 12 </w:t>
      </w:r>
      <w:r>
        <w:rPr>
          <w:rFonts w:hint="eastAsia" w:ascii="宋体" w:hAnsi="宋体"/>
          <w:sz w:val="21"/>
          <w:szCs w:val="21"/>
        </w:rPr>
        <w:t>月，将下年度的进度计划，提交监理人批准，其内容包括：</w:t>
      </w:r>
    </w:p>
    <w:p>
      <w:pPr>
        <w:pStyle w:val="4"/>
        <w:snapToGrid w:val="0"/>
        <w:spacing w:line="360" w:lineRule="exact"/>
        <w:rPr>
          <w:rFonts w:ascii="宋体" w:hAnsi="宋体"/>
          <w:sz w:val="21"/>
          <w:szCs w:val="21"/>
        </w:rPr>
      </w:pPr>
      <w:r>
        <w:rPr>
          <w:rFonts w:hint="eastAsia" w:ascii="宋体" w:hAnsi="宋体"/>
          <w:sz w:val="21"/>
          <w:szCs w:val="21"/>
        </w:rPr>
        <w:t>(1) 计划完成的年工程量及其施工面貌。</w:t>
      </w:r>
    </w:p>
    <w:p>
      <w:pPr>
        <w:pStyle w:val="4"/>
        <w:snapToGrid w:val="0"/>
        <w:spacing w:line="360" w:lineRule="exact"/>
        <w:rPr>
          <w:rFonts w:ascii="宋体" w:hAnsi="宋体"/>
          <w:sz w:val="21"/>
          <w:szCs w:val="21"/>
        </w:rPr>
      </w:pPr>
      <w:r>
        <w:rPr>
          <w:rFonts w:hint="eastAsia" w:ascii="宋体" w:hAnsi="宋体"/>
          <w:sz w:val="21"/>
          <w:szCs w:val="21"/>
        </w:rPr>
        <w:t>(2) 该年施工所需的机具、设备、材料的数量和需要补充采购的计划。</w:t>
      </w:r>
    </w:p>
    <w:p>
      <w:pPr>
        <w:pStyle w:val="4"/>
        <w:snapToGrid w:val="0"/>
        <w:spacing w:line="360" w:lineRule="exact"/>
        <w:rPr>
          <w:rFonts w:ascii="宋体" w:hAnsi="宋体"/>
          <w:sz w:val="21"/>
          <w:szCs w:val="21"/>
        </w:rPr>
      </w:pPr>
      <w:r>
        <w:rPr>
          <w:rFonts w:hint="eastAsia" w:ascii="宋体" w:hAnsi="宋体"/>
          <w:sz w:val="21"/>
          <w:szCs w:val="21"/>
        </w:rPr>
        <w:t>(3) 要求发包人提供的施工图纸计划。</w:t>
      </w:r>
    </w:p>
    <w:p>
      <w:pPr>
        <w:pStyle w:val="4"/>
        <w:snapToGrid w:val="0"/>
        <w:spacing w:line="360" w:lineRule="exact"/>
        <w:rPr>
          <w:rFonts w:ascii="宋体" w:hAnsi="宋体"/>
          <w:sz w:val="21"/>
          <w:szCs w:val="21"/>
        </w:rPr>
      </w:pPr>
      <w:r>
        <w:rPr>
          <w:rFonts w:hint="eastAsia" w:ascii="宋体" w:hAnsi="宋体"/>
          <w:sz w:val="21"/>
          <w:szCs w:val="21"/>
        </w:rPr>
        <w:t>(4) 提出发包人和其它承包人提供工程设备预埋件的计划要求。</w:t>
      </w:r>
    </w:p>
    <w:p>
      <w:pPr>
        <w:pStyle w:val="4"/>
        <w:snapToGrid w:val="0"/>
        <w:spacing w:line="360" w:lineRule="exact"/>
        <w:rPr>
          <w:rFonts w:ascii="宋体" w:hAnsi="宋体"/>
          <w:sz w:val="21"/>
          <w:szCs w:val="21"/>
        </w:rPr>
      </w:pPr>
      <w:r>
        <w:rPr>
          <w:rFonts w:hint="eastAsia" w:ascii="宋体" w:hAnsi="宋体"/>
          <w:sz w:val="21"/>
          <w:szCs w:val="21"/>
        </w:rPr>
        <w:t>(5) 该年施工工作面移交计划日期和要求其它承包人提供工作面的计划日期。</w:t>
      </w:r>
    </w:p>
    <w:p>
      <w:pPr>
        <w:pStyle w:val="4"/>
        <w:snapToGrid w:val="0"/>
        <w:spacing w:line="360" w:lineRule="exact"/>
        <w:rPr>
          <w:rFonts w:ascii="宋体" w:hAnsi="宋体"/>
          <w:sz w:val="21"/>
          <w:szCs w:val="21"/>
        </w:rPr>
      </w:pPr>
      <w:r>
        <w:rPr>
          <w:rFonts w:hint="eastAsia" w:ascii="宋体" w:hAnsi="宋体"/>
          <w:sz w:val="21"/>
          <w:szCs w:val="21"/>
        </w:rPr>
        <w:t>(6) 该年各施工工程项目的试验检验计划。</w:t>
      </w:r>
    </w:p>
    <w:p>
      <w:pPr>
        <w:pStyle w:val="4"/>
        <w:snapToGrid w:val="0"/>
        <w:spacing w:line="360" w:lineRule="exact"/>
        <w:rPr>
          <w:rFonts w:ascii="宋体" w:hAnsi="宋体"/>
          <w:sz w:val="21"/>
          <w:szCs w:val="21"/>
        </w:rPr>
      </w:pPr>
      <w:r>
        <w:rPr>
          <w:rFonts w:hint="eastAsia" w:ascii="宋体" w:hAnsi="宋体"/>
          <w:sz w:val="21"/>
          <w:szCs w:val="21"/>
        </w:rPr>
        <w:t>(7) 工程安全措施实施计划等。</w:t>
      </w:r>
    </w:p>
    <w:p>
      <w:pPr>
        <w:pStyle w:val="7"/>
        <w:snapToGrid w:val="0"/>
        <w:spacing w:line="360" w:lineRule="exact"/>
        <w:rPr>
          <w:rFonts w:ascii="宋体" w:hAnsi="宋体" w:eastAsia="宋体"/>
          <w:sz w:val="21"/>
          <w:szCs w:val="21"/>
        </w:rPr>
      </w:pPr>
      <w:r>
        <w:rPr>
          <w:rFonts w:hint="eastAsia" w:ascii="宋体" w:hAnsi="宋体" w:eastAsia="宋体"/>
          <w:sz w:val="21"/>
          <w:szCs w:val="21"/>
        </w:rPr>
        <w:t>1.7.3 季、月进度计划</w:t>
      </w:r>
    </w:p>
    <w:p>
      <w:pPr>
        <w:pStyle w:val="4"/>
        <w:snapToGrid w:val="0"/>
        <w:spacing w:line="360" w:lineRule="exact"/>
        <w:rPr>
          <w:rFonts w:ascii="宋体" w:hAnsi="宋体"/>
          <w:sz w:val="21"/>
          <w:szCs w:val="21"/>
        </w:rPr>
      </w:pPr>
      <w:r>
        <w:rPr>
          <w:rFonts w:hint="eastAsia" w:ascii="宋体" w:hAnsi="宋体"/>
          <w:sz w:val="21"/>
          <w:szCs w:val="21"/>
        </w:rPr>
        <w:t>监理人认为有必要时，可要求承包人向监理人提交季、月进度计划，其内容包括：</w:t>
      </w:r>
    </w:p>
    <w:p>
      <w:pPr>
        <w:pStyle w:val="4"/>
        <w:snapToGrid w:val="0"/>
        <w:spacing w:line="360" w:lineRule="exact"/>
        <w:rPr>
          <w:rFonts w:ascii="宋体" w:hAnsi="宋体"/>
          <w:sz w:val="21"/>
          <w:szCs w:val="21"/>
        </w:rPr>
      </w:pPr>
      <w:r>
        <w:rPr>
          <w:rFonts w:hint="eastAsia" w:ascii="宋体" w:hAnsi="宋体"/>
          <w:sz w:val="21"/>
          <w:szCs w:val="21"/>
        </w:rPr>
        <w:t>(1) 季、月工程量及其施工面貌。</w:t>
      </w:r>
    </w:p>
    <w:p>
      <w:pPr>
        <w:pStyle w:val="4"/>
        <w:snapToGrid w:val="0"/>
        <w:spacing w:line="360" w:lineRule="exact"/>
        <w:rPr>
          <w:rFonts w:ascii="宋体" w:hAnsi="宋体"/>
          <w:sz w:val="21"/>
          <w:szCs w:val="21"/>
        </w:rPr>
      </w:pPr>
      <w:r>
        <w:rPr>
          <w:rFonts w:hint="eastAsia" w:ascii="宋体" w:hAnsi="宋体"/>
          <w:sz w:val="21"/>
          <w:szCs w:val="21"/>
        </w:rPr>
        <w:t>(2) 该季、月所需施工设备数量及材料用量。</w:t>
      </w:r>
    </w:p>
    <w:p>
      <w:pPr>
        <w:pStyle w:val="4"/>
        <w:snapToGrid w:val="0"/>
        <w:spacing w:line="360" w:lineRule="exact"/>
        <w:rPr>
          <w:rFonts w:ascii="宋体" w:hAnsi="宋体"/>
          <w:sz w:val="21"/>
          <w:szCs w:val="21"/>
        </w:rPr>
      </w:pPr>
      <w:r>
        <w:rPr>
          <w:rFonts w:hint="eastAsia" w:ascii="宋体" w:hAnsi="宋体"/>
          <w:sz w:val="21"/>
          <w:szCs w:val="21"/>
        </w:rPr>
        <w:t>(3) 该季、月发包人应提供的施工图纸目录等。</w:t>
      </w:r>
    </w:p>
    <w:p>
      <w:pPr>
        <w:pStyle w:val="7"/>
        <w:snapToGrid w:val="0"/>
        <w:spacing w:line="360" w:lineRule="exact"/>
        <w:rPr>
          <w:rFonts w:ascii="宋体" w:hAnsi="宋体" w:eastAsia="宋体"/>
          <w:bCs/>
          <w:sz w:val="21"/>
          <w:szCs w:val="21"/>
        </w:rPr>
      </w:pPr>
      <w:r>
        <w:rPr>
          <w:rFonts w:hint="eastAsia" w:ascii="宋体" w:hAnsi="宋体" w:eastAsia="宋体"/>
          <w:bCs/>
          <w:sz w:val="21"/>
          <w:szCs w:val="21"/>
        </w:rPr>
        <w:t>1.7.4 月进度报告</w:t>
      </w:r>
    </w:p>
    <w:p>
      <w:pPr>
        <w:pStyle w:val="4"/>
        <w:snapToGrid w:val="0"/>
        <w:spacing w:line="360" w:lineRule="exact"/>
        <w:rPr>
          <w:rFonts w:ascii="宋体" w:hAnsi="宋体"/>
          <w:sz w:val="21"/>
          <w:szCs w:val="21"/>
        </w:rPr>
      </w:pPr>
      <w:r>
        <w:rPr>
          <w:rFonts w:hint="eastAsia" w:ascii="宋体" w:hAnsi="宋体"/>
          <w:sz w:val="21"/>
          <w:szCs w:val="21"/>
        </w:rPr>
        <w:t>（1）承包人应在每月底按批准的格式，向监理人提交月进度实施报告，其内容包括：</w:t>
      </w:r>
    </w:p>
    <w:p>
      <w:pPr>
        <w:pStyle w:val="4"/>
        <w:snapToGrid w:val="0"/>
        <w:spacing w:line="360" w:lineRule="exact"/>
        <w:rPr>
          <w:rFonts w:ascii="宋体" w:hAnsi="宋体"/>
          <w:sz w:val="21"/>
          <w:szCs w:val="21"/>
        </w:rPr>
      </w:pPr>
      <w:r>
        <w:rPr>
          <w:rFonts w:hint="eastAsia" w:ascii="宋体" w:hAnsi="宋体"/>
          <w:sz w:val="21"/>
          <w:szCs w:val="21"/>
        </w:rPr>
        <w:t>1）月完成工程量和累计完成工程量（包括永久工程和临时工程）；</w:t>
      </w:r>
    </w:p>
    <w:p>
      <w:pPr>
        <w:pStyle w:val="4"/>
        <w:snapToGrid w:val="0"/>
        <w:spacing w:line="360" w:lineRule="exact"/>
        <w:rPr>
          <w:rFonts w:ascii="宋体" w:hAnsi="宋体"/>
          <w:sz w:val="21"/>
          <w:szCs w:val="21"/>
        </w:rPr>
      </w:pPr>
      <w:r>
        <w:rPr>
          <w:rFonts w:hint="eastAsia" w:ascii="宋体" w:hAnsi="宋体"/>
          <w:sz w:val="21"/>
          <w:szCs w:val="21"/>
        </w:rPr>
        <w:t>2）月完成的工程面貌图；</w:t>
      </w:r>
    </w:p>
    <w:p>
      <w:pPr>
        <w:pStyle w:val="4"/>
        <w:snapToGrid w:val="0"/>
        <w:spacing w:line="360" w:lineRule="exact"/>
        <w:rPr>
          <w:rFonts w:ascii="宋体" w:hAnsi="宋体"/>
          <w:sz w:val="21"/>
          <w:szCs w:val="21"/>
        </w:rPr>
      </w:pPr>
      <w:r>
        <w:rPr>
          <w:rFonts w:hint="eastAsia" w:ascii="宋体" w:hAnsi="宋体"/>
          <w:sz w:val="21"/>
          <w:szCs w:val="21"/>
        </w:rPr>
        <w:t>3）材料实际进货、消耗和库存量；</w:t>
      </w:r>
    </w:p>
    <w:p>
      <w:pPr>
        <w:pStyle w:val="4"/>
        <w:snapToGrid w:val="0"/>
        <w:spacing w:line="360" w:lineRule="exact"/>
        <w:rPr>
          <w:rFonts w:ascii="宋体" w:hAnsi="宋体"/>
          <w:sz w:val="21"/>
          <w:szCs w:val="21"/>
        </w:rPr>
      </w:pPr>
      <w:r>
        <w:rPr>
          <w:rFonts w:hint="eastAsia" w:ascii="宋体" w:hAnsi="宋体"/>
          <w:sz w:val="21"/>
          <w:szCs w:val="21"/>
        </w:rPr>
        <w:t>4）现场施工设备的投运数量和运行状况；</w:t>
      </w:r>
    </w:p>
    <w:p>
      <w:pPr>
        <w:pStyle w:val="4"/>
        <w:snapToGrid w:val="0"/>
        <w:spacing w:line="360" w:lineRule="exact"/>
        <w:rPr>
          <w:rFonts w:ascii="宋体" w:hAnsi="宋体"/>
          <w:sz w:val="21"/>
          <w:szCs w:val="21"/>
        </w:rPr>
      </w:pPr>
      <w:r>
        <w:rPr>
          <w:rFonts w:hint="eastAsia" w:ascii="宋体" w:hAnsi="宋体"/>
          <w:sz w:val="21"/>
          <w:szCs w:val="21"/>
        </w:rPr>
        <w:t>5）工程设备的到货情况；</w:t>
      </w:r>
    </w:p>
    <w:p>
      <w:pPr>
        <w:pStyle w:val="4"/>
        <w:snapToGrid w:val="0"/>
        <w:spacing w:line="360" w:lineRule="exact"/>
        <w:rPr>
          <w:rFonts w:ascii="宋体" w:hAnsi="宋体"/>
          <w:sz w:val="21"/>
          <w:szCs w:val="21"/>
        </w:rPr>
      </w:pPr>
      <w:r>
        <w:rPr>
          <w:rFonts w:hint="eastAsia" w:ascii="宋体" w:hAnsi="宋体"/>
          <w:sz w:val="21"/>
          <w:szCs w:val="21"/>
        </w:rPr>
        <w:t>6）劳动力数量（本月及预计未来3个月劳动力的数量）；</w:t>
      </w:r>
    </w:p>
    <w:p>
      <w:pPr>
        <w:pStyle w:val="4"/>
        <w:snapToGrid w:val="0"/>
        <w:spacing w:line="360" w:lineRule="exact"/>
        <w:rPr>
          <w:rFonts w:ascii="宋体" w:hAnsi="宋体"/>
          <w:sz w:val="21"/>
          <w:szCs w:val="21"/>
        </w:rPr>
      </w:pPr>
      <w:r>
        <w:rPr>
          <w:rFonts w:hint="eastAsia" w:ascii="宋体" w:hAnsi="宋体"/>
          <w:sz w:val="21"/>
          <w:szCs w:val="21"/>
        </w:rPr>
        <w:t>7）当前影响施工进度计划的因素和采取的改进措施；</w:t>
      </w:r>
    </w:p>
    <w:p>
      <w:pPr>
        <w:pStyle w:val="4"/>
        <w:snapToGrid w:val="0"/>
        <w:spacing w:line="360" w:lineRule="exact"/>
        <w:rPr>
          <w:rFonts w:ascii="宋体" w:hAnsi="宋体"/>
          <w:sz w:val="21"/>
          <w:szCs w:val="21"/>
        </w:rPr>
      </w:pPr>
      <w:r>
        <w:rPr>
          <w:rFonts w:hint="eastAsia" w:ascii="宋体" w:hAnsi="宋体"/>
          <w:sz w:val="21"/>
          <w:szCs w:val="21"/>
        </w:rPr>
        <w:t>8）质量事故和质量缺陷处理纪录，质量状况评价；</w:t>
      </w:r>
    </w:p>
    <w:p>
      <w:pPr>
        <w:pStyle w:val="4"/>
        <w:snapToGrid w:val="0"/>
        <w:spacing w:line="360" w:lineRule="exact"/>
        <w:rPr>
          <w:rFonts w:ascii="宋体" w:hAnsi="宋体"/>
          <w:sz w:val="21"/>
          <w:szCs w:val="21"/>
        </w:rPr>
      </w:pPr>
      <w:r>
        <w:rPr>
          <w:rFonts w:hint="eastAsia" w:ascii="宋体" w:hAnsi="宋体"/>
          <w:sz w:val="21"/>
          <w:szCs w:val="21"/>
        </w:rPr>
        <w:t>9）安全施工措施实施情况（包括安全事故处理情况）；</w:t>
      </w:r>
    </w:p>
    <w:p>
      <w:pPr>
        <w:pStyle w:val="4"/>
        <w:snapToGrid w:val="0"/>
        <w:spacing w:line="360" w:lineRule="exact"/>
        <w:rPr>
          <w:rFonts w:ascii="宋体" w:hAnsi="宋体"/>
          <w:sz w:val="21"/>
          <w:szCs w:val="21"/>
        </w:rPr>
      </w:pPr>
      <w:r>
        <w:rPr>
          <w:rFonts w:hint="eastAsia" w:ascii="宋体" w:hAnsi="宋体"/>
          <w:sz w:val="21"/>
          <w:szCs w:val="21"/>
        </w:rPr>
        <w:t>10）环境保护及水土保持措施实施情况。</w:t>
      </w:r>
    </w:p>
    <w:p>
      <w:pPr>
        <w:pStyle w:val="4"/>
        <w:snapToGrid w:val="0"/>
        <w:spacing w:line="360" w:lineRule="exact"/>
        <w:rPr>
          <w:rFonts w:ascii="宋体" w:hAnsi="宋体"/>
          <w:sz w:val="21"/>
          <w:szCs w:val="21"/>
        </w:rPr>
      </w:pPr>
      <w:r>
        <w:rPr>
          <w:rFonts w:hint="eastAsia" w:ascii="宋体" w:hAnsi="宋体"/>
          <w:sz w:val="21"/>
          <w:szCs w:val="21"/>
        </w:rPr>
        <w:t>月进度报告应附有一组充分显示工程施工面貌与实际进度相对应的定点摄影照片。</w:t>
      </w:r>
    </w:p>
    <w:p>
      <w:pPr>
        <w:pStyle w:val="4"/>
        <w:snapToGrid w:val="0"/>
        <w:spacing w:line="360" w:lineRule="exact"/>
        <w:rPr>
          <w:rFonts w:ascii="宋体" w:hAnsi="宋体"/>
          <w:sz w:val="21"/>
          <w:szCs w:val="21"/>
        </w:rPr>
      </w:pPr>
      <w:r>
        <w:rPr>
          <w:rFonts w:hint="eastAsia" w:ascii="宋体" w:hAnsi="宋体"/>
          <w:sz w:val="21"/>
          <w:szCs w:val="21"/>
        </w:rPr>
        <w:t>（</w:t>
      </w:r>
      <w:r>
        <w:rPr>
          <w:rFonts w:ascii="宋体" w:hAnsi="宋体"/>
          <w:sz w:val="21"/>
          <w:szCs w:val="21"/>
        </w:rPr>
        <w:t>2</w:t>
      </w:r>
      <w:r>
        <w:rPr>
          <w:rFonts w:hint="eastAsia" w:ascii="宋体" w:hAnsi="宋体"/>
          <w:sz w:val="21"/>
          <w:szCs w:val="21"/>
        </w:rPr>
        <w:t>）承包人应在每周进度会议上按批准的格式，向监理人提交周进度报表，其内容包括：</w:t>
      </w:r>
    </w:p>
    <w:p>
      <w:pPr>
        <w:pStyle w:val="4"/>
        <w:snapToGrid w:val="0"/>
        <w:spacing w:line="360" w:lineRule="exact"/>
        <w:ind w:firstLine="592" w:firstLineChars="282"/>
        <w:rPr>
          <w:rFonts w:ascii="宋体" w:hAnsi="宋体"/>
          <w:sz w:val="21"/>
          <w:szCs w:val="21"/>
        </w:rPr>
      </w:pPr>
      <w:r>
        <w:rPr>
          <w:rFonts w:ascii="宋体" w:hAnsi="宋体"/>
          <w:sz w:val="21"/>
          <w:szCs w:val="21"/>
        </w:rPr>
        <w:t>1</w:t>
      </w:r>
      <w:r>
        <w:rPr>
          <w:rFonts w:hint="eastAsia" w:ascii="宋体" w:hAnsi="宋体"/>
          <w:sz w:val="21"/>
          <w:szCs w:val="21"/>
        </w:rPr>
        <w:t>）上周之前合同进度计划要求和实际完成工程量和累计完成工程量统计；</w:t>
      </w:r>
    </w:p>
    <w:p>
      <w:pPr>
        <w:pStyle w:val="4"/>
        <w:snapToGrid w:val="0"/>
        <w:spacing w:line="360" w:lineRule="exact"/>
        <w:ind w:firstLine="592" w:firstLineChars="282"/>
        <w:rPr>
          <w:rFonts w:ascii="宋体" w:hAnsi="宋体"/>
          <w:sz w:val="21"/>
          <w:szCs w:val="21"/>
        </w:rPr>
      </w:pPr>
      <w:r>
        <w:rPr>
          <w:rFonts w:ascii="宋体" w:hAnsi="宋体"/>
          <w:sz w:val="21"/>
          <w:szCs w:val="21"/>
        </w:rPr>
        <w:t>2</w:t>
      </w:r>
      <w:r>
        <w:rPr>
          <w:rFonts w:hint="eastAsia" w:ascii="宋体" w:hAnsi="宋体"/>
          <w:sz w:val="21"/>
          <w:szCs w:val="21"/>
        </w:rPr>
        <w:t>）上周实际完成工程量统计；</w:t>
      </w:r>
    </w:p>
    <w:p>
      <w:pPr>
        <w:pStyle w:val="4"/>
        <w:snapToGrid w:val="0"/>
        <w:spacing w:line="360" w:lineRule="exact"/>
        <w:ind w:firstLine="592" w:firstLineChars="282"/>
        <w:rPr>
          <w:rFonts w:ascii="宋体" w:hAnsi="宋体"/>
          <w:sz w:val="21"/>
          <w:szCs w:val="21"/>
        </w:rPr>
      </w:pPr>
      <w:r>
        <w:rPr>
          <w:rFonts w:ascii="宋体" w:hAnsi="宋体"/>
          <w:sz w:val="21"/>
          <w:szCs w:val="21"/>
        </w:rPr>
        <w:t>3</w:t>
      </w:r>
      <w:r>
        <w:rPr>
          <w:rFonts w:hint="eastAsia" w:ascii="宋体" w:hAnsi="宋体"/>
          <w:sz w:val="21"/>
          <w:szCs w:val="21"/>
        </w:rPr>
        <w:t>）下周计划完成的工程量；</w:t>
      </w:r>
    </w:p>
    <w:p>
      <w:pPr>
        <w:pStyle w:val="4"/>
        <w:snapToGrid w:val="0"/>
        <w:spacing w:line="360" w:lineRule="exact"/>
        <w:ind w:firstLine="592" w:firstLineChars="282"/>
        <w:rPr>
          <w:rFonts w:ascii="宋体" w:hAnsi="宋体"/>
          <w:sz w:val="21"/>
          <w:szCs w:val="21"/>
        </w:rPr>
      </w:pPr>
      <w:r>
        <w:rPr>
          <w:rFonts w:ascii="宋体" w:hAnsi="宋体"/>
          <w:sz w:val="21"/>
          <w:szCs w:val="21"/>
        </w:rPr>
        <w:t>4</w:t>
      </w:r>
      <w:r>
        <w:rPr>
          <w:rFonts w:hint="eastAsia" w:ascii="宋体" w:hAnsi="宋体"/>
          <w:sz w:val="21"/>
          <w:szCs w:val="21"/>
        </w:rPr>
        <w:t>）要求监理人协调解决的主要问题</w:t>
      </w:r>
    </w:p>
    <w:p>
      <w:pPr>
        <w:pStyle w:val="7"/>
        <w:snapToGrid w:val="0"/>
        <w:spacing w:line="360" w:lineRule="exact"/>
        <w:rPr>
          <w:rFonts w:ascii="宋体" w:hAnsi="宋体" w:eastAsia="宋体"/>
          <w:sz w:val="21"/>
          <w:szCs w:val="21"/>
        </w:rPr>
      </w:pPr>
      <w:r>
        <w:rPr>
          <w:rFonts w:hint="eastAsia" w:ascii="宋体" w:hAnsi="宋体" w:eastAsia="宋体"/>
          <w:sz w:val="21"/>
          <w:szCs w:val="21"/>
        </w:rPr>
        <w:t>1.7.5 进度会议</w:t>
      </w:r>
    </w:p>
    <w:p>
      <w:pPr>
        <w:pStyle w:val="4"/>
        <w:snapToGrid w:val="0"/>
        <w:spacing w:line="360" w:lineRule="exact"/>
        <w:rPr>
          <w:rFonts w:ascii="宋体" w:hAnsi="宋体"/>
          <w:sz w:val="21"/>
          <w:szCs w:val="21"/>
        </w:rPr>
      </w:pPr>
      <w:r>
        <w:rPr>
          <w:rFonts w:hint="eastAsia" w:ascii="宋体" w:hAnsi="宋体"/>
          <w:sz w:val="21"/>
          <w:szCs w:val="21"/>
        </w:rPr>
        <w:t>（1）监理人应在每月末定期召开月进度会议，检查承包人合同进度计划的执行情况，协调解决工程施工中发生的工程变更、质量缺陷处理等问题，以及与其它承包人的相互干扰和矛盾。</w:t>
      </w:r>
    </w:p>
    <w:p>
      <w:pPr>
        <w:pStyle w:val="4"/>
        <w:snapToGrid w:val="0"/>
        <w:spacing w:line="360" w:lineRule="exact"/>
        <w:rPr>
          <w:rFonts w:ascii="宋体" w:hAnsi="宋体"/>
          <w:sz w:val="21"/>
          <w:szCs w:val="21"/>
        </w:rPr>
      </w:pPr>
      <w:r>
        <w:rPr>
          <w:rFonts w:hint="eastAsia" w:ascii="宋体" w:hAnsi="宋体"/>
          <w:sz w:val="21"/>
          <w:szCs w:val="21"/>
        </w:rPr>
        <w:t>（2）承包人应在每月进度会议上按规定的格式提交月进度报表。</w:t>
      </w:r>
    </w:p>
    <w:p>
      <w:pPr>
        <w:pStyle w:val="7"/>
        <w:snapToGrid w:val="0"/>
        <w:spacing w:line="360" w:lineRule="exact"/>
        <w:rPr>
          <w:rFonts w:ascii="宋体" w:hAnsi="宋体" w:eastAsia="宋体"/>
          <w:sz w:val="21"/>
          <w:szCs w:val="21"/>
        </w:rPr>
      </w:pPr>
      <w:r>
        <w:rPr>
          <w:rFonts w:hint="eastAsia" w:ascii="宋体" w:hAnsi="宋体" w:eastAsia="宋体"/>
          <w:sz w:val="21"/>
          <w:szCs w:val="21"/>
        </w:rPr>
        <w:t>1.8 工程质量的检查、检验和验收</w:t>
      </w:r>
    </w:p>
    <w:p>
      <w:pPr>
        <w:pStyle w:val="7"/>
        <w:snapToGrid w:val="0"/>
        <w:spacing w:line="360" w:lineRule="exact"/>
        <w:rPr>
          <w:rFonts w:ascii="宋体" w:hAnsi="宋体" w:eastAsia="宋体"/>
          <w:bCs/>
          <w:sz w:val="21"/>
          <w:szCs w:val="21"/>
        </w:rPr>
      </w:pPr>
      <w:r>
        <w:rPr>
          <w:rFonts w:hint="eastAsia" w:ascii="宋体" w:hAnsi="宋体" w:eastAsia="宋体"/>
          <w:bCs/>
          <w:sz w:val="21"/>
          <w:szCs w:val="21"/>
        </w:rPr>
        <w:t>1.8.1 承包人的质量自检</w:t>
      </w:r>
    </w:p>
    <w:p>
      <w:pPr>
        <w:pStyle w:val="4"/>
        <w:snapToGrid w:val="0"/>
        <w:spacing w:line="360" w:lineRule="exact"/>
        <w:rPr>
          <w:rFonts w:ascii="宋体" w:hAnsi="宋体"/>
          <w:sz w:val="21"/>
          <w:szCs w:val="21"/>
        </w:rPr>
      </w:pPr>
      <w:r>
        <w:rPr>
          <w:rFonts w:hint="eastAsia" w:ascii="宋体" w:hAnsi="宋体"/>
          <w:sz w:val="21"/>
          <w:szCs w:val="21"/>
        </w:rPr>
        <w:t>（1）承包人应在收到开工通知后的</w:t>
      </w:r>
      <w:r>
        <w:rPr>
          <w:rFonts w:hint="eastAsia" w:ascii="宋体" w:hAnsi="宋体"/>
          <w:sz w:val="21"/>
          <w:szCs w:val="21"/>
          <w:u w:val="single"/>
        </w:rPr>
        <w:t xml:space="preserve"> 14 </w:t>
      </w:r>
      <w:r>
        <w:rPr>
          <w:rFonts w:hint="eastAsia" w:ascii="宋体" w:hAnsi="宋体"/>
          <w:sz w:val="21"/>
          <w:szCs w:val="21"/>
        </w:rPr>
        <w:t>天内，向监理人提交本工程质量保证措施文件，其内容包括：</w:t>
      </w:r>
    </w:p>
    <w:p>
      <w:pPr>
        <w:pStyle w:val="4"/>
        <w:snapToGrid w:val="0"/>
        <w:spacing w:line="360" w:lineRule="exact"/>
        <w:rPr>
          <w:rFonts w:ascii="宋体" w:hAnsi="宋体"/>
          <w:sz w:val="21"/>
          <w:szCs w:val="21"/>
        </w:rPr>
      </w:pPr>
      <w:r>
        <w:rPr>
          <w:rFonts w:hint="eastAsia" w:ascii="宋体" w:hAnsi="宋体"/>
          <w:sz w:val="21"/>
          <w:szCs w:val="21"/>
        </w:rPr>
        <w:t>1）质量检查机构的组织框图；</w:t>
      </w:r>
    </w:p>
    <w:p>
      <w:pPr>
        <w:pStyle w:val="4"/>
        <w:snapToGrid w:val="0"/>
        <w:spacing w:line="360" w:lineRule="exact"/>
        <w:rPr>
          <w:rFonts w:ascii="宋体" w:hAnsi="宋体"/>
          <w:sz w:val="21"/>
          <w:szCs w:val="21"/>
        </w:rPr>
      </w:pPr>
      <w:r>
        <w:rPr>
          <w:rFonts w:hint="eastAsia" w:ascii="宋体" w:hAnsi="宋体"/>
          <w:sz w:val="21"/>
          <w:szCs w:val="21"/>
        </w:rPr>
        <w:t>2）质量检查的岗位设置及检查人员名单；</w:t>
      </w:r>
    </w:p>
    <w:p>
      <w:pPr>
        <w:pStyle w:val="4"/>
        <w:snapToGrid w:val="0"/>
        <w:spacing w:line="360" w:lineRule="exact"/>
        <w:rPr>
          <w:rFonts w:ascii="宋体" w:hAnsi="宋体"/>
          <w:sz w:val="21"/>
          <w:szCs w:val="21"/>
        </w:rPr>
      </w:pPr>
      <w:r>
        <w:rPr>
          <w:rFonts w:hint="eastAsia" w:ascii="宋体" w:hAnsi="宋体"/>
          <w:sz w:val="21"/>
          <w:szCs w:val="21"/>
        </w:rPr>
        <w:t>3）各主要工程建筑物施工，以及各施工工种的质量检查程序；</w:t>
      </w:r>
    </w:p>
    <w:p>
      <w:pPr>
        <w:pStyle w:val="4"/>
        <w:snapToGrid w:val="0"/>
        <w:spacing w:line="360" w:lineRule="exact"/>
        <w:rPr>
          <w:rFonts w:ascii="宋体" w:hAnsi="宋体"/>
          <w:sz w:val="21"/>
          <w:szCs w:val="21"/>
        </w:rPr>
      </w:pPr>
      <w:r>
        <w:rPr>
          <w:rFonts w:hint="eastAsia" w:ascii="宋体" w:hAnsi="宋体"/>
          <w:sz w:val="21"/>
          <w:szCs w:val="21"/>
        </w:rPr>
        <w:t>4）隐蔽工程和工程隐蔽部位的质量检查程序；</w:t>
      </w:r>
    </w:p>
    <w:p>
      <w:pPr>
        <w:pStyle w:val="4"/>
        <w:snapToGrid w:val="0"/>
        <w:spacing w:line="360" w:lineRule="exact"/>
        <w:rPr>
          <w:rFonts w:ascii="宋体" w:hAnsi="宋体"/>
          <w:sz w:val="21"/>
          <w:szCs w:val="21"/>
        </w:rPr>
      </w:pPr>
      <w:r>
        <w:rPr>
          <w:rFonts w:hint="eastAsia" w:ascii="宋体" w:hAnsi="宋体"/>
          <w:sz w:val="21"/>
          <w:szCs w:val="21"/>
        </w:rPr>
        <w:t>5）质量检查记录及验收单格式。</w:t>
      </w:r>
    </w:p>
    <w:p>
      <w:pPr>
        <w:pStyle w:val="4"/>
        <w:snapToGrid w:val="0"/>
        <w:spacing w:line="360" w:lineRule="exact"/>
        <w:rPr>
          <w:rFonts w:ascii="宋体" w:hAnsi="宋体"/>
          <w:sz w:val="21"/>
          <w:szCs w:val="21"/>
        </w:rPr>
      </w:pPr>
      <w:r>
        <w:rPr>
          <w:rFonts w:hint="eastAsia" w:ascii="宋体" w:hAnsi="宋体"/>
          <w:sz w:val="21"/>
          <w:szCs w:val="21"/>
        </w:rPr>
        <w:t>（2）承包人应按监理人指示和批准的格式，编制工程质量报表，定期提交监理人。</w:t>
      </w:r>
    </w:p>
    <w:p>
      <w:pPr>
        <w:pStyle w:val="4"/>
        <w:snapToGrid w:val="0"/>
        <w:spacing w:line="360" w:lineRule="exact"/>
        <w:rPr>
          <w:rFonts w:ascii="宋体" w:hAnsi="宋体"/>
          <w:sz w:val="21"/>
          <w:szCs w:val="21"/>
        </w:rPr>
      </w:pPr>
      <w:r>
        <w:rPr>
          <w:rFonts w:hint="eastAsia" w:ascii="宋体" w:hAnsi="宋体"/>
          <w:sz w:val="21"/>
          <w:szCs w:val="21"/>
        </w:rPr>
        <w:t>（3）工程发生质量事故时，承包人应约请监理人共同对工程质量事故进行检查，做好质量事故检查的同期记录和事故处理的自检报告。自检报告应提交监理人。</w:t>
      </w:r>
    </w:p>
    <w:p>
      <w:pPr>
        <w:pStyle w:val="7"/>
        <w:snapToGrid w:val="0"/>
        <w:spacing w:line="360" w:lineRule="exact"/>
        <w:rPr>
          <w:rFonts w:ascii="宋体" w:hAnsi="宋体" w:eastAsia="宋体"/>
          <w:sz w:val="21"/>
          <w:szCs w:val="21"/>
        </w:rPr>
      </w:pPr>
      <w:r>
        <w:rPr>
          <w:rFonts w:hint="eastAsia" w:ascii="宋体" w:hAnsi="宋体" w:eastAsia="宋体"/>
          <w:sz w:val="21"/>
          <w:szCs w:val="21"/>
        </w:rPr>
        <w:t>1.8.2 监理人的质量检查</w:t>
      </w:r>
    </w:p>
    <w:p>
      <w:pPr>
        <w:pStyle w:val="4"/>
        <w:snapToGrid w:val="0"/>
        <w:spacing w:line="360" w:lineRule="exact"/>
        <w:rPr>
          <w:rFonts w:ascii="宋体" w:hAnsi="宋体"/>
          <w:sz w:val="21"/>
          <w:szCs w:val="21"/>
        </w:rPr>
      </w:pPr>
      <w:r>
        <w:rPr>
          <w:rFonts w:hint="eastAsia" w:ascii="宋体" w:hAnsi="宋体"/>
          <w:sz w:val="21"/>
          <w:szCs w:val="21"/>
        </w:rPr>
        <w:t>（1）监理人为检查工程和工程设备质量的需要，可要求承包人提交材料质量和设备出厂合格证、材料试验和设备检测成果、施工和安装记录等，承包人应及时予以提供。</w:t>
      </w:r>
    </w:p>
    <w:p>
      <w:pPr>
        <w:pStyle w:val="4"/>
        <w:snapToGrid w:val="0"/>
        <w:spacing w:line="360" w:lineRule="exact"/>
        <w:rPr>
          <w:rFonts w:ascii="宋体" w:hAnsi="宋体"/>
          <w:sz w:val="21"/>
          <w:szCs w:val="21"/>
        </w:rPr>
      </w:pPr>
      <w:r>
        <w:rPr>
          <w:rFonts w:hint="eastAsia" w:ascii="宋体" w:hAnsi="宋体"/>
          <w:sz w:val="21"/>
          <w:szCs w:val="21"/>
        </w:rPr>
        <w:t>（2）监理人有权要求承包人按合同约定提供试验用的材料样品或在现场钻取试件，并使用承包人的测试设备进行试验检验；监理人还可要求承包人进行补充的试验检验。</w:t>
      </w:r>
    </w:p>
    <w:p>
      <w:pPr>
        <w:pStyle w:val="7"/>
        <w:snapToGrid w:val="0"/>
        <w:spacing w:line="360" w:lineRule="exact"/>
        <w:rPr>
          <w:rFonts w:ascii="宋体" w:hAnsi="宋体" w:eastAsia="宋体"/>
          <w:bCs/>
          <w:sz w:val="21"/>
          <w:szCs w:val="21"/>
        </w:rPr>
      </w:pPr>
      <w:r>
        <w:rPr>
          <w:rFonts w:hint="eastAsia" w:ascii="宋体" w:hAnsi="宋体" w:eastAsia="宋体"/>
          <w:bCs/>
          <w:sz w:val="21"/>
          <w:szCs w:val="21"/>
        </w:rPr>
        <w:t>1.9 验收</w:t>
      </w:r>
    </w:p>
    <w:p>
      <w:pPr>
        <w:pStyle w:val="7"/>
        <w:snapToGrid w:val="0"/>
        <w:spacing w:line="360" w:lineRule="exact"/>
        <w:rPr>
          <w:rFonts w:ascii="宋体" w:hAnsi="宋体" w:eastAsia="宋体"/>
          <w:sz w:val="21"/>
          <w:szCs w:val="21"/>
        </w:rPr>
      </w:pPr>
      <w:r>
        <w:rPr>
          <w:rFonts w:hint="eastAsia" w:ascii="宋体" w:hAnsi="宋体" w:eastAsia="宋体"/>
          <w:sz w:val="21"/>
          <w:szCs w:val="21"/>
        </w:rPr>
        <w:t>1.9.1 分部工程验收</w:t>
      </w:r>
    </w:p>
    <w:p>
      <w:pPr>
        <w:pStyle w:val="4"/>
        <w:snapToGrid w:val="0"/>
        <w:spacing w:line="360" w:lineRule="exact"/>
        <w:rPr>
          <w:rFonts w:ascii="宋体" w:hAnsi="宋体"/>
          <w:sz w:val="21"/>
          <w:szCs w:val="21"/>
        </w:rPr>
      </w:pPr>
      <w:r>
        <w:rPr>
          <w:rFonts w:hint="eastAsia" w:ascii="宋体" w:hAnsi="宋体"/>
          <w:sz w:val="21"/>
          <w:szCs w:val="21"/>
        </w:rPr>
        <w:t>（</w:t>
      </w:r>
      <w:r>
        <w:rPr>
          <w:rFonts w:ascii="宋体" w:hAnsi="宋体"/>
          <w:sz w:val="21"/>
          <w:szCs w:val="21"/>
        </w:rPr>
        <w:t>1</w:t>
      </w:r>
      <w:r>
        <w:rPr>
          <w:rFonts w:hint="eastAsia" w:ascii="宋体" w:hAnsi="宋体"/>
          <w:sz w:val="21"/>
          <w:szCs w:val="21"/>
        </w:rPr>
        <w:t>）分部工程验收应遵守《水利工程建设项目验收管理规定》水利部</w:t>
      </w:r>
      <w:r>
        <w:rPr>
          <w:rFonts w:ascii="宋体" w:hAnsi="宋体"/>
          <w:sz w:val="21"/>
          <w:szCs w:val="21"/>
        </w:rPr>
        <w:t>30</w:t>
      </w:r>
      <w:r>
        <w:rPr>
          <w:rFonts w:hint="eastAsia" w:ascii="宋体" w:hAnsi="宋体"/>
          <w:sz w:val="21"/>
          <w:szCs w:val="21"/>
        </w:rPr>
        <w:t>号令和《水利水电建设工程验收规程》（</w:t>
      </w:r>
      <w:r>
        <w:rPr>
          <w:rFonts w:ascii="宋体" w:hAnsi="宋体"/>
          <w:sz w:val="21"/>
          <w:szCs w:val="21"/>
        </w:rPr>
        <w:t>SL 223-2008</w:t>
      </w:r>
      <w:r>
        <w:rPr>
          <w:rFonts w:hint="eastAsia" w:ascii="宋体" w:hAnsi="宋体"/>
          <w:sz w:val="21"/>
          <w:szCs w:val="21"/>
        </w:rPr>
        <w:t>）的规定。</w:t>
      </w:r>
    </w:p>
    <w:p>
      <w:pPr>
        <w:pStyle w:val="4"/>
        <w:snapToGrid w:val="0"/>
        <w:spacing w:line="360" w:lineRule="exact"/>
        <w:rPr>
          <w:rFonts w:ascii="宋体" w:hAnsi="宋体"/>
          <w:sz w:val="21"/>
          <w:szCs w:val="21"/>
        </w:rPr>
      </w:pPr>
      <w:r>
        <w:rPr>
          <w:rFonts w:hint="eastAsia" w:ascii="宋体" w:hAnsi="宋体"/>
          <w:sz w:val="21"/>
          <w:szCs w:val="21"/>
        </w:rPr>
        <w:t>（</w:t>
      </w:r>
      <w:r>
        <w:rPr>
          <w:rFonts w:ascii="宋体" w:hAnsi="宋体"/>
          <w:sz w:val="21"/>
          <w:szCs w:val="21"/>
        </w:rPr>
        <w:t>2</w:t>
      </w:r>
      <w:r>
        <w:rPr>
          <w:rFonts w:hint="eastAsia" w:ascii="宋体" w:hAnsi="宋体"/>
          <w:sz w:val="21"/>
          <w:szCs w:val="21"/>
        </w:rPr>
        <w:t>）分部工程验收应根据合同约定由发包人或发包人委托监理人主持。验收工作组由发包人以及合同工程有关的勘测、设计、监理、施工、主要设备（供应）商等单位代表组成，可根据情况邀请运行管理单位人员参加。验收工作组成员应具有相应的专业知识或执业资格。参加分部工程验收的每个单位代表人数不宜超过</w:t>
      </w:r>
      <w:r>
        <w:rPr>
          <w:rFonts w:ascii="宋体" w:hAnsi="宋体"/>
          <w:sz w:val="21"/>
          <w:szCs w:val="21"/>
        </w:rPr>
        <w:t>2</w:t>
      </w:r>
      <w:r>
        <w:rPr>
          <w:rFonts w:hint="eastAsia" w:ascii="宋体" w:hAnsi="宋体"/>
          <w:sz w:val="21"/>
          <w:szCs w:val="21"/>
        </w:rPr>
        <w:t>名。</w:t>
      </w:r>
    </w:p>
    <w:p>
      <w:pPr>
        <w:pStyle w:val="4"/>
        <w:snapToGrid w:val="0"/>
        <w:spacing w:line="360" w:lineRule="exact"/>
        <w:ind w:firstLine="315" w:firstLineChars="150"/>
        <w:rPr>
          <w:rFonts w:ascii="宋体" w:hAnsi="宋体"/>
          <w:sz w:val="21"/>
          <w:szCs w:val="21"/>
        </w:rPr>
      </w:pPr>
      <w:r>
        <w:rPr>
          <w:rFonts w:hint="eastAsia" w:ascii="宋体" w:hAnsi="宋体"/>
          <w:sz w:val="21"/>
          <w:szCs w:val="21"/>
        </w:rPr>
        <w:t>（</w:t>
      </w:r>
      <w:r>
        <w:rPr>
          <w:rFonts w:ascii="宋体" w:hAnsi="宋体"/>
          <w:sz w:val="21"/>
          <w:szCs w:val="21"/>
        </w:rPr>
        <w:t>3</w:t>
      </w:r>
      <w:r>
        <w:rPr>
          <w:rFonts w:hint="eastAsia" w:ascii="宋体" w:hAnsi="宋体"/>
          <w:sz w:val="21"/>
          <w:szCs w:val="21"/>
        </w:rPr>
        <w:t>）分部工程验收应具备的条件、验收主要内容和验收程序分别按《水利水电建设工程验收规程》（</w:t>
      </w:r>
      <w:r>
        <w:rPr>
          <w:rFonts w:ascii="宋体" w:hAnsi="宋体"/>
          <w:sz w:val="21"/>
          <w:szCs w:val="21"/>
        </w:rPr>
        <w:t>SL 223-2008</w:t>
      </w:r>
      <w:r>
        <w:rPr>
          <w:rFonts w:hint="eastAsia" w:ascii="宋体" w:hAnsi="宋体"/>
          <w:sz w:val="21"/>
          <w:szCs w:val="21"/>
        </w:rPr>
        <w:t>）第</w:t>
      </w:r>
      <w:r>
        <w:rPr>
          <w:rFonts w:ascii="宋体" w:hAnsi="宋体"/>
          <w:sz w:val="21"/>
          <w:szCs w:val="21"/>
        </w:rPr>
        <w:t>3</w:t>
      </w:r>
      <w:r>
        <w:rPr>
          <w:rFonts w:hint="eastAsia" w:ascii="宋体" w:hAnsi="宋体"/>
          <w:sz w:val="21"/>
          <w:szCs w:val="21"/>
        </w:rPr>
        <w:t>章</w:t>
      </w:r>
      <w:r>
        <w:rPr>
          <w:rFonts w:ascii="宋体" w:hAnsi="宋体"/>
          <w:sz w:val="21"/>
          <w:szCs w:val="21"/>
        </w:rPr>
        <w:t>3.0.4</w:t>
      </w:r>
      <w:r>
        <w:rPr>
          <w:rFonts w:hint="eastAsia" w:ascii="宋体" w:hAnsi="宋体"/>
          <w:sz w:val="21"/>
          <w:szCs w:val="21"/>
        </w:rPr>
        <w:t>条、</w:t>
      </w:r>
      <w:r>
        <w:rPr>
          <w:rFonts w:ascii="宋体" w:hAnsi="宋体"/>
          <w:sz w:val="21"/>
          <w:szCs w:val="21"/>
        </w:rPr>
        <w:t>3.0.5</w:t>
      </w:r>
      <w:r>
        <w:rPr>
          <w:rFonts w:hint="eastAsia" w:ascii="宋体" w:hAnsi="宋体"/>
          <w:sz w:val="21"/>
          <w:szCs w:val="21"/>
        </w:rPr>
        <w:t>条和</w:t>
      </w:r>
      <w:r>
        <w:rPr>
          <w:rFonts w:ascii="宋体" w:hAnsi="宋体"/>
          <w:sz w:val="21"/>
          <w:szCs w:val="21"/>
        </w:rPr>
        <w:t>3.0.6</w:t>
      </w:r>
      <w:r>
        <w:rPr>
          <w:rFonts w:hint="eastAsia" w:ascii="宋体" w:hAnsi="宋体"/>
          <w:sz w:val="21"/>
          <w:szCs w:val="21"/>
        </w:rPr>
        <w:t>条要求进行。</w:t>
      </w:r>
    </w:p>
    <w:p>
      <w:pPr>
        <w:pStyle w:val="4"/>
        <w:snapToGrid w:val="0"/>
        <w:spacing w:line="360" w:lineRule="exact"/>
        <w:ind w:firstLine="315" w:firstLineChars="150"/>
        <w:rPr>
          <w:rFonts w:ascii="宋体" w:hAnsi="宋体"/>
          <w:sz w:val="21"/>
          <w:szCs w:val="21"/>
        </w:rPr>
      </w:pPr>
      <w:r>
        <w:rPr>
          <w:rFonts w:hint="eastAsia" w:ascii="宋体" w:hAnsi="宋体"/>
          <w:sz w:val="21"/>
          <w:szCs w:val="21"/>
        </w:rPr>
        <w:t>（</w:t>
      </w:r>
      <w:r>
        <w:rPr>
          <w:rFonts w:ascii="宋体" w:hAnsi="宋体"/>
          <w:sz w:val="21"/>
          <w:szCs w:val="21"/>
        </w:rPr>
        <w:t>4</w:t>
      </w:r>
      <w:r>
        <w:rPr>
          <w:rFonts w:hint="eastAsia" w:ascii="宋体" w:hAnsi="宋体"/>
          <w:sz w:val="21"/>
          <w:szCs w:val="21"/>
        </w:rPr>
        <w:t>）发包人应在分部工程验收通过之日起</w:t>
      </w:r>
      <w:r>
        <w:rPr>
          <w:rFonts w:ascii="宋体" w:hAnsi="宋体"/>
          <w:sz w:val="21"/>
          <w:szCs w:val="21"/>
        </w:rPr>
        <w:t>10</w:t>
      </w:r>
      <w:r>
        <w:rPr>
          <w:rFonts w:hint="eastAsia" w:ascii="宋体" w:hAnsi="宋体"/>
          <w:sz w:val="21"/>
          <w:szCs w:val="21"/>
        </w:rPr>
        <w:t>个工作日内，将验收质量结论和相关资料报质量监督机构备案。</w:t>
      </w:r>
    </w:p>
    <w:p>
      <w:pPr>
        <w:pStyle w:val="7"/>
        <w:snapToGrid w:val="0"/>
        <w:spacing w:line="360" w:lineRule="exact"/>
        <w:rPr>
          <w:rFonts w:ascii="宋体" w:hAnsi="宋体" w:eastAsia="宋体"/>
          <w:bCs/>
          <w:sz w:val="21"/>
          <w:szCs w:val="21"/>
        </w:rPr>
      </w:pPr>
      <w:r>
        <w:rPr>
          <w:rFonts w:hint="eastAsia" w:ascii="宋体" w:hAnsi="宋体" w:eastAsia="宋体"/>
          <w:bCs/>
          <w:sz w:val="21"/>
          <w:szCs w:val="21"/>
        </w:rPr>
        <w:t>1.9.2单位工程验收</w:t>
      </w:r>
    </w:p>
    <w:p>
      <w:pPr>
        <w:pStyle w:val="4"/>
        <w:snapToGrid w:val="0"/>
        <w:spacing w:line="360" w:lineRule="exact"/>
        <w:ind w:firstLine="315" w:firstLineChars="150"/>
        <w:rPr>
          <w:rFonts w:ascii="宋体" w:hAnsi="宋体"/>
          <w:sz w:val="21"/>
          <w:szCs w:val="21"/>
        </w:rPr>
      </w:pPr>
      <w:r>
        <w:rPr>
          <w:rFonts w:hint="eastAsia" w:ascii="宋体" w:hAnsi="宋体"/>
          <w:sz w:val="21"/>
          <w:szCs w:val="21"/>
        </w:rPr>
        <w:t>（</w:t>
      </w:r>
      <w:r>
        <w:rPr>
          <w:rFonts w:ascii="宋体" w:hAnsi="宋体"/>
          <w:sz w:val="21"/>
          <w:szCs w:val="21"/>
        </w:rPr>
        <w:t>1</w:t>
      </w:r>
      <w:r>
        <w:rPr>
          <w:rFonts w:hint="eastAsia" w:ascii="宋体" w:hAnsi="宋体"/>
          <w:sz w:val="21"/>
          <w:szCs w:val="21"/>
        </w:rPr>
        <w:t>）单位工程验收应遵守《水利工程建设项目验收管理规定》水利部</w:t>
      </w:r>
      <w:r>
        <w:rPr>
          <w:rFonts w:ascii="宋体" w:hAnsi="宋体"/>
          <w:sz w:val="21"/>
          <w:szCs w:val="21"/>
        </w:rPr>
        <w:t>30</w:t>
      </w:r>
      <w:r>
        <w:rPr>
          <w:rFonts w:hint="eastAsia" w:ascii="宋体" w:hAnsi="宋体"/>
          <w:sz w:val="21"/>
          <w:szCs w:val="21"/>
        </w:rPr>
        <w:t>号令和《水利水电建设工程验收规程》（</w:t>
      </w:r>
      <w:r>
        <w:rPr>
          <w:rFonts w:ascii="宋体" w:hAnsi="宋体"/>
          <w:sz w:val="21"/>
          <w:szCs w:val="21"/>
        </w:rPr>
        <w:t>SL 223-2008</w:t>
      </w:r>
      <w:r>
        <w:rPr>
          <w:rFonts w:hint="eastAsia" w:ascii="宋体" w:hAnsi="宋体"/>
          <w:sz w:val="21"/>
          <w:szCs w:val="21"/>
        </w:rPr>
        <w:t>）的规定。</w:t>
      </w:r>
    </w:p>
    <w:p>
      <w:pPr>
        <w:pStyle w:val="4"/>
        <w:snapToGrid w:val="0"/>
        <w:spacing w:line="360" w:lineRule="exact"/>
        <w:ind w:firstLine="315" w:firstLineChars="150"/>
        <w:rPr>
          <w:rFonts w:ascii="宋体" w:hAnsi="宋体"/>
          <w:sz w:val="21"/>
          <w:szCs w:val="21"/>
        </w:rPr>
      </w:pPr>
      <w:r>
        <w:rPr>
          <w:rFonts w:hint="eastAsia" w:ascii="宋体" w:hAnsi="宋体"/>
          <w:sz w:val="21"/>
          <w:szCs w:val="21"/>
        </w:rPr>
        <w:t>（</w:t>
      </w:r>
      <w:r>
        <w:rPr>
          <w:rFonts w:ascii="宋体" w:hAnsi="宋体"/>
          <w:sz w:val="21"/>
          <w:szCs w:val="21"/>
        </w:rPr>
        <w:t>2</w:t>
      </w:r>
      <w:r>
        <w:rPr>
          <w:rFonts w:hint="eastAsia" w:ascii="宋体" w:hAnsi="宋体"/>
          <w:sz w:val="21"/>
          <w:szCs w:val="21"/>
        </w:rPr>
        <w:t>）单位工程验收应由发包人主持。验收工作组由发包人以及合同工程有关的勘测、设计、监理、施工、主要设备（供应）商、运行管理等单位代表组成，必要时，可邀请上述单位以外的相关专家参加。验收工作组成员应具有中级及以上技术职称或相应执业资格，每个单位代表人数不宜超过</w:t>
      </w:r>
      <w:r>
        <w:rPr>
          <w:rFonts w:ascii="宋体" w:hAnsi="宋体"/>
          <w:sz w:val="21"/>
          <w:szCs w:val="21"/>
        </w:rPr>
        <w:t>3</w:t>
      </w:r>
      <w:r>
        <w:rPr>
          <w:rFonts w:hint="eastAsia" w:ascii="宋体" w:hAnsi="宋体"/>
          <w:sz w:val="21"/>
          <w:szCs w:val="21"/>
        </w:rPr>
        <w:t>名。</w:t>
      </w:r>
    </w:p>
    <w:p>
      <w:pPr>
        <w:pStyle w:val="4"/>
        <w:snapToGrid w:val="0"/>
        <w:spacing w:line="360" w:lineRule="exact"/>
        <w:ind w:firstLine="315" w:firstLineChars="150"/>
        <w:rPr>
          <w:rFonts w:ascii="宋体" w:hAnsi="宋体"/>
          <w:sz w:val="21"/>
          <w:szCs w:val="21"/>
        </w:rPr>
      </w:pPr>
      <w:r>
        <w:rPr>
          <w:rFonts w:hint="eastAsia" w:ascii="宋体" w:hAnsi="宋体"/>
          <w:sz w:val="21"/>
          <w:szCs w:val="21"/>
        </w:rPr>
        <w:t>（</w:t>
      </w:r>
      <w:r>
        <w:rPr>
          <w:rFonts w:ascii="宋体" w:hAnsi="宋体"/>
          <w:sz w:val="21"/>
          <w:szCs w:val="21"/>
        </w:rPr>
        <w:t>3</w:t>
      </w:r>
      <w:r>
        <w:rPr>
          <w:rFonts w:hint="eastAsia" w:ascii="宋体" w:hAnsi="宋体"/>
          <w:sz w:val="21"/>
          <w:szCs w:val="21"/>
        </w:rPr>
        <w:t>）单位工程完工并具备验收条件时，施工单位应向发包人提出验收申请报告，发包人应在收到验收申请报告之日起</w:t>
      </w:r>
      <w:r>
        <w:rPr>
          <w:rFonts w:ascii="宋体" w:hAnsi="宋体"/>
          <w:sz w:val="21"/>
          <w:szCs w:val="21"/>
        </w:rPr>
        <w:t>10</w:t>
      </w:r>
      <w:r>
        <w:rPr>
          <w:rFonts w:hint="eastAsia" w:ascii="宋体" w:hAnsi="宋体"/>
          <w:sz w:val="21"/>
          <w:szCs w:val="21"/>
        </w:rPr>
        <w:t>个工作日内决定是否同意验收。</w:t>
      </w:r>
    </w:p>
    <w:p>
      <w:pPr>
        <w:pStyle w:val="4"/>
        <w:snapToGrid w:val="0"/>
        <w:spacing w:line="360" w:lineRule="exact"/>
        <w:ind w:firstLine="315" w:firstLineChars="150"/>
        <w:rPr>
          <w:rFonts w:ascii="宋体" w:hAnsi="宋体"/>
          <w:sz w:val="21"/>
          <w:szCs w:val="21"/>
        </w:rPr>
      </w:pPr>
      <w:r>
        <w:rPr>
          <w:rFonts w:hint="eastAsia" w:ascii="宋体" w:hAnsi="宋体"/>
          <w:sz w:val="21"/>
          <w:szCs w:val="21"/>
        </w:rPr>
        <w:t>（</w:t>
      </w:r>
      <w:r>
        <w:rPr>
          <w:rFonts w:ascii="宋体" w:hAnsi="宋体"/>
          <w:sz w:val="21"/>
          <w:szCs w:val="21"/>
        </w:rPr>
        <w:t>4</w:t>
      </w:r>
      <w:r>
        <w:rPr>
          <w:rFonts w:hint="eastAsia" w:ascii="宋体" w:hAnsi="宋体"/>
          <w:sz w:val="21"/>
          <w:szCs w:val="21"/>
        </w:rPr>
        <w:t>）单位工程验收应具备的条件、验收主要内容和验收程序分别按《水利水电建设工程验收规程》（</w:t>
      </w:r>
      <w:r>
        <w:rPr>
          <w:rFonts w:ascii="宋体" w:hAnsi="宋体"/>
          <w:sz w:val="21"/>
          <w:szCs w:val="21"/>
        </w:rPr>
        <w:t>SL 223-2008</w:t>
      </w:r>
      <w:r>
        <w:rPr>
          <w:rFonts w:hint="eastAsia" w:ascii="宋体" w:hAnsi="宋体"/>
          <w:sz w:val="21"/>
          <w:szCs w:val="21"/>
        </w:rPr>
        <w:t>）第</w:t>
      </w:r>
      <w:r>
        <w:rPr>
          <w:rFonts w:ascii="宋体" w:hAnsi="宋体"/>
          <w:sz w:val="21"/>
          <w:szCs w:val="21"/>
        </w:rPr>
        <w:t>4</w:t>
      </w:r>
      <w:r>
        <w:rPr>
          <w:rFonts w:hint="eastAsia" w:ascii="宋体" w:hAnsi="宋体"/>
          <w:sz w:val="21"/>
          <w:szCs w:val="21"/>
        </w:rPr>
        <w:t>章</w:t>
      </w:r>
      <w:r>
        <w:rPr>
          <w:rFonts w:ascii="宋体" w:hAnsi="宋体"/>
          <w:sz w:val="21"/>
          <w:szCs w:val="21"/>
        </w:rPr>
        <w:t>4.0.5</w:t>
      </w:r>
      <w:r>
        <w:rPr>
          <w:rFonts w:hint="eastAsia" w:ascii="宋体" w:hAnsi="宋体"/>
          <w:sz w:val="21"/>
          <w:szCs w:val="21"/>
        </w:rPr>
        <w:t>条、</w:t>
      </w:r>
      <w:r>
        <w:rPr>
          <w:rFonts w:ascii="宋体" w:hAnsi="宋体"/>
          <w:sz w:val="21"/>
          <w:szCs w:val="21"/>
        </w:rPr>
        <w:t>4.0.6</w:t>
      </w:r>
      <w:r>
        <w:rPr>
          <w:rFonts w:hint="eastAsia" w:ascii="宋体" w:hAnsi="宋体"/>
          <w:sz w:val="21"/>
          <w:szCs w:val="21"/>
        </w:rPr>
        <w:t>条和</w:t>
      </w:r>
      <w:r>
        <w:rPr>
          <w:rFonts w:ascii="宋体" w:hAnsi="宋体"/>
          <w:sz w:val="21"/>
          <w:szCs w:val="21"/>
        </w:rPr>
        <w:t>4.0.7</w:t>
      </w:r>
      <w:r>
        <w:rPr>
          <w:rFonts w:hint="eastAsia" w:ascii="宋体" w:hAnsi="宋体"/>
          <w:sz w:val="21"/>
          <w:szCs w:val="21"/>
        </w:rPr>
        <w:t>条要求进行。</w:t>
      </w:r>
    </w:p>
    <w:p>
      <w:pPr>
        <w:pStyle w:val="4"/>
        <w:snapToGrid w:val="0"/>
        <w:spacing w:line="360" w:lineRule="exact"/>
        <w:ind w:firstLine="315" w:firstLineChars="150"/>
        <w:rPr>
          <w:rFonts w:ascii="宋体" w:hAnsi="宋体"/>
          <w:sz w:val="21"/>
          <w:szCs w:val="21"/>
        </w:rPr>
      </w:pPr>
      <w:r>
        <w:rPr>
          <w:rFonts w:hint="eastAsia" w:ascii="宋体" w:hAnsi="宋体"/>
          <w:sz w:val="21"/>
          <w:szCs w:val="21"/>
        </w:rPr>
        <w:t>（</w:t>
      </w:r>
      <w:r>
        <w:rPr>
          <w:rFonts w:ascii="宋体" w:hAnsi="宋体"/>
          <w:sz w:val="21"/>
          <w:szCs w:val="21"/>
        </w:rPr>
        <w:t>5</w:t>
      </w:r>
      <w:r>
        <w:rPr>
          <w:rFonts w:hint="eastAsia" w:ascii="宋体" w:hAnsi="宋体"/>
          <w:sz w:val="21"/>
          <w:szCs w:val="21"/>
        </w:rPr>
        <w:t>）需提前投入使用的单位工程应进行单位工程投入使用验收。单位工程投入使用验收应由发包人主持，根据工程具体情况，经竣工验收主持单位同意，单位工程投入使用验收也可由竣工验收主持单位或其委托的单位主持。</w:t>
      </w:r>
    </w:p>
    <w:p>
      <w:pPr>
        <w:pStyle w:val="7"/>
        <w:snapToGrid w:val="0"/>
        <w:spacing w:line="360" w:lineRule="exact"/>
        <w:rPr>
          <w:rFonts w:ascii="宋体" w:hAnsi="宋体" w:eastAsia="宋体"/>
          <w:sz w:val="21"/>
          <w:szCs w:val="21"/>
        </w:rPr>
      </w:pPr>
      <w:r>
        <w:rPr>
          <w:rFonts w:hint="eastAsia" w:ascii="宋体" w:hAnsi="宋体" w:eastAsia="宋体"/>
          <w:sz w:val="21"/>
          <w:szCs w:val="21"/>
        </w:rPr>
        <w:t>1.9.3 合同工程完工验收</w:t>
      </w:r>
    </w:p>
    <w:p>
      <w:pPr>
        <w:pStyle w:val="4"/>
        <w:snapToGrid w:val="0"/>
        <w:spacing w:line="360" w:lineRule="exact"/>
        <w:rPr>
          <w:rFonts w:ascii="宋体" w:hAnsi="宋体"/>
          <w:sz w:val="21"/>
          <w:szCs w:val="21"/>
        </w:rPr>
      </w:pPr>
      <w:r>
        <w:rPr>
          <w:rFonts w:hint="eastAsia" w:ascii="宋体" w:hAnsi="宋体"/>
          <w:sz w:val="21"/>
          <w:szCs w:val="21"/>
        </w:rPr>
        <w:t>（</w:t>
      </w:r>
      <w:r>
        <w:rPr>
          <w:rFonts w:ascii="宋体" w:hAnsi="宋体"/>
          <w:sz w:val="21"/>
          <w:szCs w:val="21"/>
        </w:rPr>
        <w:t>1</w:t>
      </w:r>
      <w:r>
        <w:rPr>
          <w:rFonts w:hint="eastAsia" w:ascii="宋体" w:hAnsi="宋体"/>
          <w:sz w:val="21"/>
          <w:szCs w:val="21"/>
        </w:rPr>
        <w:t>）合同工程完工验收应遵守《水利工程建设项目验收管理规定》水利部</w:t>
      </w:r>
      <w:r>
        <w:rPr>
          <w:rFonts w:ascii="宋体" w:hAnsi="宋体"/>
          <w:sz w:val="21"/>
          <w:szCs w:val="21"/>
        </w:rPr>
        <w:t>30</w:t>
      </w:r>
      <w:r>
        <w:rPr>
          <w:rFonts w:hint="eastAsia" w:ascii="宋体" w:hAnsi="宋体"/>
          <w:sz w:val="21"/>
          <w:szCs w:val="21"/>
        </w:rPr>
        <w:t>号令和《水利水电建设工程验收规程》（</w:t>
      </w:r>
      <w:r>
        <w:rPr>
          <w:rFonts w:ascii="宋体" w:hAnsi="宋体"/>
          <w:sz w:val="21"/>
          <w:szCs w:val="21"/>
        </w:rPr>
        <w:t>SL 223-2008</w:t>
      </w:r>
      <w:r>
        <w:rPr>
          <w:rFonts w:hint="eastAsia" w:ascii="宋体" w:hAnsi="宋体"/>
          <w:sz w:val="21"/>
          <w:szCs w:val="21"/>
        </w:rPr>
        <w:t>）的规定。</w:t>
      </w:r>
    </w:p>
    <w:p>
      <w:pPr>
        <w:pStyle w:val="4"/>
        <w:snapToGrid w:val="0"/>
        <w:spacing w:line="360" w:lineRule="exact"/>
        <w:rPr>
          <w:rFonts w:ascii="宋体" w:hAnsi="宋体"/>
          <w:sz w:val="21"/>
          <w:szCs w:val="21"/>
        </w:rPr>
      </w:pPr>
      <w:r>
        <w:rPr>
          <w:rFonts w:hint="eastAsia" w:ascii="宋体" w:hAnsi="宋体"/>
          <w:sz w:val="21"/>
          <w:szCs w:val="21"/>
        </w:rPr>
        <w:t>（</w:t>
      </w:r>
      <w:r>
        <w:rPr>
          <w:rFonts w:ascii="宋体" w:hAnsi="宋体"/>
          <w:sz w:val="21"/>
          <w:szCs w:val="21"/>
        </w:rPr>
        <w:t>2</w:t>
      </w:r>
      <w:r>
        <w:rPr>
          <w:rFonts w:hint="eastAsia" w:ascii="宋体" w:hAnsi="宋体"/>
          <w:sz w:val="21"/>
          <w:szCs w:val="21"/>
        </w:rPr>
        <w:t>）施工合同约定的建设内容全部完成后，应进行合同工程完工验收。当合同工程仅包含一个单位工程（分部工程）时，宜将单位工程（分部工程）验收与合同完工验收一并进行，但应同时满足相应的验收条件。</w:t>
      </w:r>
    </w:p>
    <w:p>
      <w:pPr>
        <w:pStyle w:val="4"/>
        <w:snapToGrid w:val="0"/>
        <w:spacing w:line="360" w:lineRule="exact"/>
        <w:rPr>
          <w:rFonts w:ascii="宋体" w:hAnsi="宋体"/>
          <w:sz w:val="21"/>
          <w:szCs w:val="21"/>
        </w:rPr>
      </w:pPr>
      <w:r>
        <w:rPr>
          <w:rFonts w:hint="eastAsia" w:ascii="宋体" w:hAnsi="宋体"/>
          <w:sz w:val="21"/>
          <w:szCs w:val="21"/>
        </w:rPr>
        <w:t>（</w:t>
      </w:r>
      <w:r>
        <w:rPr>
          <w:rFonts w:ascii="宋体" w:hAnsi="宋体"/>
          <w:sz w:val="21"/>
          <w:szCs w:val="21"/>
        </w:rPr>
        <w:t>3</w:t>
      </w:r>
      <w:r>
        <w:rPr>
          <w:rFonts w:hint="eastAsia" w:ascii="宋体" w:hAnsi="宋体"/>
          <w:sz w:val="21"/>
          <w:szCs w:val="21"/>
        </w:rPr>
        <w:t>）合同工程完工验收由发包人主持。验收工作组由发包人以及合同工程有关的勘测、设计、</w:t>
      </w:r>
    </w:p>
    <w:p>
      <w:pPr>
        <w:pStyle w:val="4"/>
        <w:snapToGrid w:val="0"/>
        <w:spacing w:line="360" w:lineRule="exact"/>
        <w:rPr>
          <w:rFonts w:ascii="宋体" w:hAnsi="宋体"/>
          <w:sz w:val="21"/>
          <w:szCs w:val="21"/>
        </w:rPr>
      </w:pPr>
      <w:r>
        <w:rPr>
          <w:rFonts w:hint="eastAsia" w:ascii="宋体" w:hAnsi="宋体"/>
          <w:sz w:val="21"/>
          <w:szCs w:val="21"/>
        </w:rPr>
        <w:t>监理、施工、主要设备（供应）商等单位代表组成。</w:t>
      </w:r>
    </w:p>
    <w:p>
      <w:pPr>
        <w:pStyle w:val="4"/>
        <w:snapToGrid w:val="0"/>
        <w:spacing w:line="360" w:lineRule="exact"/>
        <w:rPr>
          <w:rFonts w:ascii="宋体" w:hAnsi="宋体"/>
          <w:sz w:val="21"/>
          <w:szCs w:val="21"/>
        </w:rPr>
      </w:pPr>
      <w:r>
        <w:rPr>
          <w:rFonts w:hint="eastAsia" w:ascii="宋体" w:hAnsi="宋体"/>
          <w:sz w:val="21"/>
          <w:szCs w:val="21"/>
        </w:rPr>
        <w:t>（</w:t>
      </w:r>
      <w:r>
        <w:rPr>
          <w:rFonts w:ascii="宋体" w:hAnsi="宋体"/>
          <w:sz w:val="21"/>
          <w:szCs w:val="21"/>
        </w:rPr>
        <w:t>4</w:t>
      </w:r>
      <w:r>
        <w:rPr>
          <w:rFonts w:hint="eastAsia" w:ascii="宋体" w:hAnsi="宋体"/>
          <w:sz w:val="21"/>
          <w:szCs w:val="21"/>
        </w:rPr>
        <w:t>）合同工程具备验收条件时，施工单位应向发包人提出验收申请报告，发包人应在收到验收申请报告之日起</w:t>
      </w:r>
      <w:r>
        <w:rPr>
          <w:rFonts w:ascii="宋体" w:hAnsi="宋体"/>
          <w:sz w:val="21"/>
          <w:szCs w:val="21"/>
        </w:rPr>
        <w:t>20</w:t>
      </w:r>
      <w:r>
        <w:rPr>
          <w:rFonts w:hint="eastAsia" w:ascii="宋体" w:hAnsi="宋体"/>
          <w:sz w:val="21"/>
          <w:szCs w:val="21"/>
        </w:rPr>
        <w:t>个工作日内决定是否同意进行验收。</w:t>
      </w:r>
    </w:p>
    <w:p>
      <w:pPr>
        <w:pStyle w:val="4"/>
        <w:snapToGrid w:val="0"/>
        <w:spacing w:line="360" w:lineRule="exact"/>
        <w:rPr>
          <w:rFonts w:ascii="宋体" w:hAnsi="宋体"/>
          <w:sz w:val="21"/>
          <w:szCs w:val="21"/>
        </w:rPr>
      </w:pPr>
      <w:r>
        <w:rPr>
          <w:rFonts w:hint="eastAsia" w:ascii="宋体" w:hAnsi="宋体"/>
          <w:sz w:val="21"/>
          <w:szCs w:val="21"/>
        </w:rPr>
        <w:t>（</w:t>
      </w:r>
      <w:r>
        <w:rPr>
          <w:rFonts w:ascii="宋体" w:hAnsi="宋体"/>
          <w:sz w:val="21"/>
          <w:szCs w:val="21"/>
        </w:rPr>
        <w:t>5</w:t>
      </w:r>
      <w:r>
        <w:rPr>
          <w:rFonts w:hint="eastAsia" w:ascii="宋体" w:hAnsi="宋体"/>
          <w:sz w:val="21"/>
          <w:szCs w:val="21"/>
        </w:rPr>
        <w:t>）合同工程完工验收应具备的条件按《水利水电建设工程验收规程》（</w:t>
      </w:r>
      <w:r>
        <w:rPr>
          <w:rFonts w:ascii="宋体" w:hAnsi="宋体"/>
          <w:sz w:val="21"/>
          <w:szCs w:val="21"/>
        </w:rPr>
        <w:t>SL 223-2008</w:t>
      </w:r>
      <w:r>
        <w:rPr>
          <w:rFonts w:hint="eastAsia" w:ascii="宋体" w:hAnsi="宋体"/>
          <w:sz w:val="21"/>
          <w:szCs w:val="21"/>
        </w:rPr>
        <w:t>）第</w:t>
      </w:r>
      <w:r>
        <w:rPr>
          <w:rFonts w:ascii="宋体" w:hAnsi="宋体"/>
          <w:sz w:val="21"/>
          <w:szCs w:val="21"/>
        </w:rPr>
        <w:t>5</w:t>
      </w:r>
    </w:p>
    <w:p>
      <w:pPr>
        <w:pStyle w:val="4"/>
        <w:snapToGrid w:val="0"/>
        <w:spacing w:line="360" w:lineRule="exact"/>
        <w:rPr>
          <w:rFonts w:ascii="宋体" w:hAnsi="宋体"/>
          <w:sz w:val="21"/>
          <w:szCs w:val="21"/>
        </w:rPr>
      </w:pPr>
      <w:r>
        <w:rPr>
          <w:rFonts w:hint="eastAsia" w:ascii="宋体" w:hAnsi="宋体"/>
          <w:sz w:val="21"/>
          <w:szCs w:val="21"/>
        </w:rPr>
        <w:t>章</w:t>
      </w:r>
      <w:r>
        <w:rPr>
          <w:rFonts w:ascii="宋体" w:hAnsi="宋体"/>
          <w:sz w:val="21"/>
          <w:szCs w:val="21"/>
        </w:rPr>
        <w:t>5.0.4</w:t>
      </w:r>
      <w:r>
        <w:rPr>
          <w:rFonts w:hint="eastAsia" w:ascii="宋体" w:hAnsi="宋体"/>
          <w:sz w:val="21"/>
          <w:szCs w:val="21"/>
        </w:rPr>
        <w:t>条要求进行。</w:t>
      </w:r>
    </w:p>
    <w:p>
      <w:pPr>
        <w:pStyle w:val="4"/>
        <w:snapToGrid w:val="0"/>
        <w:spacing w:line="360" w:lineRule="exact"/>
        <w:rPr>
          <w:rFonts w:ascii="宋体" w:hAnsi="宋体"/>
          <w:b/>
          <w:sz w:val="21"/>
          <w:szCs w:val="21"/>
        </w:rPr>
      </w:pPr>
      <w:r>
        <w:rPr>
          <w:rFonts w:ascii="宋体" w:hAnsi="宋体"/>
          <w:b/>
          <w:sz w:val="21"/>
          <w:szCs w:val="21"/>
        </w:rPr>
        <w:t xml:space="preserve">1.9.4 </w:t>
      </w:r>
      <w:r>
        <w:rPr>
          <w:rFonts w:hint="eastAsia" w:ascii="宋体" w:hAnsi="宋体"/>
          <w:b/>
          <w:sz w:val="21"/>
          <w:szCs w:val="21"/>
        </w:rPr>
        <w:t>阶段验收</w:t>
      </w:r>
    </w:p>
    <w:p>
      <w:pPr>
        <w:pStyle w:val="4"/>
        <w:snapToGrid w:val="0"/>
        <w:spacing w:line="360" w:lineRule="exact"/>
        <w:rPr>
          <w:rFonts w:ascii="宋体" w:hAnsi="宋体"/>
          <w:sz w:val="21"/>
          <w:szCs w:val="21"/>
        </w:rPr>
      </w:pPr>
      <w:r>
        <w:rPr>
          <w:rFonts w:hint="eastAsia" w:ascii="宋体" w:hAnsi="宋体"/>
          <w:sz w:val="21"/>
          <w:szCs w:val="21"/>
        </w:rPr>
        <w:t>（</w:t>
      </w:r>
      <w:r>
        <w:rPr>
          <w:rFonts w:ascii="宋体" w:hAnsi="宋体"/>
          <w:sz w:val="21"/>
          <w:szCs w:val="21"/>
        </w:rPr>
        <w:t>1</w:t>
      </w:r>
      <w:r>
        <w:rPr>
          <w:rFonts w:hint="eastAsia" w:ascii="宋体" w:hAnsi="宋体"/>
          <w:sz w:val="21"/>
          <w:szCs w:val="21"/>
        </w:rPr>
        <w:t>）阶段验收应遵守《水利工程建设项目验收管理规定》水利部</w:t>
      </w:r>
      <w:r>
        <w:rPr>
          <w:rFonts w:ascii="宋体" w:hAnsi="宋体"/>
          <w:sz w:val="21"/>
          <w:szCs w:val="21"/>
        </w:rPr>
        <w:t>30</w:t>
      </w:r>
      <w:r>
        <w:rPr>
          <w:rFonts w:hint="eastAsia" w:ascii="宋体" w:hAnsi="宋体"/>
          <w:sz w:val="21"/>
          <w:szCs w:val="21"/>
        </w:rPr>
        <w:t>号令和《水利水电建设工程验收规程》（</w:t>
      </w:r>
      <w:r>
        <w:rPr>
          <w:rFonts w:ascii="宋体" w:hAnsi="宋体"/>
          <w:sz w:val="21"/>
          <w:szCs w:val="21"/>
        </w:rPr>
        <w:t>SL 223-2008</w:t>
      </w:r>
      <w:r>
        <w:rPr>
          <w:rFonts w:hint="eastAsia" w:ascii="宋体" w:hAnsi="宋体"/>
          <w:sz w:val="21"/>
          <w:szCs w:val="21"/>
        </w:rPr>
        <w:t>）的规定。</w:t>
      </w:r>
    </w:p>
    <w:p>
      <w:pPr>
        <w:pStyle w:val="4"/>
        <w:snapToGrid w:val="0"/>
        <w:spacing w:line="360" w:lineRule="exact"/>
        <w:rPr>
          <w:rFonts w:ascii="宋体" w:hAnsi="宋体"/>
          <w:sz w:val="21"/>
          <w:szCs w:val="21"/>
        </w:rPr>
      </w:pPr>
      <w:r>
        <w:rPr>
          <w:rFonts w:hint="eastAsia" w:ascii="宋体" w:hAnsi="宋体"/>
          <w:sz w:val="21"/>
          <w:szCs w:val="21"/>
        </w:rPr>
        <w:t>（</w:t>
      </w:r>
      <w:r>
        <w:rPr>
          <w:rFonts w:ascii="宋体" w:hAnsi="宋体"/>
          <w:sz w:val="21"/>
          <w:szCs w:val="21"/>
        </w:rPr>
        <w:t>2</w:t>
      </w:r>
      <w:r>
        <w:rPr>
          <w:rFonts w:hint="eastAsia" w:ascii="宋体" w:hAnsi="宋体"/>
          <w:sz w:val="21"/>
          <w:szCs w:val="21"/>
        </w:rPr>
        <w:t>）根据国家对工程施工过程的安全管理需要，本工程应进行以下项目的阶段验收：</w:t>
      </w:r>
    </w:p>
    <w:p>
      <w:pPr>
        <w:pStyle w:val="4"/>
        <w:snapToGrid w:val="0"/>
        <w:spacing w:line="360" w:lineRule="exact"/>
        <w:rPr>
          <w:rFonts w:ascii="宋体" w:hAnsi="宋体"/>
          <w:sz w:val="21"/>
          <w:szCs w:val="21"/>
        </w:rPr>
      </w:pPr>
      <w:r>
        <w:rPr>
          <w:rFonts w:ascii="宋体" w:hAnsi="宋体"/>
          <w:sz w:val="21"/>
          <w:szCs w:val="21"/>
        </w:rPr>
        <w:t>1</w:t>
      </w:r>
      <w:r>
        <w:rPr>
          <w:rFonts w:hint="eastAsia" w:ascii="宋体" w:hAnsi="宋体"/>
          <w:sz w:val="21"/>
          <w:szCs w:val="21"/>
        </w:rPr>
        <w:t>）工程通水验收；</w:t>
      </w:r>
    </w:p>
    <w:p>
      <w:pPr>
        <w:pStyle w:val="4"/>
        <w:snapToGrid w:val="0"/>
        <w:spacing w:line="360" w:lineRule="exact"/>
        <w:rPr>
          <w:rFonts w:ascii="宋体" w:hAnsi="宋体"/>
          <w:sz w:val="21"/>
          <w:szCs w:val="21"/>
        </w:rPr>
      </w:pPr>
      <w:r>
        <w:rPr>
          <w:rFonts w:ascii="宋体" w:hAnsi="宋体"/>
          <w:sz w:val="21"/>
          <w:szCs w:val="21"/>
        </w:rPr>
        <w:t>2</w:t>
      </w:r>
      <w:r>
        <w:rPr>
          <w:rFonts w:hint="eastAsia" w:ascii="宋体" w:hAnsi="宋体"/>
          <w:sz w:val="21"/>
          <w:szCs w:val="21"/>
        </w:rPr>
        <w:t>）部分工程投入使用验收；</w:t>
      </w:r>
    </w:p>
    <w:p>
      <w:pPr>
        <w:pStyle w:val="4"/>
        <w:snapToGrid w:val="0"/>
        <w:spacing w:line="360" w:lineRule="exact"/>
        <w:rPr>
          <w:rFonts w:ascii="宋体" w:hAnsi="宋体"/>
          <w:sz w:val="21"/>
          <w:szCs w:val="21"/>
        </w:rPr>
      </w:pPr>
      <w:r>
        <w:rPr>
          <w:rFonts w:ascii="宋体" w:hAnsi="宋体"/>
          <w:sz w:val="21"/>
          <w:szCs w:val="21"/>
        </w:rPr>
        <w:t>3</w:t>
      </w:r>
      <w:r>
        <w:rPr>
          <w:rFonts w:hint="eastAsia" w:ascii="宋体" w:hAnsi="宋体"/>
          <w:sz w:val="21"/>
          <w:szCs w:val="21"/>
        </w:rPr>
        <w:t>）工程建设需要增加的其它验收。</w:t>
      </w:r>
    </w:p>
    <w:p>
      <w:pPr>
        <w:pStyle w:val="4"/>
        <w:snapToGrid w:val="0"/>
        <w:spacing w:line="360" w:lineRule="exact"/>
        <w:ind w:firstLine="525" w:firstLineChars="250"/>
        <w:rPr>
          <w:rFonts w:ascii="宋体" w:hAnsi="宋体"/>
          <w:sz w:val="21"/>
          <w:szCs w:val="21"/>
        </w:rPr>
      </w:pPr>
      <w:r>
        <w:rPr>
          <w:rFonts w:hint="eastAsia" w:ascii="宋体" w:hAnsi="宋体"/>
          <w:sz w:val="21"/>
          <w:szCs w:val="21"/>
        </w:rPr>
        <w:t>（</w:t>
      </w:r>
      <w:r>
        <w:rPr>
          <w:rFonts w:ascii="宋体" w:hAnsi="宋体"/>
          <w:sz w:val="21"/>
          <w:szCs w:val="21"/>
        </w:rPr>
        <w:t>3</w:t>
      </w:r>
      <w:r>
        <w:rPr>
          <w:rFonts w:hint="eastAsia" w:ascii="宋体" w:hAnsi="宋体"/>
          <w:sz w:val="21"/>
          <w:szCs w:val="21"/>
        </w:rPr>
        <w:t>）阶段验收应由竣工验收主持单位或其委托的单位主持。阶段验收委员会应由验收主持单位、</w:t>
      </w:r>
    </w:p>
    <w:p>
      <w:pPr>
        <w:pStyle w:val="4"/>
        <w:snapToGrid w:val="0"/>
        <w:spacing w:line="360" w:lineRule="exact"/>
        <w:ind w:firstLine="0"/>
        <w:rPr>
          <w:rFonts w:ascii="宋体" w:hAnsi="宋体"/>
          <w:sz w:val="21"/>
          <w:szCs w:val="21"/>
        </w:rPr>
      </w:pPr>
      <w:r>
        <w:rPr>
          <w:rFonts w:hint="eastAsia" w:ascii="宋体" w:hAnsi="宋体"/>
          <w:sz w:val="21"/>
          <w:szCs w:val="21"/>
        </w:rPr>
        <w:t>质量和安全监督机构、运行管理单位的代表和有关专家组成；必要时，可邀请地方人民政府以及有</w:t>
      </w:r>
    </w:p>
    <w:p>
      <w:pPr>
        <w:pStyle w:val="4"/>
        <w:snapToGrid w:val="0"/>
        <w:spacing w:line="360" w:lineRule="exact"/>
        <w:ind w:firstLine="0"/>
        <w:rPr>
          <w:rFonts w:ascii="宋体" w:hAnsi="宋体"/>
          <w:sz w:val="21"/>
          <w:szCs w:val="21"/>
        </w:rPr>
      </w:pPr>
      <w:r>
        <w:rPr>
          <w:rFonts w:hint="eastAsia" w:ascii="宋体" w:hAnsi="宋体"/>
          <w:sz w:val="21"/>
          <w:szCs w:val="21"/>
        </w:rPr>
        <w:t>关部门参加。</w:t>
      </w:r>
    </w:p>
    <w:p>
      <w:pPr>
        <w:pStyle w:val="4"/>
        <w:snapToGrid w:val="0"/>
        <w:spacing w:line="360" w:lineRule="exact"/>
        <w:rPr>
          <w:rFonts w:ascii="宋体" w:hAnsi="宋体"/>
          <w:b/>
          <w:sz w:val="21"/>
          <w:szCs w:val="21"/>
        </w:rPr>
      </w:pPr>
      <w:r>
        <w:rPr>
          <w:rFonts w:ascii="宋体" w:hAnsi="宋体"/>
          <w:b/>
          <w:sz w:val="21"/>
          <w:szCs w:val="21"/>
        </w:rPr>
        <w:t xml:space="preserve">1.9.5 </w:t>
      </w:r>
      <w:r>
        <w:rPr>
          <w:rFonts w:hint="eastAsia" w:ascii="宋体" w:hAnsi="宋体"/>
          <w:b/>
          <w:sz w:val="21"/>
          <w:szCs w:val="21"/>
        </w:rPr>
        <w:t>专项验收</w:t>
      </w:r>
    </w:p>
    <w:p>
      <w:pPr>
        <w:pStyle w:val="4"/>
        <w:snapToGrid w:val="0"/>
        <w:spacing w:line="360" w:lineRule="exact"/>
        <w:rPr>
          <w:rFonts w:ascii="宋体" w:hAnsi="宋体"/>
          <w:sz w:val="21"/>
          <w:szCs w:val="21"/>
        </w:rPr>
      </w:pPr>
      <w:r>
        <w:rPr>
          <w:rFonts w:hint="eastAsia" w:ascii="宋体" w:hAnsi="宋体"/>
          <w:sz w:val="21"/>
          <w:szCs w:val="21"/>
        </w:rPr>
        <w:t>（</w:t>
      </w:r>
      <w:r>
        <w:rPr>
          <w:rFonts w:ascii="宋体" w:hAnsi="宋体"/>
          <w:sz w:val="21"/>
          <w:szCs w:val="21"/>
        </w:rPr>
        <w:t>1</w:t>
      </w:r>
      <w:r>
        <w:rPr>
          <w:rFonts w:hint="eastAsia" w:ascii="宋体" w:hAnsi="宋体"/>
          <w:sz w:val="21"/>
          <w:szCs w:val="21"/>
        </w:rPr>
        <w:t>）工程竣工验收前，应按有关规定进行专项验收。专项验收主持单位应按国家和有关行业的有关规定确定。</w:t>
      </w:r>
    </w:p>
    <w:p>
      <w:pPr>
        <w:pStyle w:val="4"/>
        <w:snapToGrid w:val="0"/>
        <w:spacing w:line="360" w:lineRule="exact"/>
        <w:rPr>
          <w:rFonts w:ascii="宋体" w:hAnsi="宋体"/>
          <w:sz w:val="21"/>
          <w:szCs w:val="21"/>
        </w:rPr>
      </w:pPr>
      <w:r>
        <w:rPr>
          <w:rFonts w:hint="eastAsia" w:ascii="宋体" w:hAnsi="宋体"/>
          <w:sz w:val="21"/>
          <w:szCs w:val="21"/>
        </w:rPr>
        <w:t>（</w:t>
      </w:r>
      <w:r>
        <w:rPr>
          <w:rFonts w:ascii="宋体" w:hAnsi="宋体"/>
          <w:sz w:val="21"/>
          <w:szCs w:val="21"/>
        </w:rPr>
        <w:t>2</w:t>
      </w:r>
      <w:r>
        <w:rPr>
          <w:rFonts w:hint="eastAsia" w:ascii="宋体" w:hAnsi="宋体"/>
          <w:sz w:val="21"/>
          <w:szCs w:val="21"/>
        </w:rPr>
        <w:t>）专项验收是指与国家和地方有关的对外永久交通、移民安置、环境保护、水土保待及通航等的专项工程验收。</w:t>
      </w:r>
    </w:p>
    <w:p>
      <w:pPr>
        <w:pStyle w:val="4"/>
        <w:snapToGrid w:val="0"/>
        <w:spacing w:line="360" w:lineRule="exact"/>
        <w:rPr>
          <w:rFonts w:ascii="宋体" w:hAnsi="宋体"/>
          <w:sz w:val="21"/>
          <w:szCs w:val="21"/>
        </w:rPr>
      </w:pPr>
      <w:r>
        <w:rPr>
          <w:rFonts w:hint="eastAsia" w:ascii="宋体" w:hAnsi="宋体"/>
          <w:sz w:val="21"/>
          <w:szCs w:val="21"/>
        </w:rPr>
        <w:t>（</w:t>
      </w:r>
      <w:r>
        <w:rPr>
          <w:rFonts w:ascii="宋体" w:hAnsi="宋体"/>
          <w:sz w:val="21"/>
          <w:szCs w:val="21"/>
        </w:rPr>
        <w:t>3</w:t>
      </w:r>
      <w:r>
        <w:rPr>
          <w:rFonts w:hint="eastAsia" w:ascii="宋体" w:hAnsi="宋体"/>
          <w:sz w:val="21"/>
          <w:szCs w:val="21"/>
        </w:rPr>
        <w:t>）项目法人应按国家和相关行业主管部门的规定，向有关部门提出专项验收申请报告，并做好准备和配合工作。</w:t>
      </w:r>
    </w:p>
    <w:p>
      <w:pPr>
        <w:pStyle w:val="4"/>
        <w:snapToGrid w:val="0"/>
        <w:spacing w:line="360" w:lineRule="exact"/>
        <w:rPr>
          <w:rFonts w:ascii="宋体" w:hAnsi="宋体"/>
          <w:sz w:val="21"/>
          <w:szCs w:val="21"/>
        </w:rPr>
      </w:pPr>
      <w:r>
        <w:rPr>
          <w:rFonts w:hint="eastAsia" w:ascii="宋体" w:hAnsi="宋体"/>
          <w:sz w:val="21"/>
          <w:szCs w:val="21"/>
        </w:rPr>
        <w:t>（</w:t>
      </w:r>
      <w:r>
        <w:rPr>
          <w:rFonts w:ascii="宋体" w:hAnsi="宋体"/>
          <w:sz w:val="21"/>
          <w:szCs w:val="21"/>
        </w:rPr>
        <w:t>4</w:t>
      </w:r>
      <w:r>
        <w:rPr>
          <w:rFonts w:hint="eastAsia" w:ascii="宋体" w:hAnsi="宋体"/>
          <w:sz w:val="21"/>
          <w:szCs w:val="21"/>
        </w:rPr>
        <w:t>）专项验收成果性文件应是工程竣工验收成果性文件的组成部分，其工程竣工验收资料的整编内容可参照本章第</w:t>
      </w:r>
      <w:r>
        <w:rPr>
          <w:rFonts w:ascii="宋体" w:hAnsi="宋体"/>
          <w:sz w:val="21"/>
          <w:szCs w:val="21"/>
        </w:rPr>
        <w:t>1.9.6</w:t>
      </w:r>
      <w:r>
        <w:rPr>
          <w:rFonts w:hint="eastAsia" w:ascii="宋体" w:hAnsi="宋体"/>
          <w:sz w:val="21"/>
          <w:szCs w:val="21"/>
        </w:rPr>
        <w:t>项的要求进行。</w:t>
      </w:r>
    </w:p>
    <w:p>
      <w:pPr>
        <w:pStyle w:val="4"/>
        <w:snapToGrid w:val="0"/>
        <w:spacing w:line="360" w:lineRule="exact"/>
        <w:rPr>
          <w:rFonts w:ascii="宋体" w:hAnsi="宋体"/>
          <w:b/>
          <w:sz w:val="21"/>
          <w:szCs w:val="21"/>
        </w:rPr>
      </w:pPr>
      <w:r>
        <w:rPr>
          <w:rFonts w:ascii="宋体" w:hAnsi="宋体"/>
          <w:b/>
          <w:sz w:val="21"/>
          <w:szCs w:val="21"/>
        </w:rPr>
        <w:t xml:space="preserve">1.9.6 </w:t>
      </w:r>
      <w:r>
        <w:rPr>
          <w:rFonts w:hint="eastAsia" w:ascii="宋体" w:hAnsi="宋体"/>
          <w:b/>
          <w:sz w:val="21"/>
          <w:szCs w:val="21"/>
        </w:rPr>
        <w:t>工程竣工验收</w:t>
      </w:r>
    </w:p>
    <w:p>
      <w:pPr>
        <w:pStyle w:val="4"/>
        <w:snapToGrid w:val="0"/>
        <w:spacing w:line="360" w:lineRule="exact"/>
        <w:rPr>
          <w:rFonts w:ascii="宋体" w:hAnsi="宋体"/>
          <w:sz w:val="21"/>
          <w:szCs w:val="21"/>
        </w:rPr>
      </w:pPr>
      <w:r>
        <w:rPr>
          <w:rFonts w:hint="eastAsia" w:ascii="宋体" w:hAnsi="宋体"/>
          <w:sz w:val="21"/>
          <w:szCs w:val="21"/>
        </w:rPr>
        <w:t>（</w:t>
      </w:r>
      <w:r>
        <w:rPr>
          <w:rFonts w:ascii="宋体" w:hAnsi="宋体"/>
          <w:sz w:val="21"/>
          <w:szCs w:val="21"/>
        </w:rPr>
        <w:t>1</w:t>
      </w:r>
      <w:r>
        <w:rPr>
          <w:rFonts w:hint="eastAsia" w:ascii="宋体" w:hAnsi="宋体"/>
          <w:sz w:val="21"/>
          <w:szCs w:val="21"/>
        </w:rPr>
        <w:t>）工程竣工验收应遵守《水利工程建设项目验收管理规定》水利部</w:t>
      </w:r>
      <w:r>
        <w:rPr>
          <w:rFonts w:ascii="宋体" w:hAnsi="宋体"/>
          <w:sz w:val="21"/>
          <w:szCs w:val="21"/>
        </w:rPr>
        <w:t>30</w:t>
      </w:r>
      <w:r>
        <w:rPr>
          <w:rFonts w:hint="eastAsia" w:ascii="宋体" w:hAnsi="宋体"/>
          <w:sz w:val="21"/>
          <w:szCs w:val="21"/>
        </w:rPr>
        <w:t>号令和《水利水电建设工程验收规程》（</w:t>
      </w:r>
      <w:r>
        <w:rPr>
          <w:rFonts w:ascii="宋体" w:hAnsi="宋体"/>
          <w:sz w:val="21"/>
          <w:szCs w:val="21"/>
        </w:rPr>
        <w:t>SL 223-2008</w:t>
      </w:r>
      <w:r>
        <w:rPr>
          <w:rFonts w:hint="eastAsia" w:ascii="宋体" w:hAnsi="宋体"/>
          <w:sz w:val="21"/>
          <w:szCs w:val="21"/>
        </w:rPr>
        <w:t>）的规定。</w:t>
      </w:r>
    </w:p>
    <w:p>
      <w:pPr>
        <w:pStyle w:val="4"/>
        <w:snapToGrid w:val="0"/>
        <w:spacing w:line="360" w:lineRule="exact"/>
        <w:rPr>
          <w:rFonts w:ascii="宋体" w:hAnsi="宋体"/>
          <w:sz w:val="21"/>
          <w:szCs w:val="21"/>
        </w:rPr>
      </w:pPr>
      <w:r>
        <w:rPr>
          <w:rFonts w:hint="eastAsia" w:ascii="宋体" w:hAnsi="宋体"/>
          <w:sz w:val="21"/>
          <w:szCs w:val="21"/>
        </w:rPr>
        <w:t>（</w:t>
      </w:r>
      <w:r>
        <w:rPr>
          <w:rFonts w:ascii="宋体" w:hAnsi="宋体"/>
          <w:sz w:val="21"/>
          <w:szCs w:val="21"/>
        </w:rPr>
        <w:t>2</w:t>
      </w:r>
      <w:r>
        <w:rPr>
          <w:rFonts w:hint="eastAsia" w:ascii="宋体" w:hAnsi="宋体"/>
          <w:sz w:val="21"/>
          <w:szCs w:val="21"/>
        </w:rPr>
        <w:t>）工程竣工验收前，承包人应积极配合发包人整编以下竣工验收资料提交发包人，其内容包括（但不限于）：</w:t>
      </w:r>
    </w:p>
    <w:p>
      <w:pPr>
        <w:pStyle w:val="4"/>
        <w:snapToGrid w:val="0"/>
        <w:spacing w:line="360" w:lineRule="exact"/>
        <w:rPr>
          <w:rFonts w:ascii="宋体" w:hAnsi="宋体"/>
          <w:sz w:val="21"/>
          <w:szCs w:val="21"/>
        </w:rPr>
      </w:pPr>
      <w:r>
        <w:rPr>
          <w:rFonts w:ascii="宋体" w:hAnsi="宋体"/>
          <w:sz w:val="21"/>
          <w:szCs w:val="21"/>
        </w:rPr>
        <w:t>1</w:t>
      </w:r>
      <w:r>
        <w:rPr>
          <w:rFonts w:hint="eastAsia" w:ascii="宋体" w:hAnsi="宋体"/>
          <w:sz w:val="21"/>
          <w:szCs w:val="21"/>
        </w:rPr>
        <w:t>）验收工程的各项施工材料的试验检验成果；</w:t>
      </w:r>
    </w:p>
    <w:p>
      <w:pPr>
        <w:pStyle w:val="4"/>
        <w:snapToGrid w:val="0"/>
        <w:spacing w:line="360" w:lineRule="exact"/>
        <w:rPr>
          <w:rFonts w:ascii="宋体" w:hAnsi="宋体"/>
          <w:sz w:val="21"/>
          <w:szCs w:val="21"/>
        </w:rPr>
      </w:pPr>
      <w:r>
        <w:rPr>
          <w:rFonts w:ascii="宋体" w:hAnsi="宋体"/>
          <w:sz w:val="21"/>
          <w:szCs w:val="21"/>
        </w:rPr>
        <w:t>2</w:t>
      </w:r>
      <w:r>
        <w:rPr>
          <w:rFonts w:hint="eastAsia" w:ascii="宋体" w:hAnsi="宋体"/>
          <w:sz w:val="21"/>
          <w:szCs w:val="21"/>
        </w:rPr>
        <w:t>）监理人对验收工程及其工程设备的质量检查记录；</w:t>
      </w:r>
    </w:p>
    <w:p>
      <w:pPr>
        <w:pStyle w:val="4"/>
        <w:snapToGrid w:val="0"/>
        <w:spacing w:line="360" w:lineRule="exact"/>
        <w:rPr>
          <w:rFonts w:ascii="宋体" w:hAnsi="宋体"/>
          <w:sz w:val="21"/>
          <w:szCs w:val="21"/>
        </w:rPr>
      </w:pPr>
      <w:r>
        <w:rPr>
          <w:rFonts w:ascii="宋体" w:hAnsi="宋体"/>
          <w:sz w:val="21"/>
          <w:szCs w:val="21"/>
        </w:rPr>
        <w:t>3</w:t>
      </w:r>
      <w:r>
        <w:rPr>
          <w:rFonts w:hint="eastAsia" w:ascii="宋体" w:hAnsi="宋体"/>
          <w:sz w:val="21"/>
          <w:szCs w:val="21"/>
        </w:rPr>
        <w:t>）施工过程中，本项工程及其工程设备的变更文件及资料；</w:t>
      </w:r>
    </w:p>
    <w:p>
      <w:pPr>
        <w:pStyle w:val="4"/>
        <w:snapToGrid w:val="0"/>
        <w:spacing w:line="360" w:lineRule="exact"/>
        <w:rPr>
          <w:rFonts w:ascii="宋体" w:hAnsi="宋体"/>
          <w:sz w:val="21"/>
          <w:szCs w:val="21"/>
        </w:rPr>
      </w:pPr>
      <w:r>
        <w:rPr>
          <w:rFonts w:ascii="宋体" w:hAnsi="宋体"/>
          <w:sz w:val="21"/>
          <w:szCs w:val="21"/>
        </w:rPr>
        <w:t>4</w:t>
      </w:r>
      <w:r>
        <w:rPr>
          <w:rFonts w:hint="eastAsia" w:ascii="宋体" w:hAnsi="宋体"/>
          <w:sz w:val="21"/>
          <w:szCs w:val="21"/>
        </w:rPr>
        <w:t>）质量事故记录以及工程及其工程设备的缺陷处理报告；</w:t>
      </w:r>
    </w:p>
    <w:p>
      <w:pPr>
        <w:pStyle w:val="4"/>
        <w:snapToGrid w:val="0"/>
        <w:spacing w:line="360" w:lineRule="exact"/>
        <w:rPr>
          <w:rFonts w:ascii="宋体" w:hAnsi="宋体"/>
          <w:sz w:val="21"/>
          <w:szCs w:val="21"/>
        </w:rPr>
      </w:pPr>
      <w:r>
        <w:rPr>
          <w:rFonts w:ascii="宋体" w:hAnsi="宋体"/>
          <w:sz w:val="21"/>
          <w:szCs w:val="21"/>
        </w:rPr>
        <w:t>5</w:t>
      </w:r>
      <w:r>
        <w:rPr>
          <w:rFonts w:hint="eastAsia" w:ascii="宋体" w:hAnsi="宋体"/>
          <w:sz w:val="21"/>
          <w:szCs w:val="21"/>
        </w:rPr>
        <w:t>）施工过程中，对验收工程质量的专题评定报告；</w:t>
      </w:r>
    </w:p>
    <w:p>
      <w:pPr>
        <w:pStyle w:val="4"/>
        <w:snapToGrid w:val="0"/>
        <w:spacing w:line="360" w:lineRule="exact"/>
        <w:rPr>
          <w:rFonts w:ascii="宋体" w:hAnsi="宋体"/>
          <w:sz w:val="21"/>
          <w:szCs w:val="21"/>
        </w:rPr>
      </w:pPr>
      <w:r>
        <w:rPr>
          <w:rFonts w:ascii="宋体" w:hAnsi="宋体"/>
          <w:sz w:val="21"/>
          <w:szCs w:val="21"/>
        </w:rPr>
        <w:t>6</w:t>
      </w:r>
      <w:r>
        <w:rPr>
          <w:rFonts w:hint="eastAsia" w:ascii="宋体" w:hAnsi="宋体"/>
          <w:sz w:val="21"/>
          <w:szCs w:val="21"/>
        </w:rPr>
        <w:t>）质量监督机构签认的质量鉴定报告和有关文件；</w:t>
      </w:r>
    </w:p>
    <w:p>
      <w:pPr>
        <w:pStyle w:val="4"/>
        <w:snapToGrid w:val="0"/>
        <w:spacing w:line="360" w:lineRule="exact"/>
        <w:rPr>
          <w:rFonts w:ascii="宋体" w:hAnsi="宋体"/>
          <w:sz w:val="21"/>
          <w:szCs w:val="21"/>
        </w:rPr>
      </w:pPr>
      <w:r>
        <w:rPr>
          <w:rFonts w:ascii="宋体" w:hAnsi="宋体"/>
          <w:sz w:val="21"/>
          <w:szCs w:val="21"/>
        </w:rPr>
        <w:t>7</w:t>
      </w:r>
      <w:r>
        <w:rPr>
          <w:rFonts w:hint="eastAsia" w:ascii="宋体" w:hAnsi="宋体"/>
          <w:sz w:val="21"/>
          <w:szCs w:val="21"/>
        </w:rPr>
        <w:t>）验收工程施工期的安全监测成果，以及工程设备的试运行检测成果；</w:t>
      </w:r>
    </w:p>
    <w:p>
      <w:pPr>
        <w:pStyle w:val="4"/>
        <w:snapToGrid w:val="0"/>
        <w:spacing w:line="360" w:lineRule="exact"/>
        <w:rPr>
          <w:rFonts w:ascii="宋体" w:hAnsi="宋体"/>
          <w:sz w:val="21"/>
          <w:szCs w:val="21"/>
        </w:rPr>
      </w:pPr>
      <w:r>
        <w:rPr>
          <w:rFonts w:ascii="宋体" w:hAnsi="宋体"/>
          <w:sz w:val="21"/>
          <w:szCs w:val="21"/>
        </w:rPr>
        <w:t>8</w:t>
      </w:r>
      <w:r>
        <w:rPr>
          <w:rFonts w:hint="eastAsia" w:ascii="宋体" w:hAnsi="宋体"/>
          <w:sz w:val="21"/>
          <w:szCs w:val="21"/>
        </w:rPr>
        <w:t>）监理人指示提交的其它竣工验收资料。</w:t>
      </w:r>
    </w:p>
    <w:p>
      <w:pPr>
        <w:pStyle w:val="4"/>
        <w:snapToGrid w:val="0"/>
        <w:spacing w:line="360" w:lineRule="exact"/>
        <w:rPr>
          <w:rFonts w:ascii="宋体" w:hAnsi="宋体"/>
          <w:sz w:val="21"/>
          <w:szCs w:val="21"/>
        </w:rPr>
      </w:pPr>
      <w:r>
        <w:rPr>
          <w:rFonts w:hint="eastAsia" w:ascii="宋体" w:hAnsi="宋体"/>
          <w:sz w:val="21"/>
          <w:szCs w:val="21"/>
        </w:rPr>
        <w:t>（</w:t>
      </w:r>
      <w:r>
        <w:rPr>
          <w:rFonts w:ascii="宋体" w:hAnsi="宋体"/>
          <w:sz w:val="21"/>
          <w:szCs w:val="21"/>
        </w:rPr>
        <w:t>3</w:t>
      </w:r>
      <w:r>
        <w:rPr>
          <w:rFonts w:hint="eastAsia" w:ascii="宋体" w:hAnsi="宋体"/>
          <w:sz w:val="21"/>
          <w:szCs w:val="21"/>
        </w:rPr>
        <w:t>）工程竣工验收应在工程建设项目全部完成，各单位工程、分部工程和单项工程的验收全部合格，并已满足一定运行条件后</w:t>
      </w:r>
      <w:r>
        <w:rPr>
          <w:rFonts w:ascii="宋体" w:hAnsi="宋体"/>
          <w:sz w:val="21"/>
          <w:szCs w:val="21"/>
        </w:rPr>
        <w:t>1</w:t>
      </w:r>
      <w:r>
        <w:rPr>
          <w:rFonts w:hint="eastAsia" w:ascii="宋体" w:hAnsi="宋体"/>
          <w:sz w:val="21"/>
          <w:szCs w:val="21"/>
        </w:rPr>
        <w:t>年内进行。</w:t>
      </w:r>
    </w:p>
    <w:p>
      <w:pPr>
        <w:pStyle w:val="4"/>
        <w:snapToGrid w:val="0"/>
        <w:spacing w:line="360" w:lineRule="exact"/>
        <w:rPr>
          <w:rFonts w:ascii="宋体" w:hAnsi="宋体"/>
          <w:sz w:val="21"/>
          <w:szCs w:val="21"/>
        </w:rPr>
      </w:pPr>
      <w:r>
        <w:rPr>
          <w:rFonts w:hint="eastAsia" w:ascii="宋体" w:hAnsi="宋体"/>
          <w:sz w:val="21"/>
          <w:szCs w:val="21"/>
        </w:rPr>
        <w:t>（</w:t>
      </w:r>
      <w:r>
        <w:rPr>
          <w:rFonts w:ascii="宋体" w:hAnsi="宋体"/>
          <w:sz w:val="21"/>
          <w:szCs w:val="21"/>
        </w:rPr>
        <w:t>4</w:t>
      </w:r>
      <w:r>
        <w:rPr>
          <w:rFonts w:hint="eastAsia" w:ascii="宋体" w:hAnsi="宋体"/>
          <w:sz w:val="21"/>
          <w:szCs w:val="21"/>
        </w:rPr>
        <w:t>）工程竣工验收应由发包人向国家主管部门提出工程竣工验收申请，并经国家主管部门批准后，由国家主管部门主持、发包人组织进行。</w:t>
      </w:r>
    </w:p>
    <w:p>
      <w:pPr>
        <w:pStyle w:val="7"/>
        <w:snapToGrid w:val="0"/>
        <w:spacing w:line="360" w:lineRule="exact"/>
        <w:rPr>
          <w:rFonts w:ascii="宋体" w:hAnsi="宋体" w:eastAsia="宋体"/>
          <w:sz w:val="21"/>
          <w:szCs w:val="21"/>
        </w:rPr>
      </w:pPr>
      <w:r>
        <w:rPr>
          <w:rFonts w:hint="eastAsia" w:ascii="宋体" w:hAnsi="宋体" w:eastAsia="宋体"/>
          <w:sz w:val="21"/>
          <w:szCs w:val="21"/>
        </w:rPr>
        <w:t>1.10 工程量计算</w:t>
      </w:r>
    </w:p>
    <w:p>
      <w:pPr>
        <w:pStyle w:val="7"/>
        <w:snapToGrid w:val="0"/>
        <w:spacing w:line="360" w:lineRule="exact"/>
        <w:rPr>
          <w:rFonts w:ascii="宋体" w:hAnsi="宋体" w:eastAsia="宋体"/>
          <w:bCs/>
          <w:sz w:val="21"/>
          <w:szCs w:val="21"/>
        </w:rPr>
      </w:pPr>
      <w:r>
        <w:rPr>
          <w:rFonts w:hint="eastAsia" w:ascii="宋体" w:hAnsi="宋体" w:eastAsia="宋体"/>
          <w:bCs/>
          <w:sz w:val="21"/>
          <w:szCs w:val="21"/>
        </w:rPr>
        <w:t>1.10.1 说明</w:t>
      </w:r>
    </w:p>
    <w:p>
      <w:pPr>
        <w:pStyle w:val="4"/>
        <w:snapToGrid w:val="0"/>
        <w:spacing w:line="360" w:lineRule="exact"/>
        <w:rPr>
          <w:rFonts w:ascii="宋体" w:hAnsi="宋体"/>
          <w:sz w:val="21"/>
          <w:szCs w:val="21"/>
        </w:rPr>
      </w:pPr>
      <w:r>
        <w:rPr>
          <w:rFonts w:ascii="宋体" w:hAnsi="宋体"/>
          <w:sz w:val="21"/>
          <w:szCs w:val="21"/>
        </w:rPr>
        <w:t>(1)</w:t>
      </w:r>
      <w:r>
        <w:rPr>
          <w:rFonts w:hint="eastAsia" w:ascii="宋体" w:hAnsi="宋体"/>
          <w:sz w:val="21"/>
          <w:szCs w:val="21"/>
        </w:rPr>
        <w:t>本合同的工程项目应按本合同《通用合同条款》和专用合同条款的有关规定进行计量，所</w:t>
      </w:r>
    </w:p>
    <w:p>
      <w:pPr>
        <w:pStyle w:val="4"/>
        <w:snapToGrid w:val="0"/>
        <w:spacing w:line="360" w:lineRule="exact"/>
        <w:rPr>
          <w:rFonts w:hint="eastAsia" w:ascii="宋体" w:hAnsi="宋体"/>
          <w:sz w:val="21"/>
          <w:szCs w:val="21"/>
        </w:rPr>
      </w:pPr>
      <w:r>
        <w:rPr>
          <w:rFonts w:hint="eastAsia" w:ascii="宋体" w:hAnsi="宋体"/>
          <w:sz w:val="21"/>
          <w:szCs w:val="21"/>
        </w:rPr>
        <w:t>有工程项目的计量方法均应符合本技术条款各章的规定。</w:t>
      </w:r>
    </w:p>
    <w:p>
      <w:pPr>
        <w:pStyle w:val="4"/>
        <w:snapToGrid w:val="0"/>
        <w:spacing w:line="360" w:lineRule="exact"/>
        <w:ind w:firstLine="420" w:firstLineChars="200"/>
        <w:rPr>
          <w:rFonts w:ascii="宋体" w:hAnsi="宋体"/>
          <w:sz w:val="21"/>
          <w:szCs w:val="21"/>
        </w:rPr>
      </w:pPr>
      <w:r>
        <w:rPr>
          <w:rFonts w:hint="eastAsia" w:ascii="宋体" w:hAnsi="宋体"/>
          <w:sz w:val="21"/>
          <w:szCs w:val="21"/>
        </w:rPr>
        <w:t>（2）承包人应保证自供的一切计量设备和用具符合国家度量衡标准的精度要求。</w:t>
      </w:r>
    </w:p>
    <w:p>
      <w:pPr>
        <w:pStyle w:val="4"/>
        <w:snapToGrid w:val="0"/>
        <w:spacing w:line="360" w:lineRule="exact"/>
        <w:ind w:firstLine="420" w:firstLineChars="200"/>
        <w:rPr>
          <w:rFonts w:ascii="宋体" w:hAnsi="宋体"/>
          <w:sz w:val="21"/>
          <w:szCs w:val="21"/>
        </w:rPr>
      </w:pPr>
      <w:r>
        <w:rPr>
          <w:rFonts w:hint="eastAsia" w:ascii="宋体" w:hAnsi="宋体"/>
          <w:sz w:val="21"/>
          <w:szCs w:val="21"/>
        </w:rPr>
        <w:t>（3）凡超出施工图纸和本技术条款规定的计量范围以外的长度、面积或体积，均不予计量或计算。</w:t>
      </w:r>
    </w:p>
    <w:p>
      <w:pPr>
        <w:pStyle w:val="4"/>
        <w:snapToGrid w:val="0"/>
        <w:spacing w:line="360" w:lineRule="exact"/>
        <w:ind w:firstLine="420" w:firstLineChars="200"/>
        <w:rPr>
          <w:rFonts w:ascii="宋体" w:hAnsi="宋体"/>
          <w:sz w:val="21"/>
          <w:szCs w:val="21"/>
        </w:rPr>
      </w:pPr>
      <w:r>
        <w:rPr>
          <w:rFonts w:hint="eastAsia" w:ascii="宋体" w:hAnsi="宋体"/>
          <w:sz w:val="21"/>
          <w:szCs w:val="21"/>
        </w:rPr>
        <w:t>（4）根据合同完成的有效工程量，由承包人按施工图纸计算，或采用标准的计量设备进行秤量，并经监理人签认后，列入承包人的每月完成工程量报表。当分次结算累计工程量与按完成施工图纸所示及合同文件规定计算的有效工程量不一致时，以按完成施工图纸所示及合同文件规定计算的有效工程量为准。</w:t>
      </w:r>
    </w:p>
    <w:p>
      <w:pPr>
        <w:pStyle w:val="4"/>
        <w:snapToGrid w:val="0"/>
        <w:spacing w:line="360" w:lineRule="exact"/>
        <w:rPr>
          <w:rFonts w:ascii="宋体" w:hAnsi="宋体"/>
          <w:sz w:val="21"/>
          <w:szCs w:val="21"/>
        </w:rPr>
      </w:pPr>
      <w:r>
        <w:rPr>
          <w:rFonts w:hint="eastAsia" w:ascii="宋体" w:hAnsi="宋体"/>
          <w:sz w:val="21"/>
          <w:szCs w:val="21"/>
        </w:rPr>
        <w:t>（5）分次结算工程量的测量工作，应在监理人在场的情况下，由承包人负责。必要时，监理人有权指示承包人对结算工程量重新进行复核测量，并由监理人核查确认。</w:t>
      </w:r>
    </w:p>
    <w:p>
      <w:pPr>
        <w:pStyle w:val="7"/>
        <w:snapToGrid w:val="0"/>
        <w:spacing w:line="360" w:lineRule="exact"/>
        <w:rPr>
          <w:rFonts w:ascii="宋体" w:hAnsi="宋体" w:eastAsia="宋体"/>
          <w:sz w:val="21"/>
          <w:szCs w:val="21"/>
        </w:rPr>
      </w:pPr>
      <w:r>
        <w:rPr>
          <w:rFonts w:hint="eastAsia" w:ascii="宋体" w:hAnsi="宋体" w:eastAsia="宋体"/>
          <w:sz w:val="21"/>
          <w:szCs w:val="21"/>
        </w:rPr>
        <w:t>1.10.2 重量计算</w:t>
      </w:r>
    </w:p>
    <w:p>
      <w:pPr>
        <w:pStyle w:val="4"/>
        <w:snapToGrid w:val="0"/>
        <w:spacing w:line="360" w:lineRule="exact"/>
        <w:rPr>
          <w:rFonts w:ascii="宋体" w:hAnsi="宋体"/>
          <w:sz w:val="21"/>
          <w:szCs w:val="21"/>
        </w:rPr>
      </w:pPr>
      <w:r>
        <w:rPr>
          <w:rFonts w:hint="eastAsia" w:ascii="宋体" w:hAnsi="宋体"/>
          <w:sz w:val="21"/>
          <w:szCs w:val="21"/>
        </w:rPr>
        <w:t>（1）按施工图纸所示计算的有效重量以吨或千克为单位计量。</w:t>
      </w:r>
    </w:p>
    <w:p>
      <w:pPr>
        <w:pStyle w:val="4"/>
        <w:snapToGrid w:val="0"/>
        <w:spacing w:line="360" w:lineRule="exact"/>
        <w:rPr>
          <w:rFonts w:ascii="宋体" w:hAnsi="宋体"/>
          <w:sz w:val="21"/>
          <w:szCs w:val="21"/>
        </w:rPr>
      </w:pPr>
      <w:r>
        <w:rPr>
          <w:rFonts w:hint="eastAsia" w:ascii="宋体" w:hAnsi="宋体"/>
          <w:sz w:val="21"/>
          <w:szCs w:val="21"/>
        </w:rPr>
        <w:t>（2）凡以重量计量并需秤量的材料，由承包人合格的测量人员使用经国家计量监督部门检验合格的秤量设备，根据合同约定，在监理人指定的地点进行秤量。</w:t>
      </w:r>
    </w:p>
    <w:p>
      <w:pPr>
        <w:pStyle w:val="7"/>
        <w:snapToGrid w:val="0"/>
        <w:spacing w:line="360" w:lineRule="exact"/>
        <w:rPr>
          <w:rFonts w:ascii="宋体" w:hAnsi="宋体" w:eastAsia="宋体"/>
          <w:bCs/>
          <w:sz w:val="21"/>
          <w:szCs w:val="21"/>
        </w:rPr>
      </w:pPr>
      <w:r>
        <w:rPr>
          <w:rFonts w:hint="eastAsia" w:ascii="宋体" w:hAnsi="宋体" w:eastAsia="宋体"/>
          <w:bCs/>
          <w:sz w:val="21"/>
          <w:szCs w:val="21"/>
        </w:rPr>
        <w:t>1.10.3 面积计量</w:t>
      </w:r>
    </w:p>
    <w:p>
      <w:pPr>
        <w:pStyle w:val="4"/>
        <w:snapToGrid w:val="0"/>
        <w:spacing w:line="360" w:lineRule="exact"/>
        <w:rPr>
          <w:rFonts w:ascii="宋体" w:hAnsi="宋体"/>
          <w:sz w:val="21"/>
          <w:szCs w:val="21"/>
        </w:rPr>
      </w:pPr>
      <w:r>
        <w:rPr>
          <w:rFonts w:hint="eastAsia" w:ascii="宋体" w:hAnsi="宋体"/>
          <w:sz w:val="21"/>
          <w:szCs w:val="21"/>
        </w:rPr>
        <w:t>按施工图纸所示施工轮廓尺寸或结构物尺寸计算的有效面积以平方米为单位计量。</w:t>
      </w:r>
    </w:p>
    <w:p>
      <w:pPr>
        <w:pStyle w:val="7"/>
        <w:snapToGrid w:val="0"/>
        <w:spacing w:line="360" w:lineRule="exact"/>
        <w:rPr>
          <w:rFonts w:ascii="宋体" w:hAnsi="宋体" w:eastAsia="宋体"/>
          <w:sz w:val="21"/>
          <w:szCs w:val="21"/>
        </w:rPr>
      </w:pPr>
      <w:r>
        <w:rPr>
          <w:rFonts w:hint="eastAsia" w:ascii="宋体" w:hAnsi="宋体" w:eastAsia="宋体"/>
          <w:sz w:val="21"/>
          <w:szCs w:val="21"/>
        </w:rPr>
        <w:t>1.10.4 体积计量</w:t>
      </w:r>
    </w:p>
    <w:p>
      <w:pPr>
        <w:pStyle w:val="4"/>
        <w:snapToGrid w:val="0"/>
        <w:spacing w:line="360" w:lineRule="exact"/>
        <w:rPr>
          <w:rFonts w:ascii="宋体" w:hAnsi="宋体"/>
          <w:sz w:val="21"/>
          <w:szCs w:val="21"/>
        </w:rPr>
      </w:pPr>
      <w:r>
        <w:rPr>
          <w:rFonts w:hint="eastAsia" w:ascii="宋体" w:hAnsi="宋体"/>
          <w:sz w:val="21"/>
          <w:szCs w:val="21"/>
        </w:rPr>
        <w:t>按施工图纸所示施工轮廓尺寸或结构物尺寸计算的有效体积以立方米为单位计量。</w:t>
      </w:r>
    </w:p>
    <w:p>
      <w:pPr>
        <w:pStyle w:val="7"/>
        <w:snapToGrid w:val="0"/>
        <w:spacing w:line="360" w:lineRule="exact"/>
        <w:rPr>
          <w:rFonts w:ascii="宋体" w:hAnsi="宋体" w:eastAsia="宋体"/>
          <w:bCs/>
          <w:sz w:val="21"/>
          <w:szCs w:val="21"/>
        </w:rPr>
      </w:pPr>
      <w:r>
        <w:rPr>
          <w:rFonts w:hint="eastAsia" w:ascii="宋体" w:hAnsi="宋体" w:eastAsia="宋体"/>
          <w:bCs/>
          <w:sz w:val="21"/>
          <w:szCs w:val="21"/>
        </w:rPr>
        <w:t>1.10.5 长度计量</w:t>
      </w:r>
    </w:p>
    <w:p>
      <w:pPr>
        <w:pStyle w:val="4"/>
        <w:snapToGrid w:val="0"/>
        <w:spacing w:line="360" w:lineRule="exact"/>
        <w:rPr>
          <w:rFonts w:ascii="宋体" w:hAnsi="宋体"/>
          <w:sz w:val="21"/>
          <w:szCs w:val="21"/>
        </w:rPr>
      </w:pPr>
      <w:r>
        <w:rPr>
          <w:rFonts w:hint="eastAsia" w:ascii="宋体" w:hAnsi="宋体"/>
          <w:sz w:val="21"/>
          <w:szCs w:val="21"/>
        </w:rPr>
        <w:t>按施工图纸所示施工轮廓尺寸或结构物尺寸计算的有效长度以米为单位计量。</w:t>
      </w:r>
    </w:p>
    <w:p>
      <w:pPr>
        <w:pStyle w:val="7"/>
        <w:snapToGrid w:val="0"/>
        <w:spacing w:line="360" w:lineRule="exact"/>
        <w:rPr>
          <w:rFonts w:ascii="宋体" w:hAnsi="宋体" w:eastAsia="宋体"/>
          <w:bCs/>
          <w:sz w:val="21"/>
          <w:szCs w:val="21"/>
        </w:rPr>
      </w:pPr>
      <w:r>
        <w:rPr>
          <w:rFonts w:hint="eastAsia" w:ascii="宋体" w:hAnsi="宋体" w:eastAsia="宋体"/>
          <w:bCs/>
          <w:sz w:val="21"/>
          <w:szCs w:val="21"/>
        </w:rPr>
        <w:t>1.11技术标准和规程规范</w:t>
      </w:r>
    </w:p>
    <w:p>
      <w:pPr>
        <w:pStyle w:val="7"/>
        <w:snapToGrid w:val="0"/>
        <w:spacing w:line="360" w:lineRule="exact"/>
        <w:rPr>
          <w:rFonts w:ascii="宋体" w:hAnsi="宋体" w:eastAsia="宋体"/>
          <w:sz w:val="21"/>
          <w:szCs w:val="21"/>
        </w:rPr>
      </w:pPr>
      <w:r>
        <w:rPr>
          <w:rFonts w:hint="eastAsia" w:ascii="宋体" w:hAnsi="宋体" w:eastAsia="宋体"/>
          <w:sz w:val="21"/>
          <w:szCs w:val="21"/>
        </w:rPr>
        <w:t>1.11.1 遵守国家和行业标准的强制性规定</w:t>
      </w:r>
    </w:p>
    <w:p>
      <w:pPr>
        <w:pStyle w:val="4"/>
        <w:snapToGrid w:val="0"/>
        <w:spacing w:line="360" w:lineRule="exact"/>
        <w:rPr>
          <w:rFonts w:ascii="宋体" w:hAnsi="宋体"/>
          <w:sz w:val="21"/>
          <w:szCs w:val="21"/>
        </w:rPr>
      </w:pPr>
      <w:r>
        <w:rPr>
          <w:rFonts w:hint="eastAsia" w:ascii="宋体" w:hAnsi="宋体"/>
          <w:sz w:val="21"/>
          <w:szCs w:val="21"/>
        </w:rPr>
        <w:t>技术条款中有关工程等级、防洪标准和工程安全鉴定标准等涉及工程安全的施工安装技术要求及其验收标准，必须严格遵守国家和行业标准中的强制性规定。遇有矛盾时，应由监理人按国家和行业标准的强制性规定进行修正。</w:t>
      </w:r>
    </w:p>
    <w:p>
      <w:pPr>
        <w:pStyle w:val="7"/>
        <w:snapToGrid w:val="0"/>
        <w:spacing w:line="360" w:lineRule="exact"/>
        <w:rPr>
          <w:rFonts w:ascii="宋体" w:hAnsi="宋体" w:eastAsia="宋体"/>
          <w:bCs/>
          <w:sz w:val="21"/>
          <w:szCs w:val="21"/>
        </w:rPr>
      </w:pPr>
      <w:r>
        <w:rPr>
          <w:rFonts w:hint="eastAsia" w:ascii="宋体" w:hAnsi="宋体" w:eastAsia="宋体"/>
          <w:bCs/>
          <w:sz w:val="21"/>
          <w:szCs w:val="21"/>
        </w:rPr>
        <w:t>1.11.2 引用标准和规程规范以最新版本为准</w:t>
      </w:r>
    </w:p>
    <w:p>
      <w:pPr>
        <w:pStyle w:val="4"/>
        <w:snapToGrid w:val="0"/>
        <w:spacing w:line="360" w:lineRule="exact"/>
        <w:rPr>
          <w:rFonts w:ascii="宋体" w:hAnsi="宋体"/>
          <w:sz w:val="21"/>
          <w:szCs w:val="21"/>
        </w:rPr>
      </w:pPr>
      <w:r>
        <w:rPr>
          <w:rFonts w:hint="eastAsia" w:ascii="宋体" w:hAnsi="宋体"/>
          <w:sz w:val="21"/>
          <w:szCs w:val="21"/>
        </w:rPr>
        <w:t>新技术条款中引用的标准和规程规范均标有出版年代，引用截止期为2012年底，应用时执行国家和各行业最新出版的版本。</w:t>
      </w:r>
    </w:p>
    <w:p>
      <w:pPr>
        <w:pStyle w:val="7"/>
        <w:snapToGrid w:val="0"/>
        <w:spacing w:line="360" w:lineRule="exact"/>
        <w:rPr>
          <w:rFonts w:ascii="宋体" w:hAnsi="宋体" w:eastAsia="宋体"/>
          <w:sz w:val="21"/>
          <w:szCs w:val="21"/>
        </w:rPr>
      </w:pPr>
      <w:r>
        <w:rPr>
          <w:rFonts w:hint="eastAsia" w:ascii="宋体" w:hAnsi="宋体" w:eastAsia="宋体"/>
          <w:sz w:val="21"/>
          <w:szCs w:val="21"/>
        </w:rPr>
        <w:t>1.12 工程保险</w:t>
      </w:r>
    </w:p>
    <w:p>
      <w:pPr>
        <w:pStyle w:val="7"/>
        <w:snapToGrid w:val="0"/>
        <w:spacing w:line="360" w:lineRule="exact"/>
        <w:rPr>
          <w:rFonts w:ascii="宋体" w:hAnsi="宋体" w:eastAsia="宋体"/>
          <w:sz w:val="21"/>
          <w:szCs w:val="21"/>
        </w:rPr>
      </w:pPr>
      <w:r>
        <w:rPr>
          <w:rFonts w:hint="eastAsia" w:ascii="宋体" w:hAnsi="宋体" w:eastAsia="宋体"/>
          <w:sz w:val="21"/>
          <w:szCs w:val="21"/>
        </w:rPr>
        <w:t>1.12.1 投保险种</w:t>
      </w:r>
    </w:p>
    <w:p>
      <w:pPr>
        <w:pStyle w:val="4"/>
        <w:snapToGrid w:val="0"/>
        <w:spacing w:line="360" w:lineRule="exact"/>
        <w:rPr>
          <w:rFonts w:ascii="宋体" w:hAnsi="宋体"/>
          <w:sz w:val="21"/>
          <w:szCs w:val="21"/>
        </w:rPr>
      </w:pPr>
      <w:r>
        <w:rPr>
          <w:rFonts w:hint="eastAsia" w:ascii="宋体" w:hAnsi="宋体"/>
          <w:sz w:val="21"/>
          <w:szCs w:val="21"/>
        </w:rPr>
        <w:t>发包人和承包人应按本合同通用合同条款第20条的约定投保以下险种：</w:t>
      </w:r>
    </w:p>
    <w:p>
      <w:pPr>
        <w:pStyle w:val="4"/>
        <w:snapToGrid w:val="0"/>
        <w:spacing w:line="360" w:lineRule="exact"/>
        <w:rPr>
          <w:rFonts w:ascii="宋体" w:hAnsi="宋体"/>
          <w:sz w:val="21"/>
          <w:szCs w:val="21"/>
        </w:rPr>
      </w:pPr>
      <w:r>
        <w:rPr>
          <w:rFonts w:hint="eastAsia" w:ascii="宋体" w:hAnsi="宋体"/>
          <w:sz w:val="21"/>
          <w:szCs w:val="21"/>
        </w:rPr>
        <w:t>（1）建筑安装工程的一切险（包括材料和工程设备，以发包人和承包人共同名义投保）；</w:t>
      </w:r>
    </w:p>
    <w:p>
      <w:pPr>
        <w:pStyle w:val="4"/>
        <w:snapToGrid w:val="0"/>
        <w:spacing w:line="360" w:lineRule="exact"/>
        <w:rPr>
          <w:rFonts w:ascii="宋体" w:hAnsi="宋体"/>
          <w:sz w:val="21"/>
          <w:szCs w:val="21"/>
        </w:rPr>
      </w:pPr>
      <w:r>
        <w:rPr>
          <w:rFonts w:hint="eastAsia" w:ascii="宋体" w:hAnsi="宋体"/>
          <w:sz w:val="21"/>
          <w:szCs w:val="21"/>
        </w:rPr>
        <w:t>（2）人员工伤事故险（按各自管辖的人员投保）；</w:t>
      </w:r>
    </w:p>
    <w:p>
      <w:pPr>
        <w:pStyle w:val="4"/>
        <w:snapToGrid w:val="0"/>
        <w:spacing w:line="360" w:lineRule="exact"/>
        <w:rPr>
          <w:rFonts w:ascii="宋体" w:hAnsi="宋体"/>
          <w:sz w:val="21"/>
          <w:szCs w:val="21"/>
        </w:rPr>
      </w:pPr>
      <w:r>
        <w:rPr>
          <w:rFonts w:hint="eastAsia" w:ascii="宋体" w:hAnsi="宋体"/>
          <w:sz w:val="21"/>
          <w:szCs w:val="21"/>
        </w:rPr>
        <w:t>（3）人身意外伤害险（按各自管辖的人员投保）；</w:t>
      </w:r>
    </w:p>
    <w:p>
      <w:pPr>
        <w:pStyle w:val="4"/>
        <w:snapToGrid w:val="0"/>
        <w:spacing w:line="360" w:lineRule="exact"/>
        <w:rPr>
          <w:rFonts w:ascii="宋体" w:hAnsi="宋体"/>
          <w:sz w:val="21"/>
          <w:szCs w:val="21"/>
        </w:rPr>
      </w:pPr>
      <w:r>
        <w:rPr>
          <w:rFonts w:hint="eastAsia" w:ascii="宋体" w:hAnsi="宋体"/>
          <w:sz w:val="21"/>
          <w:szCs w:val="21"/>
        </w:rPr>
        <w:t>（4）第三者责任险（按各自管辖区，以发包人和承包人共同名义投保）；</w:t>
      </w:r>
    </w:p>
    <w:p>
      <w:pPr>
        <w:pStyle w:val="4"/>
        <w:snapToGrid w:val="0"/>
        <w:spacing w:line="360" w:lineRule="exact"/>
        <w:rPr>
          <w:rFonts w:ascii="宋体" w:hAnsi="宋体"/>
          <w:sz w:val="21"/>
          <w:szCs w:val="21"/>
        </w:rPr>
      </w:pPr>
      <w:r>
        <w:rPr>
          <w:rFonts w:hint="eastAsia" w:ascii="宋体" w:hAnsi="宋体"/>
          <w:sz w:val="21"/>
          <w:szCs w:val="21"/>
        </w:rPr>
        <w:t>（5）施工设备险（由承包人负责投保）。</w:t>
      </w:r>
    </w:p>
    <w:p>
      <w:pPr>
        <w:pStyle w:val="7"/>
        <w:snapToGrid w:val="0"/>
        <w:spacing w:line="360" w:lineRule="exact"/>
        <w:rPr>
          <w:rFonts w:ascii="宋体" w:hAnsi="宋体" w:eastAsia="宋体"/>
          <w:bCs/>
          <w:sz w:val="21"/>
          <w:szCs w:val="21"/>
        </w:rPr>
      </w:pPr>
      <w:r>
        <w:rPr>
          <w:rFonts w:hint="eastAsia" w:ascii="宋体" w:hAnsi="宋体" w:eastAsia="宋体"/>
          <w:bCs/>
          <w:sz w:val="21"/>
          <w:szCs w:val="21"/>
        </w:rPr>
        <w:t>1.12.2 保险费用</w:t>
      </w:r>
    </w:p>
    <w:p>
      <w:pPr>
        <w:pStyle w:val="4"/>
        <w:snapToGrid w:val="0"/>
        <w:spacing w:line="360" w:lineRule="exact"/>
        <w:rPr>
          <w:rFonts w:ascii="宋体" w:hAnsi="宋体"/>
          <w:sz w:val="21"/>
          <w:szCs w:val="21"/>
        </w:rPr>
      </w:pPr>
      <w:r>
        <w:rPr>
          <w:rFonts w:hint="eastAsia" w:ascii="宋体" w:hAnsi="宋体"/>
          <w:sz w:val="21"/>
          <w:szCs w:val="21"/>
        </w:rPr>
        <w:t>（1）按本合同约定由承包人负责投保建筑安装工程一切险，承包人应按本合同通用合同条款第20.1款约定的责任和内容，在本章工程量清单中专项列报。</w:t>
      </w:r>
    </w:p>
    <w:p>
      <w:pPr>
        <w:pStyle w:val="4"/>
        <w:snapToGrid w:val="0"/>
        <w:spacing w:line="360" w:lineRule="exact"/>
        <w:rPr>
          <w:rFonts w:ascii="宋体" w:hAnsi="宋体"/>
          <w:sz w:val="21"/>
          <w:szCs w:val="21"/>
        </w:rPr>
      </w:pPr>
      <w:r>
        <w:rPr>
          <w:rFonts w:hint="eastAsia" w:ascii="宋体" w:hAnsi="宋体"/>
          <w:sz w:val="21"/>
          <w:szCs w:val="21"/>
        </w:rPr>
        <w:t>（2）承包人人员的工伤事故险和人身意外伤害险应由承包人按本合同通用合同条款第20.2款、第20.3款约定的责任和内容，为全部现场施工人员办理保险，并按本章《工程量清单》所列项目专项列报。</w:t>
      </w:r>
    </w:p>
    <w:p>
      <w:pPr>
        <w:pStyle w:val="4"/>
        <w:snapToGrid w:val="0"/>
        <w:spacing w:line="360" w:lineRule="exact"/>
        <w:rPr>
          <w:rFonts w:ascii="宋体" w:hAnsi="宋体"/>
          <w:sz w:val="21"/>
          <w:szCs w:val="21"/>
        </w:rPr>
      </w:pPr>
      <w:r>
        <w:rPr>
          <w:rFonts w:hint="eastAsia" w:ascii="宋体" w:hAnsi="宋体"/>
          <w:sz w:val="21"/>
          <w:szCs w:val="21"/>
        </w:rPr>
        <w:t>（3）承包人管辖区内的第三者责任险应由承包人，根据本合同通用合同条款第20.4款约定的责任和内容与本章《工程量清单》所列项目专项列报。</w:t>
      </w:r>
    </w:p>
    <w:p>
      <w:pPr>
        <w:pStyle w:val="4"/>
        <w:snapToGrid w:val="0"/>
        <w:spacing w:line="360" w:lineRule="exact"/>
        <w:rPr>
          <w:rFonts w:ascii="宋体" w:hAnsi="宋体"/>
          <w:sz w:val="21"/>
          <w:szCs w:val="21"/>
        </w:rPr>
      </w:pPr>
      <w:r>
        <w:rPr>
          <w:rFonts w:hint="eastAsia" w:ascii="宋体" w:hAnsi="宋体"/>
          <w:sz w:val="21"/>
          <w:szCs w:val="21"/>
        </w:rPr>
        <w:t>（4）施工设备险由承包人负责投保，保险费用包括在施工设备运行费内。</w:t>
      </w:r>
    </w:p>
    <w:p>
      <w:pPr>
        <w:pStyle w:val="7"/>
        <w:snapToGrid w:val="0"/>
        <w:spacing w:line="360" w:lineRule="exact"/>
        <w:rPr>
          <w:rFonts w:ascii="宋体" w:hAnsi="宋体" w:eastAsia="宋体"/>
          <w:bCs/>
          <w:sz w:val="21"/>
          <w:szCs w:val="21"/>
        </w:rPr>
      </w:pPr>
      <w:r>
        <w:rPr>
          <w:rFonts w:hint="eastAsia" w:ascii="宋体" w:hAnsi="宋体" w:eastAsia="宋体"/>
          <w:bCs/>
          <w:sz w:val="21"/>
          <w:szCs w:val="21"/>
        </w:rPr>
        <w:t>1.13 工程价款支付方法</w:t>
      </w:r>
    </w:p>
    <w:p>
      <w:pPr>
        <w:pStyle w:val="7"/>
        <w:snapToGrid w:val="0"/>
        <w:spacing w:line="360" w:lineRule="exact"/>
        <w:rPr>
          <w:rFonts w:ascii="宋体" w:hAnsi="宋体" w:eastAsia="宋体"/>
          <w:bCs/>
          <w:sz w:val="21"/>
          <w:szCs w:val="21"/>
        </w:rPr>
      </w:pPr>
      <w:r>
        <w:rPr>
          <w:rFonts w:hint="eastAsia" w:ascii="宋体" w:hAnsi="宋体" w:eastAsia="宋体"/>
          <w:bCs/>
          <w:sz w:val="21"/>
          <w:szCs w:val="21"/>
        </w:rPr>
        <w:t>1.13.1 单价支付项目</w:t>
      </w:r>
    </w:p>
    <w:p>
      <w:pPr>
        <w:pStyle w:val="4"/>
        <w:snapToGrid w:val="0"/>
        <w:spacing w:line="360" w:lineRule="exact"/>
        <w:rPr>
          <w:rFonts w:ascii="宋体" w:hAnsi="宋体"/>
          <w:sz w:val="21"/>
          <w:szCs w:val="21"/>
        </w:rPr>
      </w:pPr>
      <w:r>
        <w:rPr>
          <w:rFonts w:hint="eastAsia" w:ascii="宋体" w:hAnsi="宋体"/>
          <w:sz w:val="21"/>
          <w:szCs w:val="21"/>
        </w:rPr>
        <w:t>除合同另有约定外，承包人在《工程量清单》以单价形式列报的所有工程项目，发包人均按《工程量清单》相应项目的工程单价支付。</w:t>
      </w:r>
    </w:p>
    <w:p>
      <w:pPr>
        <w:pStyle w:val="7"/>
        <w:snapToGrid w:val="0"/>
        <w:spacing w:line="360" w:lineRule="exact"/>
        <w:rPr>
          <w:rFonts w:ascii="宋体" w:hAnsi="宋体" w:eastAsia="宋体"/>
          <w:sz w:val="21"/>
          <w:szCs w:val="21"/>
        </w:rPr>
      </w:pPr>
      <w:r>
        <w:rPr>
          <w:rFonts w:hint="eastAsia" w:ascii="宋体" w:hAnsi="宋体" w:eastAsia="宋体"/>
          <w:sz w:val="21"/>
          <w:szCs w:val="21"/>
        </w:rPr>
        <w:t>1.13.2 一般总价支付项目</w:t>
      </w:r>
    </w:p>
    <w:p>
      <w:pPr>
        <w:pStyle w:val="4"/>
        <w:snapToGrid w:val="0"/>
        <w:spacing w:line="360" w:lineRule="exact"/>
        <w:rPr>
          <w:rFonts w:ascii="宋体" w:hAnsi="宋体"/>
          <w:sz w:val="21"/>
          <w:szCs w:val="21"/>
        </w:rPr>
      </w:pPr>
      <w:r>
        <w:rPr>
          <w:rFonts w:hint="eastAsia" w:ascii="宋体" w:hAnsi="宋体"/>
          <w:sz w:val="21"/>
          <w:szCs w:val="21"/>
        </w:rPr>
        <w:t>除合同另有约定外，承包人在《工程量清单》以总价形式列报的所有工程项目，发包人均按《工程量清单》相应项目（不包括以总价形式列报的暂列金额）的总价支付。</w:t>
      </w:r>
    </w:p>
    <w:p>
      <w:pPr>
        <w:pStyle w:val="7"/>
        <w:snapToGrid w:val="0"/>
        <w:spacing w:line="360" w:lineRule="exact"/>
        <w:rPr>
          <w:rStyle w:val="47"/>
          <w:rFonts w:ascii="宋体" w:hAnsi="宋体"/>
          <w:color w:val="auto"/>
          <w:sz w:val="21"/>
          <w:szCs w:val="21"/>
        </w:rPr>
      </w:pPr>
      <w:r>
        <w:rPr>
          <w:rStyle w:val="47"/>
          <w:rFonts w:hint="eastAsia" w:ascii="宋体" w:hAnsi="宋体"/>
          <w:color w:val="auto"/>
          <w:sz w:val="21"/>
          <w:szCs w:val="21"/>
        </w:rPr>
        <w:t>1.13.3 特殊约定的总价支付项目</w:t>
      </w:r>
    </w:p>
    <w:p>
      <w:pPr>
        <w:snapToGrid w:val="0"/>
        <w:spacing w:line="360" w:lineRule="exact"/>
        <w:ind w:firstLine="420" w:firstLineChars="200"/>
        <w:rPr>
          <w:rFonts w:ascii="宋体" w:hAnsi="宋体"/>
          <w:sz w:val="21"/>
          <w:szCs w:val="21"/>
        </w:rPr>
      </w:pPr>
      <w:r>
        <w:rPr>
          <w:rFonts w:hint="eastAsia" w:ascii="宋体" w:hAnsi="宋体"/>
          <w:sz w:val="21"/>
          <w:szCs w:val="21"/>
        </w:rPr>
        <w:t>（1）进场费</w:t>
      </w:r>
    </w:p>
    <w:p>
      <w:pPr>
        <w:pStyle w:val="14"/>
        <w:snapToGrid w:val="0"/>
        <w:spacing w:line="360" w:lineRule="exact"/>
        <w:ind w:firstLine="476" w:firstLineChars="227"/>
        <w:rPr>
          <w:rFonts w:hAnsi="宋体"/>
          <w:szCs w:val="21"/>
        </w:rPr>
      </w:pPr>
      <w:r>
        <w:rPr>
          <w:rFonts w:hint="eastAsia" w:hAnsi="宋体"/>
          <w:snapToGrid w:val="0"/>
          <w:kern w:val="0"/>
          <w:szCs w:val="21"/>
        </w:rPr>
        <w:t>承包人为进行施工准备所需的人员和施工设备的调遣费和进场开办费，已包括在工程量单价中，承包人不应另立项目要求发包人予以支付。</w:t>
      </w:r>
    </w:p>
    <w:p>
      <w:pPr>
        <w:snapToGrid w:val="0"/>
        <w:spacing w:line="360" w:lineRule="exact"/>
        <w:ind w:firstLine="420" w:firstLineChars="200"/>
        <w:rPr>
          <w:rFonts w:ascii="宋体" w:hAnsi="宋体"/>
          <w:sz w:val="21"/>
          <w:szCs w:val="21"/>
        </w:rPr>
      </w:pPr>
      <w:r>
        <w:rPr>
          <w:rFonts w:hint="eastAsia" w:ascii="宋体" w:hAnsi="宋体"/>
          <w:sz w:val="21"/>
          <w:szCs w:val="21"/>
        </w:rPr>
        <w:t>（2）退场费</w:t>
      </w:r>
    </w:p>
    <w:p>
      <w:pPr>
        <w:snapToGrid w:val="0"/>
        <w:spacing w:line="360" w:lineRule="exact"/>
        <w:ind w:firstLine="420" w:firstLineChars="200"/>
        <w:rPr>
          <w:rFonts w:ascii="宋体" w:hAnsi="宋体"/>
          <w:sz w:val="21"/>
          <w:szCs w:val="21"/>
        </w:rPr>
      </w:pPr>
      <w:r>
        <w:rPr>
          <w:rFonts w:hint="eastAsia" w:ascii="宋体" w:hAnsi="宋体"/>
          <w:snapToGrid w:val="0"/>
          <w:sz w:val="21"/>
          <w:szCs w:val="21"/>
        </w:rPr>
        <w:t>工程完工验收后，承包人进行完工清场、撤退人员和设备、撤离临时工程、场地平整和环境恢复等所需的费用，已包括在工程量单价中，承包人不应另立项目要求发包人予以支付。</w:t>
      </w:r>
    </w:p>
    <w:p>
      <w:pPr>
        <w:snapToGrid w:val="0"/>
        <w:spacing w:line="360" w:lineRule="exact"/>
        <w:ind w:firstLine="420" w:firstLineChars="200"/>
        <w:rPr>
          <w:rFonts w:ascii="宋体" w:hAnsi="宋体"/>
          <w:sz w:val="21"/>
          <w:szCs w:val="21"/>
        </w:rPr>
      </w:pPr>
      <w:r>
        <w:rPr>
          <w:rFonts w:hint="eastAsia" w:ascii="宋体" w:hAnsi="宋体"/>
          <w:sz w:val="21"/>
          <w:szCs w:val="21"/>
        </w:rPr>
        <w:t>（3）保险费</w:t>
      </w:r>
    </w:p>
    <w:p>
      <w:pPr>
        <w:snapToGrid w:val="0"/>
        <w:spacing w:line="360" w:lineRule="exact"/>
        <w:ind w:firstLine="420" w:firstLineChars="200"/>
        <w:rPr>
          <w:rFonts w:ascii="宋体" w:hAnsi="宋体"/>
          <w:sz w:val="21"/>
          <w:szCs w:val="21"/>
        </w:rPr>
      </w:pPr>
      <w:r>
        <w:rPr>
          <w:rFonts w:hint="eastAsia" w:ascii="宋体" w:hAnsi="宋体"/>
          <w:sz w:val="21"/>
          <w:szCs w:val="21"/>
        </w:rPr>
        <w:t>承包人按本章第</w:t>
      </w:r>
      <w:r>
        <w:rPr>
          <w:rFonts w:ascii="宋体" w:hAnsi="宋体"/>
          <w:sz w:val="21"/>
          <w:szCs w:val="21"/>
        </w:rPr>
        <w:t>1.12</w:t>
      </w:r>
      <w:r>
        <w:rPr>
          <w:rFonts w:hint="eastAsia" w:ascii="宋体" w:hAnsi="宋体"/>
          <w:sz w:val="21"/>
          <w:szCs w:val="21"/>
        </w:rPr>
        <w:t>款规定列报，由发包人按承包人提交的保险单及保险发票按实支付，最高</w:t>
      </w:r>
    </w:p>
    <w:p>
      <w:pPr>
        <w:snapToGrid w:val="0"/>
        <w:spacing w:line="360" w:lineRule="exact"/>
        <w:rPr>
          <w:rFonts w:ascii="宋体" w:hAnsi="宋体"/>
          <w:sz w:val="21"/>
          <w:szCs w:val="21"/>
        </w:rPr>
      </w:pPr>
      <w:r>
        <w:rPr>
          <w:rFonts w:hint="eastAsia" w:ascii="宋体" w:hAnsi="宋体"/>
          <w:sz w:val="21"/>
          <w:szCs w:val="21"/>
        </w:rPr>
        <w:t>、不超过《工程量清单》所列报的保险费用。</w:t>
      </w:r>
    </w:p>
    <w:p>
      <w:pPr>
        <w:snapToGrid w:val="0"/>
        <w:spacing w:line="360" w:lineRule="exact"/>
        <w:rPr>
          <w:rFonts w:ascii="宋体" w:hAnsi="宋体"/>
          <w:sz w:val="21"/>
          <w:szCs w:val="21"/>
        </w:rPr>
      </w:pPr>
      <w:r>
        <w:rPr>
          <w:rFonts w:hint="eastAsia" w:ascii="宋体" w:hAnsi="宋体"/>
          <w:sz w:val="21"/>
          <w:szCs w:val="21"/>
        </w:rPr>
        <w:t>（4）其它费用</w:t>
      </w:r>
    </w:p>
    <w:p>
      <w:pPr>
        <w:pStyle w:val="14"/>
        <w:snapToGrid w:val="0"/>
        <w:spacing w:line="360" w:lineRule="exact"/>
        <w:ind w:firstLine="411" w:firstLineChars="196"/>
        <w:rPr>
          <w:rFonts w:hAnsi="宋体"/>
          <w:snapToGrid w:val="0"/>
          <w:kern w:val="0"/>
          <w:szCs w:val="21"/>
        </w:rPr>
      </w:pPr>
      <w:r>
        <w:rPr>
          <w:rFonts w:hint="eastAsia" w:hAnsi="宋体"/>
          <w:szCs w:val="21"/>
        </w:rPr>
        <w:t>除《工程量清单》所列的全部总价和单价项目所包含的工程项目及其工作内容外，承包人按本章规定进行的各项工作，其所需费用均应分摊在各项目的报价中，发包人不再另行支付。</w:t>
      </w:r>
    </w:p>
    <w:p>
      <w:pPr>
        <w:pStyle w:val="5"/>
        <w:spacing w:line="360" w:lineRule="auto"/>
        <w:jc w:val="center"/>
        <w:rPr>
          <w:szCs w:val="30"/>
        </w:rPr>
      </w:pPr>
      <w:bookmarkStart w:id="457" w:name="_Toc311407727"/>
      <w:bookmarkStart w:id="458" w:name="_Toc336325325"/>
      <w:bookmarkStart w:id="459" w:name="_Toc14252"/>
      <w:r>
        <w:rPr>
          <w:rFonts w:hint="eastAsia"/>
          <w:szCs w:val="30"/>
        </w:rPr>
        <w:t>第2节施工临时设施</w:t>
      </w:r>
      <w:bookmarkEnd w:id="457"/>
      <w:bookmarkEnd w:id="458"/>
      <w:bookmarkEnd w:id="459"/>
    </w:p>
    <w:p>
      <w:pPr>
        <w:pStyle w:val="6"/>
        <w:snapToGrid w:val="0"/>
        <w:spacing w:line="360" w:lineRule="exact"/>
        <w:rPr>
          <w:rStyle w:val="49"/>
          <w:rFonts w:hAnsi="宋体"/>
          <w:b/>
          <w:sz w:val="21"/>
          <w:szCs w:val="21"/>
        </w:rPr>
      </w:pPr>
      <w:bookmarkStart w:id="460" w:name="_Toc339983400"/>
      <w:bookmarkStart w:id="461" w:name="_Toc341965011"/>
      <w:bookmarkStart w:id="462" w:name="_Toc336255213"/>
      <w:bookmarkStart w:id="463" w:name="_Toc339482494"/>
      <w:bookmarkStart w:id="464" w:name="_Toc1763"/>
      <w:bookmarkStart w:id="465" w:name="_Toc339224628"/>
      <w:bookmarkStart w:id="466" w:name="_Toc336325326"/>
      <w:bookmarkStart w:id="467" w:name="_Toc282782358"/>
      <w:r>
        <w:rPr>
          <w:rStyle w:val="49"/>
          <w:rFonts w:hint="eastAsia" w:hAnsi="宋体"/>
          <w:b/>
          <w:sz w:val="21"/>
          <w:szCs w:val="21"/>
        </w:rPr>
        <w:t>2.1 一般规定</w:t>
      </w:r>
      <w:bookmarkEnd w:id="460"/>
      <w:bookmarkEnd w:id="461"/>
      <w:bookmarkEnd w:id="462"/>
      <w:bookmarkEnd w:id="463"/>
      <w:bookmarkEnd w:id="464"/>
      <w:bookmarkEnd w:id="465"/>
      <w:bookmarkEnd w:id="466"/>
    </w:p>
    <w:p>
      <w:pPr>
        <w:pStyle w:val="7"/>
        <w:snapToGrid w:val="0"/>
        <w:spacing w:line="360" w:lineRule="exact"/>
        <w:rPr>
          <w:rStyle w:val="47"/>
          <w:rFonts w:ascii="宋体" w:hAnsi="宋体"/>
          <w:color w:val="auto"/>
          <w:sz w:val="21"/>
          <w:szCs w:val="21"/>
        </w:rPr>
      </w:pPr>
      <w:r>
        <w:rPr>
          <w:rStyle w:val="47"/>
          <w:rFonts w:hint="eastAsia" w:ascii="宋体" w:hAnsi="宋体"/>
          <w:color w:val="auto"/>
          <w:sz w:val="21"/>
          <w:szCs w:val="21"/>
        </w:rPr>
        <w:t>2.1.1 应用范围</w:t>
      </w:r>
    </w:p>
    <w:p>
      <w:pPr>
        <w:snapToGrid w:val="0"/>
        <w:spacing w:line="360" w:lineRule="exact"/>
        <w:ind w:firstLine="420" w:firstLineChars="200"/>
        <w:rPr>
          <w:rFonts w:ascii="宋体" w:hAnsi="宋体"/>
          <w:sz w:val="21"/>
          <w:szCs w:val="21"/>
        </w:rPr>
      </w:pPr>
      <w:r>
        <w:rPr>
          <w:rFonts w:hint="eastAsia" w:ascii="宋体" w:hAnsi="宋体"/>
          <w:sz w:val="21"/>
          <w:szCs w:val="21"/>
        </w:rPr>
        <w:t>本章规定适用于本合同工程施工临时设施的设计、施工及其附属设备的采购和配置、安装、运</w:t>
      </w:r>
    </w:p>
    <w:p>
      <w:pPr>
        <w:snapToGrid w:val="0"/>
        <w:spacing w:line="360" w:lineRule="exact"/>
        <w:rPr>
          <w:rFonts w:ascii="宋体" w:hAnsi="宋体"/>
          <w:sz w:val="21"/>
          <w:szCs w:val="21"/>
        </w:rPr>
      </w:pPr>
      <w:r>
        <w:rPr>
          <w:rFonts w:hint="eastAsia" w:ascii="宋体" w:hAnsi="宋体"/>
          <w:sz w:val="21"/>
          <w:szCs w:val="21"/>
        </w:rPr>
        <w:t>行、维护、管理和拆除等全部工作。其工作项目包括：现场施工测量、现场试验、施工交通、施工</w:t>
      </w:r>
    </w:p>
    <w:p>
      <w:pPr>
        <w:snapToGrid w:val="0"/>
        <w:spacing w:line="360" w:lineRule="exact"/>
        <w:rPr>
          <w:rFonts w:ascii="宋体" w:hAnsi="宋体"/>
          <w:sz w:val="21"/>
          <w:szCs w:val="21"/>
        </w:rPr>
      </w:pPr>
      <w:r>
        <w:rPr>
          <w:rFonts w:hint="eastAsia" w:ascii="宋体" w:hAnsi="宋体"/>
          <w:sz w:val="21"/>
          <w:szCs w:val="21"/>
        </w:rPr>
        <w:t>供电、施工供水、施工供风、施工照明、施工通信、施工排水、砂石料加工系统、混凝土生产系统、</w:t>
      </w:r>
    </w:p>
    <w:p>
      <w:pPr>
        <w:snapToGrid w:val="0"/>
        <w:spacing w:line="360" w:lineRule="exact"/>
        <w:rPr>
          <w:rFonts w:ascii="宋体" w:cs="宋体"/>
          <w:sz w:val="21"/>
          <w:szCs w:val="21"/>
        </w:rPr>
      </w:pPr>
      <w:r>
        <w:rPr>
          <w:rFonts w:hint="eastAsia" w:ascii="宋体" w:hAnsi="宋体"/>
          <w:sz w:val="21"/>
          <w:szCs w:val="21"/>
        </w:rPr>
        <w:t>机械修配厂、加工厂、仓库、存料场、弃料场以及施工现场办公和生活建筑设施等</w:t>
      </w:r>
      <w:r>
        <w:rPr>
          <w:rFonts w:hint="eastAsia" w:ascii="宋体" w:cs="宋体"/>
          <w:sz w:val="21"/>
          <w:szCs w:val="21"/>
        </w:rPr>
        <w:t>。</w:t>
      </w:r>
    </w:p>
    <w:p>
      <w:pPr>
        <w:snapToGrid w:val="0"/>
        <w:spacing w:line="360" w:lineRule="exact"/>
        <w:rPr>
          <w:rStyle w:val="47"/>
          <w:rFonts w:ascii="宋体" w:hAnsi="宋体"/>
          <w:color w:val="auto"/>
          <w:sz w:val="21"/>
          <w:szCs w:val="21"/>
        </w:rPr>
      </w:pPr>
      <w:r>
        <w:rPr>
          <w:rStyle w:val="47"/>
          <w:rFonts w:hint="eastAsia" w:ascii="宋体" w:hAnsi="宋体"/>
          <w:color w:val="auto"/>
          <w:sz w:val="21"/>
          <w:szCs w:val="21"/>
        </w:rPr>
        <w:t>2.1.2 承包人责任</w:t>
      </w:r>
    </w:p>
    <w:p>
      <w:pPr>
        <w:snapToGrid w:val="0"/>
        <w:spacing w:line="360" w:lineRule="exact"/>
        <w:ind w:firstLine="420" w:firstLineChars="200"/>
        <w:rPr>
          <w:rFonts w:ascii="宋体" w:hAnsi="宋体"/>
          <w:sz w:val="21"/>
          <w:szCs w:val="21"/>
        </w:rPr>
      </w:pPr>
      <w:r>
        <w:rPr>
          <w:rFonts w:hint="eastAsia" w:ascii="宋体" w:hAnsi="宋体"/>
          <w:sz w:val="21"/>
          <w:szCs w:val="21"/>
        </w:rPr>
        <w:t>（1）承包人应按本章第2.2节、第2.3节的规定，负责本工程的现场施工测量和现场试验工作。并对其提供的测量和试验成果负全部责任。</w:t>
      </w:r>
    </w:p>
    <w:p>
      <w:pPr>
        <w:snapToGrid w:val="0"/>
        <w:spacing w:line="360" w:lineRule="exact"/>
        <w:ind w:firstLine="420" w:firstLineChars="200"/>
        <w:rPr>
          <w:rFonts w:ascii="宋体" w:hAnsi="宋体"/>
          <w:sz w:val="21"/>
          <w:szCs w:val="21"/>
        </w:rPr>
      </w:pPr>
      <w:r>
        <w:rPr>
          <w:rFonts w:hint="eastAsia" w:ascii="宋体" w:hAnsi="宋体"/>
          <w:sz w:val="21"/>
          <w:szCs w:val="21"/>
        </w:rPr>
        <w:t>（2）承包人应负责修建完成本章第2.4~2.13节所列的各项施工临时设施，并在各项永久工程建筑物施工前，完成全部施工临时设施及其附属设备的安装和试运行。</w:t>
      </w:r>
    </w:p>
    <w:p>
      <w:pPr>
        <w:snapToGrid w:val="0"/>
        <w:spacing w:line="360" w:lineRule="exact"/>
        <w:ind w:firstLine="420" w:firstLineChars="200"/>
        <w:rPr>
          <w:rFonts w:ascii="宋体" w:hAnsi="宋体"/>
          <w:sz w:val="21"/>
          <w:szCs w:val="21"/>
        </w:rPr>
      </w:pPr>
      <w:r>
        <w:rPr>
          <w:rFonts w:hint="eastAsia" w:ascii="宋体" w:hAnsi="宋体"/>
          <w:sz w:val="21"/>
          <w:szCs w:val="21"/>
        </w:rPr>
        <w:t>（3）承包人应按发包人提供的施工交通规划及本章第2.4节的规定，负责场内施工临时道路及其交通设施、设备的设计、施工、采购和配置、安装、运行和维护。</w:t>
      </w:r>
    </w:p>
    <w:p>
      <w:pPr>
        <w:snapToGrid w:val="0"/>
        <w:spacing w:line="360" w:lineRule="exact"/>
        <w:ind w:firstLine="420" w:firstLineChars="200"/>
        <w:rPr>
          <w:rFonts w:ascii="宋体" w:hAnsi="宋体"/>
          <w:sz w:val="21"/>
          <w:szCs w:val="21"/>
        </w:rPr>
      </w:pPr>
      <w:r>
        <w:rPr>
          <w:rFonts w:hint="eastAsia" w:ascii="宋体" w:hAnsi="宋体"/>
          <w:sz w:val="21"/>
          <w:szCs w:val="21"/>
        </w:rPr>
        <w:t>（4）承包人应按本章第2.5~2.8节的规定，负责设计和配置施工供水、供电、供风、通信等施工临时设施。</w:t>
      </w:r>
    </w:p>
    <w:p>
      <w:pPr>
        <w:snapToGrid w:val="0"/>
        <w:spacing w:line="360" w:lineRule="exact"/>
        <w:ind w:firstLine="420" w:firstLineChars="200"/>
        <w:rPr>
          <w:rFonts w:ascii="宋体" w:hAnsi="宋体"/>
          <w:sz w:val="21"/>
          <w:szCs w:val="21"/>
        </w:rPr>
      </w:pPr>
      <w:r>
        <w:rPr>
          <w:rFonts w:hint="eastAsia" w:ascii="宋体" w:hAnsi="宋体"/>
          <w:sz w:val="21"/>
          <w:szCs w:val="21"/>
        </w:rPr>
        <w:t>（5）承包人应按本章第2.10~2.12节的规定，负责设计、建造混凝土生产系统、钢筋加工、机械修配加工、汽车修理保养、仓储设施、弃渣场等的临时生产设施。</w:t>
      </w:r>
    </w:p>
    <w:p>
      <w:pPr>
        <w:snapToGrid w:val="0"/>
        <w:spacing w:line="360" w:lineRule="exact"/>
        <w:ind w:firstLine="420" w:firstLineChars="200"/>
        <w:rPr>
          <w:rFonts w:ascii="宋体" w:hAnsi="宋体"/>
          <w:sz w:val="21"/>
          <w:szCs w:val="21"/>
        </w:rPr>
      </w:pPr>
      <w:r>
        <w:rPr>
          <w:rFonts w:hint="eastAsia" w:ascii="宋体" w:hAnsi="宋体"/>
          <w:sz w:val="21"/>
          <w:szCs w:val="21"/>
        </w:rPr>
        <w:t>（6）承包人应按本章第2.13节的规定，负责现场办公和生活建筑等临时设施的规划、布置、设计、施工和维护，并应对现场办公和生活建筑物的使用安全负责。</w:t>
      </w:r>
    </w:p>
    <w:p>
      <w:pPr>
        <w:pStyle w:val="7"/>
        <w:snapToGrid w:val="0"/>
        <w:spacing w:line="360" w:lineRule="exact"/>
        <w:rPr>
          <w:rStyle w:val="47"/>
          <w:rFonts w:ascii="宋体" w:hAnsi="宋体"/>
          <w:color w:val="auto"/>
          <w:sz w:val="21"/>
          <w:szCs w:val="21"/>
        </w:rPr>
      </w:pPr>
      <w:r>
        <w:rPr>
          <w:rStyle w:val="47"/>
          <w:rFonts w:hint="eastAsia" w:ascii="宋体" w:hAnsi="宋体"/>
          <w:color w:val="auto"/>
          <w:sz w:val="21"/>
          <w:szCs w:val="21"/>
        </w:rPr>
        <w:t>2.1.3 主要提交件</w:t>
      </w:r>
    </w:p>
    <w:p>
      <w:pPr>
        <w:snapToGrid w:val="0"/>
        <w:spacing w:line="360" w:lineRule="exact"/>
        <w:ind w:firstLine="420" w:firstLineChars="200"/>
        <w:rPr>
          <w:rFonts w:ascii="宋体" w:hAnsi="宋体"/>
          <w:sz w:val="21"/>
          <w:szCs w:val="21"/>
        </w:rPr>
      </w:pPr>
      <w:r>
        <w:rPr>
          <w:rFonts w:hint="eastAsia" w:ascii="宋体" w:hAnsi="宋体"/>
          <w:sz w:val="21"/>
          <w:szCs w:val="21"/>
        </w:rPr>
        <w:t>承包人应按本技术条款第1.4.2条，以及批准的施工总布置设计和本章第2.4~2.15节的规定，编制各项施工临时设施的设计文件，提交监理人批准。其内容包括：</w:t>
      </w:r>
    </w:p>
    <w:p>
      <w:pPr>
        <w:snapToGrid w:val="0"/>
        <w:spacing w:line="360" w:lineRule="exact"/>
        <w:ind w:firstLine="420" w:firstLineChars="200"/>
        <w:rPr>
          <w:rFonts w:ascii="宋体" w:hAnsi="宋体"/>
          <w:sz w:val="21"/>
          <w:szCs w:val="21"/>
        </w:rPr>
      </w:pPr>
      <w:r>
        <w:rPr>
          <w:rFonts w:hint="eastAsia" w:ascii="宋体" w:hAnsi="宋体"/>
          <w:sz w:val="21"/>
          <w:szCs w:val="21"/>
        </w:rPr>
        <w:t>（1）施工临时设施布置图；</w:t>
      </w:r>
    </w:p>
    <w:p>
      <w:pPr>
        <w:snapToGrid w:val="0"/>
        <w:spacing w:line="360" w:lineRule="exact"/>
        <w:ind w:firstLine="420" w:firstLineChars="200"/>
        <w:rPr>
          <w:rFonts w:ascii="宋体" w:hAnsi="宋体"/>
          <w:sz w:val="21"/>
          <w:szCs w:val="21"/>
        </w:rPr>
      </w:pPr>
      <w:r>
        <w:rPr>
          <w:rFonts w:hint="eastAsia" w:ascii="宋体" w:hAnsi="宋体"/>
          <w:sz w:val="21"/>
          <w:szCs w:val="21"/>
        </w:rPr>
        <w:t>（2）施工工艺流程和（或）施工程序说明；</w:t>
      </w:r>
    </w:p>
    <w:p>
      <w:pPr>
        <w:snapToGrid w:val="0"/>
        <w:spacing w:line="360" w:lineRule="exact"/>
        <w:ind w:firstLine="420" w:firstLineChars="200"/>
        <w:rPr>
          <w:rFonts w:ascii="宋体" w:hAnsi="宋体"/>
          <w:sz w:val="21"/>
          <w:szCs w:val="21"/>
        </w:rPr>
      </w:pPr>
      <w:r>
        <w:rPr>
          <w:rFonts w:hint="eastAsia" w:ascii="宋体" w:hAnsi="宋体"/>
          <w:sz w:val="21"/>
          <w:szCs w:val="21"/>
        </w:rPr>
        <w:t>（3）安全和环境保护措施；</w:t>
      </w:r>
    </w:p>
    <w:p>
      <w:pPr>
        <w:snapToGrid w:val="0"/>
        <w:spacing w:line="360" w:lineRule="exact"/>
        <w:ind w:firstLine="420" w:firstLineChars="200"/>
        <w:rPr>
          <w:rFonts w:ascii="宋体" w:hAnsi="宋体"/>
          <w:sz w:val="21"/>
          <w:szCs w:val="21"/>
        </w:rPr>
      </w:pPr>
      <w:r>
        <w:rPr>
          <w:rFonts w:hint="eastAsia" w:ascii="宋体" w:hAnsi="宋体"/>
          <w:sz w:val="21"/>
          <w:szCs w:val="21"/>
        </w:rPr>
        <w:t>（4）施工期运行管理方式。</w:t>
      </w:r>
    </w:p>
    <w:p>
      <w:pPr>
        <w:pStyle w:val="7"/>
        <w:snapToGrid w:val="0"/>
        <w:spacing w:line="360" w:lineRule="exact"/>
        <w:rPr>
          <w:rStyle w:val="47"/>
          <w:rFonts w:ascii="宋体" w:hAnsi="宋体"/>
          <w:color w:val="auto"/>
          <w:sz w:val="21"/>
          <w:szCs w:val="21"/>
        </w:rPr>
      </w:pPr>
      <w:r>
        <w:rPr>
          <w:rStyle w:val="47"/>
          <w:rFonts w:hint="eastAsia" w:ascii="宋体" w:hAnsi="宋体"/>
          <w:color w:val="auto"/>
          <w:sz w:val="21"/>
          <w:szCs w:val="21"/>
        </w:rPr>
        <w:t>2.1.4 引用标准</w:t>
      </w:r>
    </w:p>
    <w:p>
      <w:pPr>
        <w:snapToGrid w:val="0"/>
        <w:spacing w:line="360" w:lineRule="exact"/>
        <w:ind w:firstLine="420" w:firstLineChars="200"/>
        <w:rPr>
          <w:rFonts w:ascii="宋体" w:hAnsi="宋体"/>
          <w:sz w:val="21"/>
          <w:szCs w:val="21"/>
        </w:rPr>
      </w:pPr>
      <w:r>
        <w:rPr>
          <w:rFonts w:hint="eastAsia" w:ascii="宋体" w:hAnsi="宋体"/>
          <w:sz w:val="21"/>
          <w:szCs w:val="21"/>
        </w:rPr>
        <w:t>（1）《生活饮用水卫生标准》（GB 5749-2006）；</w:t>
      </w:r>
    </w:p>
    <w:p>
      <w:pPr>
        <w:snapToGrid w:val="0"/>
        <w:spacing w:line="360" w:lineRule="exact"/>
        <w:ind w:firstLine="420" w:firstLineChars="200"/>
        <w:rPr>
          <w:rFonts w:ascii="宋体" w:hAnsi="宋体"/>
          <w:sz w:val="21"/>
          <w:szCs w:val="21"/>
        </w:rPr>
      </w:pPr>
      <w:r>
        <w:rPr>
          <w:rFonts w:hint="eastAsia" w:ascii="宋体" w:hAnsi="宋体"/>
          <w:sz w:val="21"/>
          <w:szCs w:val="21"/>
        </w:rPr>
        <w:t>（2）《水工建筑物地下开挖工程施工规范》（SL 378-2007）；</w:t>
      </w:r>
    </w:p>
    <w:p>
      <w:pPr>
        <w:snapToGrid w:val="0"/>
        <w:spacing w:line="360" w:lineRule="exact"/>
        <w:ind w:firstLine="420" w:firstLineChars="200"/>
        <w:rPr>
          <w:rFonts w:ascii="宋体" w:hAnsi="宋体"/>
          <w:sz w:val="21"/>
          <w:szCs w:val="21"/>
        </w:rPr>
      </w:pPr>
      <w:r>
        <w:rPr>
          <w:rFonts w:hint="eastAsia" w:ascii="宋体" w:hAnsi="宋体"/>
          <w:sz w:val="21"/>
          <w:szCs w:val="21"/>
        </w:rPr>
        <w:t>（3）《水利水电工程施工组织设计规范》（SL 303-2017) ；</w:t>
      </w:r>
    </w:p>
    <w:p>
      <w:pPr>
        <w:snapToGrid w:val="0"/>
        <w:spacing w:line="360" w:lineRule="exact"/>
        <w:ind w:firstLine="420" w:firstLineChars="200"/>
        <w:rPr>
          <w:rFonts w:ascii="宋体" w:hAnsi="宋体"/>
          <w:sz w:val="21"/>
          <w:szCs w:val="21"/>
        </w:rPr>
      </w:pPr>
      <w:r>
        <w:rPr>
          <w:rFonts w:hint="eastAsia" w:ascii="宋体" w:hAnsi="宋体"/>
          <w:sz w:val="21"/>
          <w:szCs w:val="21"/>
        </w:rPr>
        <w:t>（4）《水利水电工程施工测量规范》（SL 52-2015）。</w:t>
      </w:r>
    </w:p>
    <w:p>
      <w:pPr>
        <w:pStyle w:val="6"/>
        <w:snapToGrid w:val="0"/>
        <w:spacing w:line="360" w:lineRule="exact"/>
        <w:rPr>
          <w:rStyle w:val="49"/>
          <w:rFonts w:hAnsi="宋体"/>
          <w:b/>
          <w:sz w:val="21"/>
          <w:szCs w:val="21"/>
        </w:rPr>
      </w:pPr>
      <w:bookmarkStart w:id="468" w:name="_Toc341965012"/>
      <w:bookmarkStart w:id="469" w:name="_Toc13593"/>
      <w:bookmarkStart w:id="470" w:name="_Toc336325327"/>
      <w:bookmarkStart w:id="471" w:name="_Toc339983401"/>
      <w:bookmarkStart w:id="472" w:name="_Toc339224629"/>
      <w:bookmarkStart w:id="473" w:name="_Toc339482495"/>
      <w:bookmarkStart w:id="474" w:name="_Toc336255214"/>
      <w:r>
        <w:rPr>
          <w:rStyle w:val="49"/>
          <w:rFonts w:hint="eastAsia" w:hAnsi="宋体"/>
          <w:b/>
          <w:sz w:val="21"/>
          <w:szCs w:val="21"/>
        </w:rPr>
        <w:t>2.2 现场施工测量</w:t>
      </w:r>
      <w:bookmarkEnd w:id="468"/>
      <w:bookmarkEnd w:id="469"/>
      <w:bookmarkEnd w:id="470"/>
      <w:bookmarkEnd w:id="471"/>
      <w:bookmarkEnd w:id="472"/>
      <w:bookmarkEnd w:id="473"/>
      <w:bookmarkEnd w:id="474"/>
    </w:p>
    <w:p>
      <w:pPr>
        <w:snapToGrid w:val="0"/>
        <w:spacing w:line="360" w:lineRule="exact"/>
        <w:ind w:firstLine="420" w:firstLineChars="200"/>
        <w:rPr>
          <w:rFonts w:ascii="宋体" w:hAnsi="宋体"/>
          <w:sz w:val="21"/>
          <w:szCs w:val="21"/>
        </w:rPr>
      </w:pPr>
      <w:r>
        <w:rPr>
          <w:rFonts w:hint="eastAsia" w:ascii="宋体" w:hAnsi="宋体"/>
          <w:sz w:val="21"/>
          <w:szCs w:val="21"/>
        </w:rPr>
        <w:t>承包人应按本合同通用合同条款第8.1~8.4款的规定执行。</w:t>
      </w:r>
    </w:p>
    <w:p>
      <w:pPr>
        <w:pStyle w:val="6"/>
        <w:snapToGrid w:val="0"/>
        <w:spacing w:line="360" w:lineRule="exact"/>
        <w:rPr>
          <w:rStyle w:val="49"/>
          <w:rFonts w:hAnsi="宋体"/>
          <w:b/>
          <w:sz w:val="21"/>
          <w:szCs w:val="21"/>
        </w:rPr>
      </w:pPr>
      <w:bookmarkStart w:id="475" w:name="_Toc12117"/>
      <w:bookmarkStart w:id="476" w:name="_Toc341965013"/>
      <w:bookmarkStart w:id="477" w:name="_Toc336255215"/>
      <w:bookmarkStart w:id="478" w:name="_Toc339224630"/>
      <w:bookmarkStart w:id="479" w:name="_Toc339983402"/>
      <w:bookmarkStart w:id="480" w:name="_Toc336325328"/>
      <w:bookmarkStart w:id="481" w:name="_Toc339482496"/>
      <w:r>
        <w:rPr>
          <w:rStyle w:val="49"/>
          <w:rFonts w:hint="eastAsia" w:hAnsi="宋体"/>
          <w:b/>
          <w:sz w:val="21"/>
          <w:szCs w:val="21"/>
        </w:rPr>
        <w:t>2.3 现场试验</w:t>
      </w:r>
      <w:bookmarkEnd w:id="475"/>
      <w:bookmarkEnd w:id="476"/>
      <w:bookmarkEnd w:id="477"/>
      <w:bookmarkEnd w:id="478"/>
      <w:bookmarkEnd w:id="479"/>
      <w:bookmarkEnd w:id="480"/>
      <w:bookmarkEnd w:id="481"/>
    </w:p>
    <w:p>
      <w:pPr>
        <w:snapToGrid w:val="0"/>
        <w:spacing w:line="360" w:lineRule="exact"/>
        <w:ind w:firstLine="420" w:firstLineChars="200"/>
        <w:rPr>
          <w:rFonts w:ascii="宋体" w:hAnsi="宋体"/>
          <w:sz w:val="21"/>
          <w:szCs w:val="21"/>
        </w:rPr>
      </w:pPr>
      <w:r>
        <w:rPr>
          <w:rFonts w:hint="eastAsia" w:ascii="宋体" w:hAnsi="宋体"/>
          <w:sz w:val="21"/>
          <w:szCs w:val="21"/>
        </w:rPr>
        <w:t>承包人应按本合同通用合同条款第14.2款、第14.3款的规定执行。</w:t>
      </w:r>
    </w:p>
    <w:p>
      <w:pPr>
        <w:pStyle w:val="6"/>
        <w:snapToGrid w:val="0"/>
        <w:spacing w:line="360" w:lineRule="exact"/>
        <w:rPr>
          <w:rStyle w:val="49"/>
          <w:rFonts w:hAnsi="宋体"/>
          <w:b/>
          <w:sz w:val="21"/>
          <w:szCs w:val="21"/>
        </w:rPr>
      </w:pPr>
      <w:bookmarkStart w:id="482" w:name="_Toc341965014"/>
      <w:bookmarkStart w:id="483" w:name="_Toc26807"/>
      <w:bookmarkStart w:id="484" w:name="_Toc336325329"/>
      <w:bookmarkStart w:id="485" w:name="_Toc339482497"/>
      <w:bookmarkStart w:id="486" w:name="_Toc339224631"/>
      <w:bookmarkStart w:id="487" w:name="_Toc336255216"/>
      <w:bookmarkStart w:id="488" w:name="_Toc339983403"/>
      <w:r>
        <w:rPr>
          <w:rStyle w:val="49"/>
          <w:rFonts w:hint="eastAsia" w:hAnsi="宋体"/>
          <w:b/>
          <w:sz w:val="21"/>
          <w:szCs w:val="21"/>
        </w:rPr>
        <w:t>2.4 施工交通</w:t>
      </w:r>
      <w:bookmarkEnd w:id="482"/>
      <w:bookmarkEnd w:id="483"/>
      <w:bookmarkEnd w:id="484"/>
      <w:bookmarkEnd w:id="485"/>
      <w:bookmarkEnd w:id="486"/>
      <w:bookmarkEnd w:id="487"/>
      <w:bookmarkEnd w:id="488"/>
    </w:p>
    <w:p>
      <w:pPr>
        <w:pStyle w:val="7"/>
        <w:snapToGrid w:val="0"/>
        <w:spacing w:line="360" w:lineRule="exact"/>
        <w:rPr>
          <w:rStyle w:val="47"/>
          <w:rFonts w:ascii="宋体" w:hAnsi="宋体"/>
          <w:color w:val="auto"/>
          <w:sz w:val="21"/>
          <w:szCs w:val="21"/>
        </w:rPr>
      </w:pPr>
      <w:r>
        <w:rPr>
          <w:rStyle w:val="47"/>
          <w:rFonts w:hint="eastAsia" w:ascii="宋体" w:hAnsi="宋体"/>
          <w:color w:val="auto"/>
          <w:sz w:val="21"/>
          <w:szCs w:val="21"/>
        </w:rPr>
        <w:t>2.4.1 场内施工道路</w:t>
      </w:r>
    </w:p>
    <w:p>
      <w:pPr>
        <w:snapToGrid w:val="0"/>
        <w:spacing w:line="360" w:lineRule="exact"/>
        <w:ind w:firstLine="420" w:firstLineChars="200"/>
        <w:rPr>
          <w:rFonts w:ascii="宋体" w:hAnsi="宋体"/>
          <w:sz w:val="21"/>
          <w:szCs w:val="21"/>
        </w:rPr>
      </w:pPr>
      <w:r>
        <w:rPr>
          <w:rFonts w:hint="eastAsia" w:ascii="宋体" w:hAnsi="宋体"/>
          <w:sz w:val="21"/>
          <w:szCs w:val="21"/>
        </w:rPr>
        <w:t>(1)除本合同约定由发包人提供的施工道路外，承包人应负责修建本合同施工区内的全部施工</w:t>
      </w:r>
    </w:p>
    <w:p>
      <w:pPr>
        <w:snapToGrid w:val="0"/>
        <w:spacing w:line="360" w:lineRule="exact"/>
        <w:rPr>
          <w:rFonts w:ascii="宋体" w:hAnsi="宋体"/>
          <w:sz w:val="21"/>
          <w:szCs w:val="21"/>
        </w:rPr>
      </w:pPr>
      <w:r>
        <w:rPr>
          <w:rFonts w:hint="eastAsia" w:ascii="宋体" w:hAnsi="宋体"/>
          <w:sz w:val="21"/>
          <w:szCs w:val="21"/>
        </w:rPr>
        <w:t>道路、桥涵和停车场，并在合同实施期间负责管理和维护。</w:t>
      </w:r>
    </w:p>
    <w:p>
      <w:pPr>
        <w:snapToGrid w:val="0"/>
        <w:spacing w:line="360" w:lineRule="exact"/>
        <w:ind w:firstLine="420" w:firstLineChars="200"/>
        <w:rPr>
          <w:rFonts w:ascii="宋体" w:hAnsi="宋体"/>
          <w:sz w:val="21"/>
          <w:szCs w:val="21"/>
        </w:rPr>
      </w:pPr>
      <w:r>
        <w:rPr>
          <w:rFonts w:hint="eastAsia" w:ascii="宋体" w:hAnsi="宋体"/>
          <w:sz w:val="21"/>
          <w:szCs w:val="21"/>
        </w:rPr>
        <w:t>(2) 承包人修建道路应做好路基和路面的排水设施，进行洒水除尘，将施工作业的扬尘公害减少至最低程度。</w:t>
      </w:r>
    </w:p>
    <w:p>
      <w:pPr>
        <w:snapToGrid w:val="0"/>
        <w:spacing w:line="360" w:lineRule="exact"/>
        <w:ind w:firstLine="404" w:firstLineChars="200"/>
        <w:rPr>
          <w:rFonts w:ascii="宋体" w:hAnsi="宋体"/>
          <w:spacing w:val="-4"/>
          <w:sz w:val="21"/>
          <w:szCs w:val="21"/>
        </w:rPr>
      </w:pPr>
      <w:r>
        <w:rPr>
          <w:rFonts w:hint="eastAsia" w:ascii="宋体" w:hAnsi="宋体"/>
          <w:spacing w:val="-4"/>
          <w:sz w:val="21"/>
          <w:szCs w:val="21"/>
        </w:rPr>
        <w:t>(3) 承包人修建道路不应危害邻近道路两侧的农田和民舍，维护好道路两侧的开挖和填筑边坡。</w:t>
      </w:r>
    </w:p>
    <w:p>
      <w:pPr>
        <w:snapToGrid w:val="0"/>
        <w:spacing w:line="360" w:lineRule="exact"/>
        <w:ind w:firstLine="420" w:firstLineChars="200"/>
        <w:rPr>
          <w:rFonts w:ascii="宋体" w:hAnsi="宋体"/>
          <w:sz w:val="21"/>
          <w:szCs w:val="21"/>
        </w:rPr>
      </w:pPr>
      <w:r>
        <w:rPr>
          <w:rFonts w:hint="eastAsia" w:ascii="宋体" w:hAnsi="宋体"/>
          <w:sz w:val="21"/>
          <w:szCs w:val="21"/>
        </w:rPr>
        <w:t>(4) 本合同承包人负责修建的施工道路、桥涵和停车场，应免费提供发包人和监理人使用，其他承包人需要使用时，应按本合同《通用合同条款》的有关规定办理。</w:t>
      </w:r>
    </w:p>
    <w:p>
      <w:pPr>
        <w:pStyle w:val="7"/>
        <w:snapToGrid w:val="0"/>
        <w:spacing w:line="360" w:lineRule="exact"/>
        <w:rPr>
          <w:rStyle w:val="47"/>
          <w:rFonts w:ascii="宋体" w:hAnsi="宋体"/>
          <w:color w:val="auto"/>
          <w:sz w:val="21"/>
          <w:szCs w:val="21"/>
        </w:rPr>
      </w:pPr>
      <w:r>
        <w:rPr>
          <w:rStyle w:val="47"/>
          <w:rFonts w:hint="eastAsia" w:ascii="宋体" w:hAnsi="宋体"/>
          <w:color w:val="auto"/>
          <w:sz w:val="21"/>
          <w:szCs w:val="21"/>
        </w:rPr>
        <w:t>2.4.2 场外公共交通</w:t>
      </w:r>
    </w:p>
    <w:p>
      <w:pPr>
        <w:snapToGrid w:val="0"/>
        <w:spacing w:line="360" w:lineRule="exact"/>
        <w:ind w:firstLine="420" w:firstLineChars="200"/>
        <w:rPr>
          <w:rFonts w:ascii="宋体" w:hAnsi="宋体"/>
          <w:sz w:val="21"/>
          <w:szCs w:val="21"/>
        </w:rPr>
      </w:pPr>
      <w:r>
        <w:rPr>
          <w:rFonts w:hint="eastAsia" w:ascii="宋体" w:hAnsi="宋体"/>
          <w:sz w:val="21"/>
          <w:szCs w:val="21"/>
        </w:rPr>
        <w:t>承包人应按本合同通用合同条款第7.3~7.5款的规定执行。</w:t>
      </w:r>
    </w:p>
    <w:p>
      <w:pPr>
        <w:pStyle w:val="6"/>
        <w:snapToGrid w:val="0"/>
        <w:spacing w:line="360" w:lineRule="exact"/>
        <w:rPr>
          <w:rStyle w:val="49"/>
          <w:rFonts w:hAnsi="宋体"/>
          <w:b/>
          <w:sz w:val="21"/>
          <w:szCs w:val="21"/>
        </w:rPr>
      </w:pPr>
      <w:bookmarkStart w:id="489" w:name="_Toc336255217"/>
      <w:bookmarkStart w:id="490" w:name="_Toc339482498"/>
      <w:bookmarkStart w:id="491" w:name="_Toc339983404"/>
      <w:bookmarkStart w:id="492" w:name="_Toc336325330"/>
      <w:bookmarkStart w:id="493" w:name="_Toc341965015"/>
      <w:bookmarkStart w:id="494" w:name="_Toc24639"/>
      <w:bookmarkStart w:id="495" w:name="_Toc339224632"/>
      <w:r>
        <w:rPr>
          <w:rStyle w:val="49"/>
          <w:rFonts w:hint="eastAsia" w:hAnsi="宋体"/>
          <w:b/>
          <w:sz w:val="21"/>
          <w:szCs w:val="21"/>
        </w:rPr>
        <w:t>2.5 施工供电</w:t>
      </w:r>
      <w:bookmarkEnd w:id="489"/>
      <w:bookmarkEnd w:id="490"/>
      <w:bookmarkEnd w:id="491"/>
      <w:bookmarkEnd w:id="492"/>
      <w:bookmarkEnd w:id="493"/>
      <w:bookmarkEnd w:id="494"/>
      <w:bookmarkEnd w:id="495"/>
    </w:p>
    <w:p>
      <w:pPr>
        <w:pStyle w:val="4"/>
        <w:ind w:firstLine="0"/>
        <w:rPr>
          <w:b/>
        </w:rPr>
      </w:pPr>
      <w:r>
        <w:rPr>
          <w:rFonts w:hint="eastAsia"/>
          <w:b/>
        </w:rPr>
        <w:t>2.5.1施工电源</w:t>
      </w:r>
    </w:p>
    <w:p>
      <w:pPr>
        <w:pStyle w:val="4"/>
      </w:pPr>
      <w:r>
        <w:rPr>
          <w:rFonts w:ascii="宋体" w:cs="宋体"/>
          <w:sz w:val="21"/>
          <w:szCs w:val="21"/>
        </w:rPr>
        <w:t>(1)</w:t>
      </w:r>
      <w:r>
        <w:rPr>
          <w:rFonts w:hint="eastAsia" w:ascii="宋体" w:cs="宋体"/>
          <w:sz w:val="21"/>
          <w:szCs w:val="21"/>
        </w:rPr>
        <w:t>除合同另有约定外，本项目施工用电电源由承包人自行负责。</w:t>
      </w:r>
    </w:p>
    <w:p>
      <w:pPr>
        <w:snapToGrid w:val="0"/>
        <w:spacing w:line="360" w:lineRule="exact"/>
        <w:ind w:firstLine="420" w:firstLineChars="200"/>
        <w:rPr>
          <w:rFonts w:ascii="宋体" w:hAnsi="宋体"/>
          <w:sz w:val="21"/>
          <w:szCs w:val="21"/>
        </w:rPr>
      </w:pPr>
      <w:r>
        <w:rPr>
          <w:rFonts w:hint="eastAsia" w:ascii="宋体" w:hAnsi="宋体"/>
          <w:sz w:val="21"/>
          <w:szCs w:val="21"/>
        </w:rPr>
        <w:t xml:space="preserve"> (2) 承包人应负责设计、施工、采购、安装、调试、管理和维修由发包人指定的地点至所有施工区和生活区的输电线路及其全部配电装置和功率补偿装置，并在工程实施期间，负责保管业主提供的变压器。</w:t>
      </w:r>
    </w:p>
    <w:p>
      <w:pPr>
        <w:snapToGrid w:val="0"/>
        <w:spacing w:line="360" w:lineRule="exact"/>
        <w:ind w:firstLine="420" w:firstLineChars="200"/>
        <w:rPr>
          <w:rFonts w:ascii="宋体" w:hAnsi="宋体"/>
          <w:sz w:val="21"/>
          <w:szCs w:val="21"/>
        </w:rPr>
      </w:pPr>
      <w:r>
        <w:rPr>
          <w:rFonts w:hint="eastAsia" w:ascii="宋体" w:hAnsi="宋体"/>
          <w:sz w:val="21"/>
          <w:szCs w:val="21"/>
        </w:rPr>
        <w:t>(3) 除合同另有规定外，承包人应按本合同《通用合同条款》的有关规定和监理人的指示，为进入现场的其他承包人提供用电方便。</w:t>
      </w:r>
    </w:p>
    <w:p>
      <w:pPr>
        <w:snapToGrid w:val="0"/>
        <w:spacing w:line="360" w:lineRule="exact"/>
        <w:ind w:firstLine="420" w:firstLineChars="200"/>
        <w:rPr>
          <w:rFonts w:ascii="宋体" w:hAnsi="宋体"/>
          <w:sz w:val="21"/>
          <w:szCs w:val="21"/>
        </w:rPr>
      </w:pPr>
      <w:r>
        <w:rPr>
          <w:rFonts w:hint="eastAsia" w:ascii="宋体" w:hAnsi="宋体"/>
          <w:sz w:val="21"/>
          <w:szCs w:val="21"/>
        </w:rPr>
        <w:t>(4) 承包人应为其出现停电事故后急需恢复用电的重要工程部位（如地下工程照明和排水、基</w:t>
      </w:r>
    </w:p>
    <w:p>
      <w:pPr>
        <w:snapToGrid w:val="0"/>
        <w:spacing w:line="360" w:lineRule="exact"/>
        <w:rPr>
          <w:rFonts w:ascii="宋体" w:hAnsi="宋体"/>
          <w:sz w:val="21"/>
          <w:szCs w:val="21"/>
        </w:rPr>
      </w:pPr>
      <w:r>
        <w:rPr>
          <w:rFonts w:hint="eastAsia" w:ascii="宋体" w:hAnsi="宋体"/>
          <w:sz w:val="21"/>
          <w:szCs w:val="21"/>
        </w:rPr>
        <w:t>坑抽水、补救中断的混凝土浇筑、混凝土温控冷却水、办公和生活区的安全照明等）配备一定容量的事故备用电源，为紧急供电之用。承包人应负责电网不能正常供电或备用电源出现故障所引起的损失。</w:t>
      </w:r>
    </w:p>
    <w:p>
      <w:pPr>
        <w:jc w:val="left"/>
        <w:textAlignment w:val="auto"/>
        <w:rPr>
          <w:rFonts w:ascii="宋体" w:cs="宋体"/>
          <w:b/>
          <w:sz w:val="21"/>
          <w:szCs w:val="21"/>
        </w:rPr>
      </w:pPr>
      <w:r>
        <w:rPr>
          <w:rFonts w:ascii="宋体" w:cs="宋体"/>
          <w:b/>
          <w:sz w:val="21"/>
          <w:szCs w:val="21"/>
        </w:rPr>
        <w:t xml:space="preserve">2.5.2 </w:t>
      </w:r>
      <w:r>
        <w:rPr>
          <w:rFonts w:hint="eastAsia" w:ascii="宋体" w:cs="宋体"/>
          <w:b/>
          <w:sz w:val="21"/>
          <w:szCs w:val="21"/>
        </w:rPr>
        <w:t>施工用电计划</w:t>
      </w:r>
    </w:p>
    <w:p>
      <w:pPr>
        <w:ind w:firstLine="315" w:firstLineChars="150"/>
        <w:jc w:val="left"/>
        <w:textAlignment w:val="auto"/>
        <w:rPr>
          <w:rFonts w:ascii="宋体" w:cs="宋体"/>
          <w:sz w:val="21"/>
          <w:szCs w:val="21"/>
        </w:rPr>
      </w:pPr>
      <w:r>
        <w:rPr>
          <w:rFonts w:hint="eastAsia" w:ascii="宋体" w:cs="宋体"/>
          <w:sz w:val="21"/>
          <w:szCs w:val="21"/>
        </w:rPr>
        <w:t>承包人应在每年末、每季开始前</w:t>
      </w:r>
      <w:r>
        <w:rPr>
          <w:rFonts w:ascii="宋体" w:cs="宋体"/>
          <w:sz w:val="21"/>
          <w:szCs w:val="21"/>
          <w:u w:val="single"/>
        </w:rPr>
        <w:t>28</w:t>
      </w:r>
      <w:r>
        <w:rPr>
          <w:rFonts w:hint="eastAsia" w:ascii="宋体" w:cs="宋体"/>
          <w:sz w:val="21"/>
          <w:szCs w:val="21"/>
        </w:rPr>
        <w:t>天向监理人提供下一年、各季度和各月的施工用电计划，并</w:t>
      </w:r>
    </w:p>
    <w:p>
      <w:pPr>
        <w:snapToGrid w:val="0"/>
        <w:spacing w:line="360" w:lineRule="exact"/>
        <w:rPr>
          <w:rFonts w:ascii="宋体" w:hAnsi="宋体"/>
          <w:sz w:val="21"/>
          <w:szCs w:val="21"/>
        </w:rPr>
      </w:pPr>
      <w:r>
        <w:rPr>
          <w:rFonts w:hint="eastAsia" w:ascii="宋体" w:cs="宋体"/>
          <w:sz w:val="21"/>
          <w:szCs w:val="21"/>
        </w:rPr>
        <w:t>按监理人批准的用电计划执行。</w:t>
      </w:r>
    </w:p>
    <w:p>
      <w:pPr>
        <w:pStyle w:val="6"/>
        <w:snapToGrid w:val="0"/>
        <w:spacing w:line="360" w:lineRule="exact"/>
        <w:rPr>
          <w:rStyle w:val="49"/>
          <w:rFonts w:hAnsi="宋体"/>
          <w:b/>
          <w:sz w:val="21"/>
          <w:szCs w:val="21"/>
        </w:rPr>
      </w:pPr>
      <w:bookmarkStart w:id="496" w:name="_Toc336325331"/>
      <w:bookmarkStart w:id="497" w:name="_Toc339983405"/>
      <w:bookmarkStart w:id="498" w:name="_Toc341965016"/>
      <w:bookmarkStart w:id="499" w:name="_Toc336255218"/>
      <w:bookmarkStart w:id="500" w:name="_Toc339482499"/>
      <w:bookmarkStart w:id="501" w:name="_Toc339224633"/>
      <w:bookmarkStart w:id="502" w:name="_Toc31438"/>
      <w:r>
        <w:rPr>
          <w:rStyle w:val="49"/>
          <w:rFonts w:hint="eastAsia" w:hAnsi="宋体"/>
          <w:b/>
          <w:sz w:val="21"/>
          <w:szCs w:val="21"/>
        </w:rPr>
        <w:t>2.6 施工供水</w:t>
      </w:r>
      <w:bookmarkEnd w:id="496"/>
      <w:bookmarkEnd w:id="497"/>
      <w:bookmarkEnd w:id="498"/>
      <w:bookmarkEnd w:id="499"/>
      <w:bookmarkEnd w:id="500"/>
      <w:bookmarkEnd w:id="501"/>
      <w:bookmarkEnd w:id="502"/>
    </w:p>
    <w:p>
      <w:pPr>
        <w:snapToGrid w:val="0"/>
        <w:spacing w:line="360" w:lineRule="exact"/>
        <w:ind w:firstLine="420" w:firstLineChars="200"/>
        <w:rPr>
          <w:rFonts w:ascii="宋体" w:hAnsi="宋体"/>
          <w:sz w:val="21"/>
          <w:szCs w:val="21"/>
        </w:rPr>
      </w:pPr>
      <w:r>
        <w:rPr>
          <w:rFonts w:hint="eastAsia" w:ascii="宋体" w:hAnsi="宋体"/>
          <w:snapToGrid w:val="0"/>
          <w:sz w:val="21"/>
          <w:szCs w:val="21"/>
        </w:rPr>
        <w:t>(1) 除合同另有规定外，承包人应负责提供本工程施工和生活用水，</w:t>
      </w:r>
      <w:r>
        <w:rPr>
          <w:rFonts w:hint="eastAsia" w:ascii="宋体" w:hAnsi="宋体"/>
          <w:sz w:val="21"/>
          <w:szCs w:val="21"/>
        </w:rPr>
        <w:t>水质应符合GB 5749-2006有关的规定。</w:t>
      </w:r>
    </w:p>
    <w:p>
      <w:pPr>
        <w:snapToGrid w:val="0"/>
        <w:spacing w:line="360" w:lineRule="exact"/>
        <w:ind w:firstLine="420" w:firstLineChars="200"/>
        <w:rPr>
          <w:rFonts w:ascii="宋体" w:hAnsi="宋体"/>
          <w:sz w:val="21"/>
          <w:szCs w:val="21"/>
        </w:rPr>
      </w:pPr>
      <w:r>
        <w:rPr>
          <w:rFonts w:hint="eastAsia" w:ascii="宋体" w:hAnsi="宋体"/>
          <w:sz w:val="21"/>
          <w:szCs w:val="21"/>
        </w:rPr>
        <w:t>（</w:t>
      </w:r>
      <w:r>
        <w:rPr>
          <w:rFonts w:ascii="宋体" w:hAnsi="宋体"/>
          <w:sz w:val="21"/>
          <w:szCs w:val="21"/>
        </w:rPr>
        <w:t>2</w:t>
      </w:r>
      <w:r>
        <w:rPr>
          <w:rFonts w:hint="eastAsia" w:ascii="宋体" w:hAnsi="宋体"/>
          <w:sz w:val="21"/>
          <w:szCs w:val="21"/>
        </w:rPr>
        <w:t>）承包人应按合同规定负责设计、施工、采购、安装、管理和维修施工区和生活区的供水系统，包括修建为保证正常供水的引水、储水、水处理和抽排水设施等。</w:t>
      </w:r>
    </w:p>
    <w:p>
      <w:pPr>
        <w:snapToGrid w:val="0"/>
        <w:spacing w:line="360" w:lineRule="exact"/>
        <w:ind w:firstLine="420" w:firstLineChars="200"/>
        <w:rPr>
          <w:rFonts w:ascii="宋体" w:hAnsi="宋体"/>
          <w:sz w:val="21"/>
          <w:szCs w:val="21"/>
        </w:rPr>
      </w:pPr>
      <w:r>
        <w:rPr>
          <w:rFonts w:hint="eastAsia" w:ascii="宋体" w:hAnsi="宋体"/>
          <w:sz w:val="21"/>
          <w:szCs w:val="21"/>
        </w:rPr>
        <w:t>（</w:t>
      </w:r>
      <w:r>
        <w:rPr>
          <w:rFonts w:ascii="宋体" w:hAnsi="宋体"/>
          <w:sz w:val="21"/>
          <w:szCs w:val="21"/>
        </w:rPr>
        <w:t>3</w:t>
      </w:r>
      <w:r>
        <w:rPr>
          <w:rFonts w:hint="eastAsia" w:ascii="宋体" w:hAnsi="宋体"/>
          <w:sz w:val="21"/>
          <w:szCs w:val="21"/>
        </w:rPr>
        <w:t>）承包人应负责向发包人和监理人提供现场办公和生活用水，包括引向发包人和监理人办公地点和生活区的引水、储水和水处理设施及其设备、设施的施工、安装和日常维修等工作。上述供水设施建设和日常供水费用包括在供水项目的总价内，发包人不再另行支付。</w:t>
      </w:r>
    </w:p>
    <w:p>
      <w:pPr>
        <w:snapToGrid w:val="0"/>
        <w:spacing w:line="360" w:lineRule="exact"/>
        <w:ind w:firstLine="420" w:firstLineChars="200"/>
        <w:rPr>
          <w:rFonts w:ascii="宋体" w:hAnsi="宋体"/>
          <w:sz w:val="21"/>
          <w:szCs w:val="21"/>
        </w:rPr>
      </w:pPr>
      <w:r>
        <w:rPr>
          <w:rFonts w:hint="eastAsia" w:ascii="宋体" w:hAnsi="宋体"/>
          <w:sz w:val="21"/>
          <w:szCs w:val="21"/>
        </w:rPr>
        <w:t>（</w:t>
      </w:r>
      <w:r>
        <w:rPr>
          <w:rFonts w:ascii="宋体" w:hAnsi="宋体"/>
          <w:sz w:val="21"/>
          <w:szCs w:val="21"/>
        </w:rPr>
        <w:t>4</w:t>
      </w:r>
      <w:r>
        <w:rPr>
          <w:rFonts w:hint="eastAsia" w:ascii="宋体" w:hAnsi="宋体"/>
          <w:sz w:val="21"/>
          <w:szCs w:val="21"/>
        </w:rPr>
        <w:t>）除合同另有规定外，承包人应按本合同《通用合同条款》的有关规定和监理人的指示，为进入现场的其它承包人提供施工和生活用水方便，具体提供措施和收费办法由双方协商确定。</w:t>
      </w:r>
    </w:p>
    <w:p>
      <w:pPr>
        <w:pStyle w:val="6"/>
        <w:snapToGrid w:val="0"/>
        <w:spacing w:line="360" w:lineRule="exact"/>
        <w:rPr>
          <w:rStyle w:val="49"/>
          <w:rFonts w:hAnsi="宋体"/>
          <w:b/>
          <w:sz w:val="21"/>
          <w:szCs w:val="21"/>
        </w:rPr>
      </w:pPr>
      <w:bookmarkStart w:id="503" w:name="_Toc341965017"/>
      <w:bookmarkStart w:id="504" w:name="_Toc339482500"/>
      <w:bookmarkStart w:id="505" w:name="_Toc339224634"/>
      <w:bookmarkStart w:id="506" w:name="_Toc339983406"/>
      <w:bookmarkStart w:id="507" w:name="_Toc8986"/>
      <w:bookmarkStart w:id="508" w:name="_Toc336255219"/>
      <w:bookmarkStart w:id="509" w:name="_Toc336325332"/>
      <w:r>
        <w:rPr>
          <w:rStyle w:val="49"/>
          <w:rFonts w:hint="eastAsia" w:hAnsi="宋体"/>
          <w:b/>
          <w:sz w:val="21"/>
          <w:szCs w:val="21"/>
        </w:rPr>
        <w:t>2.7 施工供风</w:t>
      </w:r>
      <w:bookmarkEnd w:id="503"/>
      <w:bookmarkEnd w:id="504"/>
      <w:bookmarkEnd w:id="505"/>
      <w:bookmarkEnd w:id="506"/>
      <w:bookmarkEnd w:id="507"/>
      <w:bookmarkEnd w:id="508"/>
      <w:bookmarkEnd w:id="509"/>
    </w:p>
    <w:p>
      <w:pPr>
        <w:snapToGrid w:val="0"/>
        <w:spacing w:line="360" w:lineRule="exact"/>
        <w:ind w:firstLine="420" w:firstLineChars="200"/>
        <w:rPr>
          <w:rFonts w:ascii="宋体" w:hAnsi="宋体"/>
          <w:sz w:val="21"/>
          <w:szCs w:val="21"/>
        </w:rPr>
      </w:pPr>
      <w:r>
        <w:rPr>
          <w:rFonts w:hint="eastAsia" w:ascii="宋体" w:hAnsi="宋体"/>
          <w:sz w:val="21"/>
          <w:szCs w:val="21"/>
        </w:rPr>
        <w:t>承包人应负责提供本合同工程所需的施工供风，包括负责施工供风系统的设计、建造、运行管理和维护。</w:t>
      </w:r>
    </w:p>
    <w:p>
      <w:pPr>
        <w:pStyle w:val="6"/>
        <w:snapToGrid w:val="0"/>
        <w:spacing w:line="360" w:lineRule="exact"/>
        <w:rPr>
          <w:rStyle w:val="49"/>
          <w:rFonts w:hAnsi="宋体"/>
          <w:b/>
          <w:sz w:val="21"/>
          <w:szCs w:val="21"/>
        </w:rPr>
      </w:pPr>
      <w:bookmarkStart w:id="510" w:name="_Toc339224635"/>
      <w:bookmarkStart w:id="511" w:name="_Toc4094"/>
      <w:bookmarkStart w:id="512" w:name="_Toc341965018"/>
      <w:bookmarkStart w:id="513" w:name="_Toc336255220"/>
      <w:bookmarkStart w:id="514" w:name="_Toc339482501"/>
      <w:bookmarkStart w:id="515" w:name="_Toc336325333"/>
      <w:bookmarkStart w:id="516" w:name="_Toc339983407"/>
      <w:r>
        <w:rPr>
          <w:rStyle w:val="49"/>
          <w:rFonts w:hint="eastAsia" w:hAnsi="宋体"/>
          <w:b/>
          <w:sz w:val="21"/>
          <w:szCs w:val="21"/>
        </w:rPr>
        <w:t>2.8 施工照明</w:t>
      </w:r>
      <w:bookmarkEnd w:id="510"/>
      <w:bookmarkEnd w:id="511"/>
      <w:bookmarkEnd w:id="512"/>
      <w:bookmarkEnd w:id="513"/>
      <w:bookmarkEnd w:id="514"/>
      <w:bookmarkEnd w:id="515"/>
      <w:bookmarkEnd w:id="516"/>
    </w:p>
    <w:p>
      <w:pPr>
        <w:snapToGrid w:val="0"/>
        <w:spacing w:line="360" w:lineRule="exact"/>
        <w:ind w:firstLine="420" w:firstLineChars="200"/>
        <w:rPr>
          <w:rFonts w:ascii="宋体" w:hAnsi="宋体"/>
          <w:sz w:val="21"/>
          <w:szCs w:val="21"/>
        </w:rPr>
      </w:pPr>
      <w:r>
        <w:rPr>
          <w:rFonts w:hint="eastAsia" w:ascii="宋体" w:hAnsi="宋体"/>
          <w:sz w:val="21"/>
          <w:szCs w:val="21"/>
        </w:rPr>
        <w:t>（1）承包人应负责设计、施工、采购、安装、管理和维修其工程所有施工作业区、办公区和生活区以及相关的道路、桥涵在内的施工区照明线路和照明设施。</w:t>
      </w:r>
      <w:r>
        <w:rPr>
          <w:rFonts w:hint="eastAsia" w:ascii="宋体" w:hAnsi="宋体"/>
          <w:snapToGrid w:val="0"/>
          <w:sz w:val="21"/>
          <w:szCs w:val="21"/>
        </w:rPr>
        <w:t>各区的最低照明度应符合3.2.5款的规定。</w:t>
      </w:r>
    </w:p>
    <w:p>
      <w:pPr>
        <w:jc w:val="left"/>
        <w:textAlignment w:val="auto"/>
        <w:rPr>
          <w:rFonts w:ascii="宋体" w:cs="宋体"/>
          <w:sz w:val="21"/>
          <w:szCs w:val="21"/>
        </w:rPr>
      </w:pPr>
      <w:r>
        <w:rPr>
          <w:rFonts w:hint="eastAsia" w:ascii="宋体" w:hAnsi="宋体"/>
          <w:sz w:val="21"/>
          <w:szCs w:val="21"/>
        </w:rPr>
        <w:t>（2）</w:t>
      </w:r>
      <w:r>
        <w:rPr>
          <w:rFonts w:hint="eastAsia" w:ascii="宋体" w:cs="宋体"/>
          <w:sz w:val="21"/>
          <w:szCs w:val="21"/>
        </w:rPr>
        <w:t>承包人应按本合同《通用合同条款》的有关规定和监理人的指示，为进入现场工作的其他承</w:t>
      </w:r>
    </w:p>
    <w:p>
      <w:pPr>
        <w:snapToGrid w:val="0"/>
        <w:spacing w:line="360" w:lineRule="exact"/>
        <w:ind w:firstLine="420" w:firstLineChars="200"/>
        <w:rPr>
          <w:rFonts w:ascii="宋体" w:hAnsi="宋体"/>
          <w:sz w:val="21"/>
          <w:szCs w:val="21"/>
        </w:rPr>
      </w:pPr>
      <w:r>
        <w:rPr>
          <w:rFonts w:hint="eastAsia" w:ascii="宋体" w:cs="宋体"/>
          <w:sz w:val="21"/>
          <w:szCs w:val="21"/>
        </w:rPr>
        <w:t>包人架设施工和生活区的室外照明线路提供方便。</w:t>
      </w:r>
    </w:p>
    <w:p>
      <w:pPr>
        <w:pStyle w:val="6"/>
        <w:snapToGrid w:val="0"/>
        <w:spacing w:line="360" w:lineRule="exact"/>
        <w:rPr>
          <w:rStyle w:val="49"/>
          <w:rFonts w:hAnsi="宋体"/>
          <w:b/>
          <w:sz w:val="21"/>
          <w:szCs w:val="21"/>
        </w:rPr>
      </w:pPr>
      <w:bookmarkStart w:id="517" w:name="_Toc336255221"/>
      <w:bookmarkStart w:id="518" w:name="_Toc339224636"/>
      <w:bookmarkStart w:id="519" w:name="_Toc341965019"/>
      <w:bookmarkStart w:id="520" w:name="_Toc339482502"/>
      <w:bookmarkStart w:id="521" w:name="_Toc28393"/>
      <w:bookmarkStart w:id="522" w:name="_Toc336325334"/>
      <w:bookmarkStart w:id="523" w:name="_Toc339983408"/>
      <w:r>
        <w:rPr>
          <w:rStyle w:val="49"/>
          <w:rFonts w:hint="eastAsia" w:hAnsi="宋体"/>
          <w:b/>
          <w:sz w:val="21"/>
          <w:szCs w:val="21"/>
        </w:rPr>
        <w:t>2.9 施工通信</w:t>
      </w:r>
      <w:bookmarkEnd w:id="517"/>
      <w:bookmarkEnd w:id="518"/>
      <w:bookmarkEnd w:id="519"/>
      <w:bookmarkEnd w:id="520"/>
      <w:bookmarkEnd w:id="521"/>
      <w:bookmarkEnd w:id="522"/>
      <w:bookmarkEnd w:id="523"/>
    </w:p>
    <w:p>
      <w:pPr>
        <w:snapToGrid w:val="0"/>
        <w:spacing w:line="360" w:lineRule="exact"/>
        <w:ind w:firstLine="420" w:firstLineChars="200"/>
        <w:rPr>
          <w:rFonts w:ascii="宋体" w:hAnsi="宋体"/>
          <w:snapToGrid w:val="0"/>
          <w:sz w:val="21"/>
          <w:szCs w:val="21"/>
        </w:rPr>
      </w:pPr>
      <w:r>
        <w:rPr>
          <w:rFonts w:hint="eastAsia" w:ascii="宋体" w:hAnsi="宋体"/>
          <w:snapToGrid w:val="0"/>
          <w:sz w:val="21"/>
          <w:szCs w:val="21"/>
        </w:rPr>
        <w:t>(1) 除合同另有规定外，承包人应在工程开工前与当地电讯部门协商解决通向施工现场的通讯线路和现场的电讯服务设施，并由承包人与电讯部门签订协议。</w:t>
      </w:r>
    </w:p>
    <w:p>
      <w:pPr>
        <w:snapToGrid w:val="0"/>
        <w:spacing w:line="360" w:lineRule="exact"/>
        <w:ind w:firstLine="420" w:firstLineChars="200"/>
        <w:rPr>
          <w:rFonts w:ascii="宋体" w:hAnsi="宋体"/>
          <w:snapToGrid w:val="0"/>
          <w:sz w:val="21"/>
          <w:szCs w:val="21"/>
        </w:rPr>
      </w:pPr>
      <w:r>
        <w:rPr>
          <w:rFonts w:hint="eastAsia" w:ascii="宋体" w:hAnsi="宋体"/>
          <w:snapToGrid w:val="0"/>
          <w:sz w:val="21"/>
          <w:szCs w:val="21"/>
        </w:rPr>
        <w:t>(2) 承包人应负责设计、施工、采购、安装、管理和维修施工现场的内部通讯服务设施。发包人和监理人有权使用承包人的内部通讯设施。其他承包人需要使用内部通讯设施时，应按本合同《通用合同条款》的有关规定办理。</w:t>
      </w:r>
    </w:p>
    <w:p>
      <w:pPr>
        <w:pStyle w:val="6"/>
        <w:snapToGrid w:val="0"/>
        <w:spacing w:line="360" w:lineRule="exact"/>
        <w:rPr>
          <w:rStyle w:val="49"/>
          <w:rFonts w:hAnsi="宋体"/>
          <w:b/>
          <w:sz w:val="21"/>
          <w:szCs w:val="21"/>
        </w:rPr>
      </w:pPr>
      <w:bookmarkStart w:id="524" w:name="_Toc7321"/>
      <w:bookmarkStart w:id="525" w:name="_Toc339983410"/>
      <w:bookmarkStart w:id="526" w:name="_Toc336255223"/>
      <w:bookmarkStart w:id="527" w:name="_Toc339482504"/>
      <w:bookmarkStart w:id="528" w:name="_Toc336325336"/>
      <w:bookmarkStart w:id="529" w:name="_Toc339224638"/>
      <w:bookmarkStart w:id="530" w:name="_Toc341965020"/>
      <w:r>
        <w:rPr>
          <w:rStyle w:val="49"/>
          <w:rFonts w:hint="eastAsia" w:hAnsi="宋体"/>
          <w:b/>
          <w:sz w:val="21"/>
          <w:szCs w:val="21"/>
        </w:rPr>
        <w:t>2.10 混凝土生产系统</w:t>
      </w:r>
      <w:bookmarkEnd w:id="524"/>
      <w:bookmarkEnd w:id="525"/>
      <w:bookmarkEnd w:id="526"/>
      <w:bookmarkEnd w:id="527"/>
      <w:bookmarkEnd w:id="528"/>
      <w:bookmarkEnd w:id="529"/>
      <w:bookmarkEnd w:id="530"/>
    </w:p>
    <w:p>
      <w:pPr>
        <w:snapToGrid w:val="0"/>
        <w:spacing w:line="360" w:lineRule="exact"/>
        <w:ind w:firstLine="420" w:firstLineChars="200"/>
        <w:rPr>
          <w:rFonts w:ascii="宋体" w:hAnsi="宋体"/>
          <w:snapToGrid w:val="0"/>
          <w:sz w:val="21"/>
          <w:szCs w:val="21"/>
        </w:rPr>
      </w:pPr>
      <w:bookmarkStart w:id="531" w:name="_Toc339983411"/>
      <w:bookmarkStart w:id="532" w:name="_Toc341965021"/>
      <w:bookmarkStart w:id="533" w:name="_Toc336325337"/>
      <w:bookmarkStart w:id="534" w:name="_Toc339224639"/>
      <w:bookmarkStart w:id="535" w:name="_Toc339482505"/>
      <w:bookmarkStart w:id="536" w:name="_Toc336255224"/>
      <w:r>
        <w:rPr>
          <w:rFonts w:hint="eastAsia" w:ascii="宋体" w:hAnsi="宋体"/>
          <w:snapToGrid w:val="0"/>
          <w:sz w:val="21"/>
          <w:szCs w:val="21"/>
        </w:rPr>
        <w:t>（</w:t>
      </w:r>
      <w:r>
        <w:rPr>
          <w:rFonts w:ascii="宋体" w:hAnsi="宋体"/>
          <w:snapToGrid w:val="0"/>
          <w:sz w:val="21"/>
          <w:szCs w:val="21"/>
        </w:rPr>
        <w:t>1</w:t>
      </w:r>
      <w:r>
        <w:rPr>
          <w:rFonts w:hint="eastAsia" w:ascii="宋体" w:hAnsi="宋体"/>
          <w:snapToGrid w:val="0"/>
          <w:sz w:val="21"/>
          <w:szCs w:val="21"/>
        </w:rPr>
        <w:t>）由承包人自建混凝土生产系统，承包人应按批准的施工总布置规划，进行混凝土生产系统（包括混凝土骨料储存系统）的设计和施工（包括场地的开挖、回填与平整）、混凝土浇注设备和设施的采购、安装、调试、运行管理和维修，以及混凝土骨料储存和混凝土的拌和、运输等。承包人的混凝土生产系统还应做好场地排水和弃渣处理，以及防止污染环境等措施。</w:t>
      </w:r>
    </w:p>
    <w:p>
      <w:pPr>
        <w:snapToGrid w:val="0"/>
        <w:spacing w:line="360" w:lineRule="exact"/>
        <w:ind w:firstLine="420" w:firstLineChars="200"/>
        <w:rPr>
          <w:rFonts w:ascii="宋体" w:hAnsi="宋体"/>
          <w:snapToGrid w:val="0"/>
          <w:sz w:val="21"/>
          <w:szCs w:val="21"/>
        </w:rPr>
      </w:pPr>
      <w:r>
        <w:rPr>
          <w:rFonts w:hint="eastAsia" w:ascii="宋体" w:hAnsi="宋体"/>
          <w:snapToGrid w:val="0"/>
          <w:sz w:val="21"/>
          <w:szCs w:val="21"/>
        </w:rPr>
        <w:t>（</w:t>
      </w:r>
      <w:r>
        <w:rPr>
          <w:rFonts w:ascii="宋体" w:hAnsi="宋体"/>
          <w:snapToGrid w:val="0"/>
          <w:sz w:val="21"/>
          <w:szCs w:val="21"/>
        </w:rPr>
        <w:t>2</w:t>
      </w:r>
      <w:r>
        <w:rPr>
          <w:rFonts w:hint="eastAsia" w:ascii="宋体" w:hAnsi="宋体"/>
          <w:snapToGrid w:val="0"/>
          <w:sz w:val="21"/>
          <w:szCs w:val="21"/>
        </w:rPr>
        <w:t>）承包人应按施工图纸和本合同技术条款规定的温控要求，负责混凝土制冷（热）系统的设计和施工，并负责制冷（热）设备的采购、安装、调试、运行管理和维修等。</w:t>
      </w:r>
    </w:p>
    <w:p>
      <w:pPr>
        <w:pStyle w:val="6"/>
        <w:snapToGrid w:val="0"/>
        <w:spacing w:line="360" w:lineRule="exact"/>
        <w:rPr>
          <w:rStyle w:val="49"/>
          <w:rFonts w:hAnsi="宋体"/>
          <w:b/>
          <w:sz w:val="21"/>
          <w:szCs w:val="21"/>
        </w:rPr>
      </w:pPr>
      <w:bookmarkStart w:id="537" w:name="_Toc17061"/>
      <w:r>
        <w:rPr>
          <w:rStyle w:val="49"/>
          <w:rFonts w:hint="eastAsia" w:hAnsi="宋体"/>
          <w:b/>
          <w:sz w:val="21"/>
          <w:szCs w:val="21"/>
        </w:rPr>
        <w:t>2.11 临时工厂设施</w:t>
      </w:r>
      <w:bookmarkEnd w:id="531"/>
      <w:bookmarkEnd w:id="532"/>
      <w:bookmarkEnd w:id="533"/>
      <w:bookmarkEnd w:id="534"/>
      <w:bookmarkEnd w:id="535"/>
      <w:bookmarkEnd w:id="536"/>
      <w:bookmarkEnd w:id="537"/>
    </w:p>
    <w:p>
      <w:pPr>
        <w:snapToGrid w:val="0"/>
        <w:spacing w:line="360" w:lineRule="exact"/>
        <w:ind w:firstLine="420" w:firstLineChars="200"/>
        <w:rPr>
          <w:rFonts w:ascii="宋体" w:hAnsi="宋体"/>
          <w:sz w:val="21"/>
          <w:szCs w:val="21"/>
        </w:rPr>
      </w:pPr>
      <w:r>
        <w:rPr>
          <w:rFonts w:hint="eastAsia" w:ascii="宋体" w:hAnsi="宋体"/>
          <w:sz w:val="21"/>
          <w:szCs w:val="21"/>
        </w:rPr>
        <w:t>承包人应按批准的施工总进度和施工图纸的要求，修建以下临时工厂设施，并各工厂设施施工前，将临时工厂设施的设计文件提交监理人批准。</w:t>
      </w:r>
    </w:p>
    <w:p>
      <w:pPr>
        <w:snapToGrid w:val="0"/>
        <w:spacing w:line="360" w:lineRule="exact"/>
        <w:ind w:firstLine="420" w:firstLineChars="200"/>
        <w:rPr>
          <w:rFonts w:ascii="宋体" w:hAnsi="宋体"/>
          <w:sz w:val="21"/>
          <w:szCs w:val="21"/>
        </w:rPr>
      </w:pPr>
      <w:r>
        <w:rPr>
          <w:rFonts w:hint="eastAsia" w:ascii="宋体" w:hAnsi="宋体"/>
          <w:sz w:val="21"/>
          <w:szCs w:val="21"/>
        </w:rPr>
        <w:t>（1）钢筋加工厂；</w:t>
      </w:r>
    </w:p>
    <w:p>
      <w:pPr>
        <w:snapToGrid w:val="0"/>
        <w:spacing w:line="360" w:lineRule="exact"/>
        <w:ind w:firstLine="420" w:firstLineChars="200"/>
        <w:rPr>
          <w:rFonts w:ascii="宋体" w:hAnsi="宋体"/>
          <w:sz w:val="21"/>
          <w:szCs w:val="21"/>
        </w:rPr>
      </w:pPr>
      <w:r>
        <w:rPr>
          <w:rFonts w:hint="eastAsia" w:ascii="宋体" w:hAnsi="宋体"/>
          <w:sz w:val="21"/>
          <w:szCs w:val="21"/>
        </w:rPr>
        <w:t>（2）木材加工厂；</w:t>
      </w:r>
    </w:p>
    <w:p>
      <w:pPr>
        <w:snapToGrid w:val="0"/>
        <w:spacing w:line="360" w:lineRule="exact"/>
        <w:ind w:firstLine="420" w:firstLineChars="200"/>
        <w:rPr>
          <w:rFonts w:ascii="宋体" w:hAnsi="宋体"/>
          <w:sz w:val="21"/>
          <w:szCs w:val="21"/>
        </w:rPr>
      </w:pPr>
      <w:r>
        <w:rPr>
          <w:rFonts w:hint="eastAsia" w:ascii="宋体" w:hAnsi="宋体"/>
          <w:sz w:val="21"/>
          <w:szCs w:val="21"/>
        </w:rPr>
        <w:t>（3）混凝土构件预制厂</w:t>
      </w:r>
    </w:p>
    <w:p>
      <w:pPr>
        <w:snapToGrid w:val="0"/>
        <w:spacing w:line="360" w:lineRule="exact"/>
        <w:ind w:firstLine="420" w:firstLineChars="200"/>
        <w:rPr>
          <w:rFonts w:ascii="宋体" w:hAnsi="宋体"/>
          <w:sz w:val="21"/>
          <w:szCs w:val="21"/>
        </w:rPr>
      </w:pPr>
      <w:r>
        <w:rPr>
          <w:rFonts w:hint="eastAsia" w:ascii="宋体" w:hAnsi="宋体"/>
          <w:sz w:val="21"/>
          <w:szCs w:val="21"/>
        </w:rPr>
        <w:t>（4）机械修配工厂；</w:t>
      </w:r>
    </w:p>
    <w:p>
      <w:pPr>
        <w:snapToGrid w:val="0"/>
        <w:spacing w:line="360" w:lineRule="exact"/>
        <w:ind w:firstLine="420" w:firstLineChars="200"/>
        <w:rPr>
          <w:rFonts w:ascii="宋体" w:hAnsi="宋体"/>
          <w:sz w:val="21"/>
          <w:szCs w:val="21"/>
        </w:rPr>
      </w:pPr>
      <w:r>
        <w:rPr>
          <w:rFonts w:hint="eastAsia" w:ascii="宋体" w:hAnsi="宋体"/>
          <w:sz w:val="21"/>
          <w:szCs w:val="21"/>
        </w:rPr>
        <w:t>（5）汽车保养站；</w:t>
      </w:r>
    </w:p>
    <w:p>
      <w:pPr>
        <w:pStyle w:val="6"/>
        <w:snapToGrid w:val="0"/>
        <w:spacing w:line="360" w:lineRule="exact"/>
        <w:rPr>
          <w:rStyle w:val="49"/>
          <w:rFonts w:hAnsi="宋体"/>
          <w:b/>
          <w:sz w:val="21"/>
          <w:szCs w:val="21"/>
        </w:rPr>
      </w:pPr>
      <w:bookmarkStart w:id="538" w:name="_Toc339224640"/>
      <w:bookmarkStart w:id="539" w:name="_Toc22488"/>
      <w:bookmarkStart w:id="540" w:name="_Toc339983412"/>
      <w:bookmarkStart w:id="541" w:name="_Toc336325338"/>
      <w:bookmarkStart w:id="542" w:name="_Toc336255225"/>
      <w:bookmarkStart w:id="543" w:name="_Toc341965022"/>
      <w:bookmarkStart w:id="544" w:name="_Toc339482506"/>
      <w:r>
        <w:rPr>
          <w:rStyle w:val="49"/>
          <w:rFonts w:hint="eastAsia" w:hAnsi="宋体"/>
          <w:b/>
          <w:sz w:val="21"/>
          <w:szCs w:val="21"/>
        </w:rPr>
        <w:t>2.12 仓库和堆、存料场</w:t>
      </w:r>
      <w:bookmarkEnd w:id="538"/>
      <w:bookmarkEnd w:id="539"/>
      <w:bookmarkEnd w:id="540"/>
      <w:bookmarkEnd w:id="541"/>
      <w:bookmarkEnd w:id="542"/>
      <w:bookmarkEnd w:id="543"/>
      <w:bookmarkEnd w:id="544"/>
    </w:p>
    <w:p>
      <w:pPr>
        <w:snapToGrid w:val="0"/>
        <w:spacing w:line="360" w:lineRule="exact"/>
        <w:ind w:firstLine="420" w:firstLineChars="200"/>
        <w:rPr>
          <w:rFonts w:ascii="宋体" w:hAnsi="宋体"/>
          <w:sz w:val="21"/>
          <w:szCs w:val="21"/>
        </w:rPr>
      </w:pPr>
      <w:r>
        <w:rPr>
          <w:rFonts w:hint="eastAsia" w:ascii="宋体" w:hAnsi="宋体"/>
          <w:sz w:val="21"/>
          <w:szCs w:val="21"/>
        </w:rPr>
        <w:t>（1）承包人应按批准的施工组织设计和合同进度计划的要求，修建本工程的仓库和堆、存料场，并在开始施工前，将仓库和堆、存料场的设计图纸与文件提交监理人批准。</w:t>
      </w:r>
    </w:p>
    <w:p>
      <w:pPr>
        <w:snapToGrid w:val="0"/>
        <w:spacing w:line="360" w:lineRule="exact"/>
        <w:ind w:firstLine="420" w:firstLineChars="200"/>
        <w:rPr>
          <w:rFonts w:ascii="宋体" w:hAnsi="宋体"/>
          <w:sz w:val="21"/>
          <w:szCs w:val="21"/>
        </w:rPr>
      </w:pPr>
      <w:r>
        <w:rPr>
          <w:rFonts w:hint="eastAsia" w:ascii="宋体" w:hAnsi="宋体"/>
          <w:sz w:val="21"/>
          <w:szCs w:val="21"/>
        </w:rPr>
        <w:t>（2）承包人应负责本合同工程所需的各项材料和设备仓库的设计、修建、管理和维护。</w:t>
      </w:r>
    </w:p>
    <w:p>
      <w:pPr>
        <w:snapToGrid w:val="0"/>
        <w:spacing w:line="360" w:lineRule="exact"/>
        <w:ind w:firstLine="420" w:firstLineChars="200"/>
        <w:rPr>
          <w:rFonts w:ascii="宋体" w:hAnsi="宋体"/>
          <w:sz w:val="21"/>
          <w:szCs w:val="21"/>
        </w:rPr>
      </w:pPr>
      <w:r>
        <w:rPr>
          <w:rFonts w:hint="eastAsia" w:ascii="宋体" w:hAnsi="宋体"/>
          <w:sz w:val="21"/>
          <w:szCs w:val="21"/>
        </w:rPr>
        <w:t>（3）除合同另有约定外，储存炸药、雷管和油料等特殊材料仓库应按监理人批准的地点进行布置和修建，并应严格遵守国家有关安全管理的规定。</w:t>
      </w:r>
    </w:p>
    <w:p>
      <w:pPr>
        <w:pStyle w:val="6"/>
        <w:snapToGrid w:val="0"/>
        <w:spacing w:line="360" w:lineRule="exact"/>
        <w:rPr>
          <w:rStyle w:val="49"/>
          <w:rFonts w:hAnsi="宋体"/>
          <w:b/>
          <w:sz w:val="21"/>
          <w:szCs w:val="21"/>
        </w:rPr>
      </w:pPr>
      <w:bookmarkStart w:id="545" w:name="_Toc339224641"/>
      <w:bookmarkStart w:id="546" w:name="_Toc339482507"/>
      <w:bookmarkStart w:id="547" w:name="_Toc1063"/>
      <w:bookmarkStart w:id="548" w:name="_Toc336255226"/>
      <w:bookmarkStart w:id="549" w:name="_Toc336325339"/>
      <w:bookmarkStart w:id="550" w:name="_Toc339983413"/>
      <w:bookmarkStart w:id="551" w:name="_Toc341965023"/>
      <w:r>
        <w:rPr>
          <w:rStyle w:val="49"/>
          <w:rFonts w:hint="eastAsia" w:hAnsi="宋体"/>
          <w:b/>
          <w:sz w:val="21"/>
          <w:szCs w:val="21"/>
        </w:rPr>
        <w:t>2.13 弃渣场</w:t>
      </w:r>
      <w:bookmarkEnd w:id="545"/>
      <w:bookmarkEnd w:id="546"/>
      <w:bookmarkEnd w:id="547"/>
      <w:bookmarkEnd w:id="548"/>
      <w:bookmarkEnd w:id="549"/>
      <w:bookmarkEnd w:id="550"/>
      <w:bookmarkEnd w:id="551"/>
    </w:p>
    <w:p>
      <w:pPr>
        <w:snapToGrid w:val="0"/>
        <w:spacing w:line="360" w:lineRule="exact"/>
        <w:ind w:firstLine="420" w:firstLineChars="200"/>
        <w:rPr>
          <w:rFonts w:ascii="宋体" w:hAnsi="宋体"/>
          <w:snapToGrid w:val="0"/>
          <w:sz w:val="21"/>
          <w:szCs w:val="21"/>
        </w:rPr>
      </w:pPr>
      <w:bookmarkStart w:id="552" w:name="_Toc339983414"/>
      <w:bookmarkStart w:id="553" w:name="_Toc339482508"/>
      <w:bookmarkStart w:id="554" w:name="_Toc336255227"/>
      <w:bookmarkStart w:id="555" w:name="_Toc336325340"/>
      <w:bookmarkStart w:id="556" w:name="_Toc341965024"/>
      <w:bookmarkStart w:id="557" w:name="_Toc339224642"/>
      <w:r>
        <w:rPr>
          <w:rFonts w:hint="eastAsia" w:ascii="宋体" w:hAnsi="宋体"/>
          <w:snapToGrid w:val="0"/>
          <w:sz w:val="21"/>
          <w:szCs w:val="21"/>
        </w:rPr>
        <w:t>承包人应按监理人批准的环境保护措施计划，在弃渣场周围及场地内设置防洪和排水设施，防</w:t>
      </w:r>
    </w:p>
    <w:p>
      <w:pPr>
        <w:snapToGrid w:val="0"/>
        <w:spacing w:line="360" w:lineRule="exact"/>
        <w:rPr>
          <w:rFonts w:ascii="宋体" w:hAnsi="宋体"/>
          <w:snapToGrid w:val="0"/>
          <w:sz w:val="21"/>
          <w:szCs w:val="21"/>
        </w:rPr>
      </w:pPr>
      <w:r>
        <w:rPr>
          <w:rFonts w:hint="eastAsia" w:ascii="宋体" w:hAnsi="宋体"/>
          <w:snapToGrid w:val="0"/>
          <w:sz w:val="21"/>
          <w:szCs w:val="21"/>
        </w:rPr>
        <w:t>止冲刷弃渣，造成水土流失。</w:t>
      </w:r>
    </w:p>
    <w:p>
      <w:pPr>
        <w:snapToGrid w:val="0"/>
        <w:spacing w:line="360" w:lineRule="exact"/>
        <w:rPr>
          <w:rStyle w:val="49"/>
          <w:rFonts w:hAnsi="宋体"/>
          <w:sz w:val="21"/>
          <w:szCs w:val="21"/>
        </w:rPr>
      </w:pPr>
      <w:bookmarkStart w:id="558" w:name="_Toc30129"/>
      <w:r>
        <w:rPr>
          <w:rStyle w:val="49"/>
          <w:rFonts w:hint="eastAsia" w:hAnsi="宋体"/>
          <w:sz w:val="21"/>
          <w:szCs w:val="21"/>
        </w:rPr>
        <w:t>2.14 临时生产管理和生活设施</w:t>
      </w:r>
      <w:bookmarkEnd w:id="552"/>
      <w:bookmarkEnd w:id="553"/>
      <w:bookmarkEnd w:id="554"/>
      <w:bookmarkEnd w:id="555"/>
      <w:bookmarkEnd w:id="556"/>
      <w:bookmarkEnd w:id="557"/>
    </w:p>
    <w:bookmarkEnd w:id="558"/>
    <w:p>
      <w:pPr>
        <w:ind w:firstLine="210" w:firstLineChars="100"/>
        <w:jc w:val="left"/>
        <w:textAlignment w:val="auto"/>
        <w:rPr>
          <w:rFonts w:ascii="宋体" w:hAnsi="宋体"/>
          <w:sz w:val="21"/>
          <w:szCs w:val="21"/>
        </w:rPr>
      </w:pPr>
      <w:bookmarkStart w:id="559" w:name="_Toc336325341"/>
      <w:bookmarkStart w:id="560" w:name="_Toc339224643"/>
      <w:bookmarkStart w:id="561" w:name="_Toc336255228"/>
      <w:bookmarkStart w:id="562" w:name="_Toc339482509"/>
      <w:bookmarkStart w:id="563" w:name="_Toc341965025"/>
      <w:bookmarkStart w:id="564" w:name="_Toc339983415"/>
      <w:r>
        <w:rPr>
          <w:rFonts w:hint="eastAsia" w:ascii="宋体" w:hAnsi="宋体"/>
          <w:sz w:val="21"/>
          <w:szCs w:val="21"/>
        </w:rPr>
        <w:t>（</w:t>
      </w:r>
      <w:r>
        <w:rPr>
          <w:rFonts w:ascii="宋体" w:hAnsi="宋体"/>
          <w:sz w:val="21"/>
          <w:szCs w:val="21"/>
        </w:rPr>
        <w:t>1</w:t>
      </w:r>
      <w:r>
        <w:rPr>
          <w:rFonts w:hint="eastAsia" w:ascii="宋体" w:hAnsi="宋体"/>
          <w:sz w:val="21"/>
          <w:szCs w:val="21"/>
        </w:rPr>
        <w:t>）除合同另有约定外，承包人应负责其施工需要的全部临时生产管理与生活设施的设计、建</w:t>
      </w:r>
    </w:p>
    <w:p>
      <w:pPr>
        <w:jc w:val="left"/>
        <w:textAlignment w:val="auto"/>
        <w:rPr>
          <w:rFonts w:ascii="宋体" w:hAnsi="宋体"/>
          <w:sz w:val="21"/>
          <w:szCs w:val="21"/>
        </w:rPr>
      </w:pPr>
      <w:r>
        <w:rPr>
          <w:rFonts w:hint="eastAsia" w:ascii="宋体" w:hAnsi="宋体"/>
          <w:sz w:val="21"/>
          <w:szCs w:val="21"/>
        </w:rPr>
        <w:t>造及其设备的采购、安装、管理和维护等。</w:t>
      </w:r>
    </w:p>
    <w:p>
      <w:pPr>
        <w:jc w:val="left"/>
        <w:textAlignment w:val="auto"/>
        <w:rPr>
          <w:rFonts w:ascii="宋体" w:hAnsi="宋体"/>
          <w:sz w:val="21"/>
          <w:szCs w:val="21"/>
        </w:rPr>
      </w:pPr>
      <w:r>
        <w:rPr>
          <w:rFonts w:hint="eastAsia" w:ascii="宋体" w:hAnsi="宋体"/>
          <w:sz w:val="21"/>
          <w:szCs w:val="21"/>
        </w:rPr>
        <w:t>（</w:t>
      </w:r>
      <w:r>
        <w:rPr>
          <w:rFonts w:ascii="宋体" w:hAnsi="宋体"/>
          <w:sz w:val="21"/>
          <w:szCs w:val="21"/>
        </w:rPr>
        <w:t>2</w:t>
      </w:r>
      <w:r>
        <w:rPr>
          <w:rFonts w:hint="eastAsia" w:ascii="宋体" w:hAnsi="宋体"/>
          <w:sz w:val="21"/>
          <w:szCs w:val="21"/>
        </w:rPr>
        <w:t>）承包人应在收到开工通知后的</w:t>
      </w:r>
      <w:r>
        <w:rPr>
          <w:rFonts w:ascii="宋体" w:hAnsi="宋体"/>
          <w:sz w:val="21"/>
          <w:szCs w:val="21"/>
        </w:rPr>
        <w:t>21</w:t>
      </w:r>
      <w:r>
        <w:rPr>
          <w:rFonts w:hint="eastAsia" w:ascii="宋体" w:hAnsi="宋体"/>
          <w:sz w:val="21"/>
          <w:szCs w:val="21"/>
        </w:rPr>
        <w:t>天内，按发包人批准的施工规划总布置，向监理人编制一</w:t>
      </w:r>
    </w:p>
    <w:p>
      <w:pPr>
        <w:jc w:val="left"/>
        <w:textAlignment w:val="auto"/>
        <w:rPr>
          <w:rFonts w:ascii="宋体" w:hAnsi="宋体"/>
          <w:sz w:val="21"/>
          <w:szCs w:val="21"/>
        </w:rPr>
      </w:pPr>
      <w:r>
        <w:rPr>
          <w:rFonts w:hint="eastAsia" w:ascii="宋体" w:hAnsi="宋体"/>
          <w:sz w:val="21"/>
          <w:szCs w:val="21"/>
        </w:rPr>
        <w:t>份临时生产管理和生活设施的布置和房屋建筑物设计的图纸和文件提交监理人批准。承包人应按施</w:t>
      </w:r>
    </w:p>
    <w:p>
      <w:pPr>
        <w:pStyle w:val="16"/>
        <w:ind w:firstLine="0"/>
        <w:rPr>
          <w:rStyle w:val="49"/>
          <w:rFonts w:hAnsi="宋体"/>
          <w:sz w:val="21"/>
          <w:szCs w:val="21"/>
        </w:rPr>
      </w:pPr>
      <w:r>
        <w:rPr>
          <w:rFonts w:hint="eastAsia" w:ascii="宋体" w:hAnsi="宋体" w:eastAsiaTheme="minorEastAsia"/>
          <w:sz w:val="21"/>
          <w:szCs w:val="21"/>
        </w:rPr>
        <w:t>工图纸和监理人的指示，负责上述临时房屋和公用设施的设备和设施的采购、安装、管理和维护等。</w:t>
      </w:r>
      <w:r>
        <w:rPr>
          <w:rStyle w:val="49"/>
          <w:rFonts w:hint="eastAsia" w:hAnsi="宋体"/>
          <w:sz w:val="21"/>
          <w:szCs w:val="21"/>
        </w:rPr>
        <w:t>2.15 计量和支付</w:t>
      </w:r>
      <w:bookmarkEnd w:id="559"/>
      <w:bookmarkEnd w:id="560"/>
      <w:bookmarkEnd w:id="561"/>
      <w:bookmarkEnd w:id="562"/>
      <w:bookmarkEnd w:id="563"/>
      <w:bookmarkEnd w:id="564"/>
    </w:p>
    <w:p>
      <w:pPr>
        <w:pStyle w:val="7"/>
        <w:snapToGrid w:val="0"/>
        <w:spacing w:line="360" w:lineRule="exact"/>
        <w:rPr>
          <w:rStyle w:val="47"/>
          <w:rFonts w:ascii="宋体" w:hAnsi="宋体"/>
          <w:color w:val="auto"/>
          <w:sz w:val="21"/>
          <w:szCs w:val="21"/>
        </w:rPr>
      </w:pPr>
      <w:r>
        <w:rPr>
          <w:rStyle w:val="47"/>
          <w:rFonts w:hint="eastAsia" w:ascii="宋体" w:hAnsi="宋体"/>
          <w:color w:val="auto"/>
          <w:sz w:val="21"/>
          <w:szCs w:val="21"/>
        </w:rPr>
        <w:t>2.15.1 现场施工测量</w:t>
      </w:r>
    </w:p>
    <w:p>
      <w:pPr>
        <w:snapToGrid w:val="0"/>
        <w:spacing w:line="360" w:lineRule="exact"/>
        <w:ind w:firstLine="404" w:firstLineChars="200"/>
        <w:rPr>
          <w:rFonts w:ascii="宋体" w:hAnsi="宋体"/>
          <w:spacing w:val="-4"/>
          <w:sz w:val="21"/>
          <w:szCs w:val="21"/>
        </w:rPr>
      </w:pPr>
      <w:r>
        <w:rPr>
          <w:rFonts w:hint="eastAsia" w:ascii="宋体" w:hAnsi="宋体"/>
          <w:spacing w:val="-4"/>
          <w:sz w:val="21"/>
          <w:szCs w:val="21"/>
        </w:rPr>
        <w:t>现场施工测量（包括根据合同约定由承包人测设的施工控制网、工程施工阶段的全部施工测量放样工作等）所需费用，包含在《工程量清单》所列各项目的工程单价或总价中，发包人不另行支付。</w:t>
      </w:r>
    </w:p>
    <w:p>
      <w:pPr>
        <w:pStyle w:val="7"/>
        <w:snapToGrid w:val="0"/>
        <w:spacing w:line="360" w:lineRule="exact"/>
        <w:rPr>
          <w:rStyle w:val="47"/>
          <w:rFonts w:ascii="宋体" w:hAnsi="宋体"/>
          <w:color w:val="auto"/>
          <w:sz w:val="21"/>
          <w:szCs w:val="21"/>
        </w:rPr>
      </w:pPr>
      <w:r>
        <w:rPr>
          <w:rStyle w:val="47"/>
          <w:rFonts w:hint="eastAsia" w:ascii="宋体" w:hAnsi="宋体"/>
          <w:color w:val="auto"/>
          <w:sz w:val="21"/>
          <w:szCs w:val="21"/>
        </w:rPr>
        <w:t>2.15.2 现场试验</w:t>
      </w:r>
    </w:p>
    <w:p>
      <w:pPr>
        <w:snapToGrid w:val="0"/>
        <w:spacing w:line="360" w:lineRule="exact"/>
        <w:ind w:firstLine="420" w:firstLineChars="200"/>
        <w:rPr>
          <w:rFonts w:ascii="宋体" w:hAnsi="宋体"/>
          <w:sz w:val="21"/>
          <w:szCs w:val="21"/>
        </w:rPr>
      </w:pPr>
      <w:r>
        <w:rPr>
          <w:rFonts w:hint="eastAsia" w:ascii="宋体" w:hAnsi="宋体"/>
          <w:sz w:val="21"/>
          <w:szCs w:val="21"/>
        </w:rPr>
        <w:t>（</w:t>
      </w:r>
      <w:r>
        <w:rPr>
          <w:rFonts w:ascii="宋体" w:hAnsi="宋体"/>
          <w:sz w:val="21"/>
          <w:szCs w:val="21"/>
        </w:rPr>
        <w:t>1</w:t>
      </w:r>
      <w:r>
        <w:rPr>
          <w:rFonts w:hint="eastAsia" w:ascii="宋体" w:hAnsi="宋体"/>
          <w:sz w:val="21"/>
          <w:szCs w:val="21"/>
        </w:rPr>
        <w:t>）现场室内试验：除合同另有约定外，承包人现场试验室的建设费用，均包含在《工程量清单》项目的工程单价中，发包人不另行支付。</w:t>
      </w:r>
    </w:p>
    <w:p>
      <w:pPr>
        <w:snapToGrid w:val="0"/>
        <w:spacing w:line="360" w:lineRule="exact"/>
        <w:ind w:firstLine="420" w:firstLineChars="200"/>
        <w:rPr>
          <w:rFonts w:ascii="宋体" w:hAnsi="宋体"/>
          <w:sz w:val="21"/>
          <w:szCs w:val="21"/>
        </w:rPr>
      </w:pPr>
      <w:r>
        <w:rPr>
          <w:rFonts w:hint="eastAsia" w:ascii="宋体" w:hAnsi="宋体"/>
          <w:sz w:val="21"/>
          <w:szCs w:val="21"/>
        </w:rPr>
        <w:t>（</w:t>
      </w:r>
      <w:r>
        <w:rPr>
          <w:rFonts w:ascii="宋体" w:hAnsi="宋体"/>
          <w:sz w:val="21"/>
          <w:szCs w:val="21"/>
        </w:rPr>
        <w:t>2</w:t>
      </w:r>
      <w:r>
        <w:rPr>
          <w:rFonts w:hint="eastAsia" w:ascii="宋体" w:hAnsi="宋体"/>
          <w:sz w:val="21"/>
          <w:szCs w:val="21"/>
        </w:rPr>
        <w:t>）现场工艺试验：除合同另有约定外，现场工艺试验所需费用，均包含在《工程量清单》项目的工程单价中，发包人不另行支付。</w:t>
      </w:r>
    </w:p>
    <w:p>
      <w:pPr>
        <w:snapToGrid w:val="0"/>
        <w:spacing w:line="360" w:lineRule="exact"/>
        <w:ind w:firstLine="420" w:firstLineChars="200"/>
        <w:rPr>
          <w:rFonts w:ascii="宋体" w:hAnsi="宋体"/>
          <w:sz w:val="21"/>
          <w:szCs w:val="21"/>
        </w:rPr>
      </w:pPr>
      <w:r>
        <w:rPr>
          <w:rFonts w:hint="eastAsia" w:ascii="宋体" w:hAnsi="宋体"/>
          <w:sz w:val="21"/>
          <w:szCs w:val="21"/>
        </w:rPr>
        <w:t>（</w:t>
      </w:r>
      <w:r>
        <w:rPr>
          <w:rFonts w:ascii="宋体" w:hAnsi="宋体"/>
          <w:sz w:val="21"/>
          <w:szCs w:val="21"/>
        </w:rPr>
        <w:t>3</w:t>
      </w:r>
      <w:r>
        <w:rPr>
          <w:rFonts w:hint="eastAsia" w:ascii="宋体" w:hAnsi="宋体"/>
          <w:sz w:val="21"/>
          <w:szCs w:val="21"/>
        </w:rPr>
        <w:t>）现场生产性试验：除合同约定的大型现场生产性试验项目由发包人按《工程量清单》所列项目的总价支付外，其它各项生产性试验费用均包含在《工程量清单》相应项目的工程单价或总价中，发包人不另行支付。</w:t>
      </w:r>
    </w:p>
    <w:p>
      <w:pPr>
        <w:snapToGrid w:val="0"/>
        <w:spacing w:line="360" w:lineRule="exact"/>
        <w:ind w:firstLine="480" w:firstLineChars="200"/>
        <w:rPr>
          <w:rFonts w:ascii="宋体" w:hAnsi="宋体"/>
          <w:sz w:val="21"/>
          <w:szCs w:val="21"/>
        </w:rPr>
      </w:pPr>
      <w:r>
        <w:rPr>
          <w:rFonts w:hint="eastAsia"/>
          <w:b/>
          <w:bCs/>
          <w:snapToGrid w:val="0"/>
        </w:rPr>
        <w:t>2.15.3 施工交通设施</w:t>
      </w:r>
    </w:p>
    <w:p>
      <w:pPr>
        <w:snapToGrid w:val="0"/>
        <w:spacing w:line="360" w:lineRule="exact"/>
        <w:ind w:firstLine="420" w:firstLineChars="200"/>
        <w:rPr>
          <w:rFonts w:ascii="宋体" w:hAnsi="宋体"/>
          <w:sz w:val="21"/>
          <w:szCs w:val="21"/>
        </w:rPr>
      </w:pPr>
      <w:r>
        <w:rPr>
          <w:rFonts w:hint="eastAsia" w:ascii="宋体" w:hAnsi="宋体"/>
          <w:sz w:val="21"/>
          <w:szCs w:val="21"/>
        </w:rPr>
        <w:t>（1）除合同另有约定外，承包人根据合同要求完成场内施工道路的建设和施工期的管理维护工作所需的费用，由发包人按《工程量清单》相应项目的工程总价支付。</w:t>
      </w:r>
    </w:p>
    <w:p>
      <w:pPr>
        <w:snapToGrid w:val="0"/>
        <w:spacing w:line="360" w:lineRule="exact"/>
        <w:ind w:firstLine="420" w:firstLineChars="200"/>
        <w:rPr>
          <w:rFonts w:ascii="宋体" w:hAnsi="宋体"/>
          <w:sz w:val="21"/>
          <w:szCs w:val="21"/>
        </w:rPr>
      </w:pPr>
      <w:r>
        <w:rPr>
          <w:rFonts w:hint="eastAsia" w:ascii="宋体" w:hAnsi="宋体"/>
          <w:sz w:val="21"/>
          <w:szCs w:val="21"/>
        </w:rPr>
        <w:t>（2）场外公共交通的费用，除合同约定由承包人为场外公共交通修建和（或）维护的临时设施外，承包人在施工场地外的一切交通费用，均由承包人自行承担，发包人不另行支付。</w:t>
      </w:r>
    </w:p>
    <w:p>
      <w:pPr>
        <w:snapToGrid w:val="0"/>
        <w:spacing w:line="360" w:lineRule="exact"/>
        <w:ind w:firstLine="420" w:firstLineChars="200"/>
        <w:rPr>
          <w:rFonts w:ascii="宋体" w:hAnsi="宋体"/>
          <w:sz w:val="21"/>
          <w:szCs w:val="21"/>
        </w:rPr>
      </w:pPr>
      <w:r>
        <w:rPr>
          <w:rFonts w:hint="eastAsia" w:ascii="宋体" w:hAnsi="宋体"/>
          <w:sz w:val="21"/>
          <w:szCs w:val="21"/>
        </w:rPr>
        <w:t>（3）承包人承担的超大、超重件的运输费用，均由承包人自行负责，发包人不另行支付。超大、超重件的尺寸或重量超出合同约定的限度时，增加的费用由发包人承担。</w:t>
      </w:r>
    </w:p>
    <w:p>
      <w:pPr>
        <w:pStyle w:val="7"/>
        <w:snapToGrid w:val="0"/>
        <w:spacing w:line="360" w:lineRule="exact"/>
        <w:rPr>
          <w:rStyle w:val="47"/>
          <w:rFonts w:ascii="宋体" w:hAnsi="宋体"/>
          <w:color w:val="auto"/>
          <w:sz w:val="21"/>
          <w:szCs w:val="21"/>
        </w:rPr>
      </w:pPr>
      <w:r>
        <w:rPr>
          <w:rStyle w:val="47"/>
          <w:rFonts w:hint="eastAsia" w:ascii="宋体" w:hAnsi="宋体"/>
          <w:color w:val="auto"/>
          <w:sz w:val="21"/>
          <w:szCs w:val="21"/>
        </w:rPr>
        <w:t>2.15.4 施工及生活供电设施</w:t>
      </w:r>
    </w:p>
    <w:p>
      <w:pPr>
        <w:snapToGrid w:val="0"/>
        <w:spacing w:line="360" w:lineRule="exact"/>
        <w:ind w:firstLine="420" w:firstLineChars="200"/>
        <w:rPr>
          <w:rFonts w:ascii="宋体" w:hAnsi="宋体"/>
          <w:sz w:val="21"/>
          <w:szCs w:val="21"/>
        </w:rPr>
      </w:pPr>
      <w:r>
        <w:rPr>
          <w:rFonts w:hint="eastAsia" w:ascii="宋体" w:hAnsi="宋体"/>
          <w:sz w:val="21"/>
          <w:szCs w:val="21"/>
        </w:rPr>
        <w:t>除合同另有约定外，承包人根据合同要求完成施工用电设施的建设、移设和拆除工作所需的费用，由发包人按《工程量清单》相应项目的工程单价或总价支付。</w:t>
      </w:r>
    </w:p>
    <w:p>
      <w:pPr>
        <w:pStyle w:val="7"/>
        <w:snapToGrid w:val="0"/>
        <w:spacing w:line="360" w:lineRule="exact"/>
        <w:rPr>
          <w:rStyle w:val="47"/>
          <w:rFonts w:ascii="宋体" w:hAnsi="宋体"/>
          <w:color w:val="auto"/>
          <w:sz w:val="21"/>
          <w:szCs w:val="21"/>
        </w:rPr>
      </w:pPr>
      <w:r>
        <w:rPr>
          <w:rStyle w:val="47"/>
          <w:rFonts w:hint="eastAsia" w:ascii="宋体" w:hAnsi="宋体"/>
          <w:color w:val="auto"/>
          <w:sz w:val="21"/>
          <w:szCs w:val="21"/>
        </w:rPr>
        <w:t>2.15.5 施工及生活供水设施</w:t>
      </w:r>
    </w:p>
    <w:p>
      <w:pPr>
        <w:snapToGrid w:val="0"/>
        <w:spacing w:line="360" w:lineRule="exact"/>
        <w:ind w:firstLine="420" w:firstLineChars="200"/>
        <w:rPr>
          <w:rFonts w:ascii="宋体" w:hAnsi="宋体"/>
          <w:sz w:val="21"/>
          <w:szCs w:val="21"/>
        </w:rPr>
      </w:pPr>
      <w:r>
        <w:rPr>
          <w:rFonts w:hint="eastAsia" w:ascii="宋体" w:hAnsi="宋体"/>
          <w:sz w:val="21"/>
          <w:szCs w:val="21"/>
        </w:rPr>
        <w:t>除合同另有约定外，承包人根据合同要求完成施工及生活供水设施的建设、移设和拆除工作所需的费用，由发包人按《工程量清单》相应项目的工程单价或总价支付。</w:t>
      </w:r>
    </w:p>
    <w:p>
      <w:pPr>
        <w:pStyle w:val="7"/>
        <w:snapToGrid w:val="0"/>
        <w:spacing w:line="360" w:lineRule="exact"/>
        <w:rPr>
          <w:rStyle w:val="47"/>
          <w:rFonts w:ascii="宋体" w:hAnsi="宋体"/>
          <w:color w:val="auto"/>
          <w:sz w:val="21"/>
          <w:szCs w:val="21"/>
        </w:rPr>
      </w:pPr>
      <w:r>
        <w:rPr>
          <w:rStyle w:val="47"/>
          <w:rFonts w:hint="eastAsia" w:ascii="宋体" w:hAnsi="宋体"/>
          <w:color w:val="auto"/>
          <w:sz w:val="21"/>
          <w:szCs w:val="21"/>
        </w:rPr>
        <w:t>2.15.6 施工供风设施</w:t>
      </w:r>
    </w:p>
    <w:p>
      <w:pPr>
        <w:snapToGrid w:val="0"/>
        <w:spacing w:line="360" w:lineRule="exact"/>
        <w:ind w:firstLine="420" w:firstLineChars="200"/>
        <w:rPr>
          <w:rFonts w:ascii="宋体" w:hAnsi="宋体"/>
          <w:sz w:val="21"/>
          <w:szCs w:val="21"/>
        </w:rPr>
      </w:pPr>
      <w:r>
        <w:rPr>
          <w:rFonts w:hint="eastAsia" w:ascii="宋体" w:hAnsi="宋体"/>
          <w:sz w:val="21"/>
          <w:szCs w:val="21"/>
        </w:rPr>
        <w:t>除合同另有约定外，承包人根据合同要求完成施工供风设施的建设、移设和拆除工作所需的费用，由发包人按《工程量清单》相应项目的工程单价或总价支付。</w:t>
      </w:r>
    </w:p>
    <w:p>
      <w:pPr>
        <w:pStyle w:val="7"/>
        <w:snapToGrid w:val="0"/>
        <w:spacing w:line="360" w:lineRule="exact"/>
        <w:rPr>
          <w:rStyle w:val="47"/>
          <w:rFonts w:ascii="宋体" w:hAnsi="宋体"/>
          <w:color w:val="auto"/>
          <w:sz w:val="21"/>
          <w:szCs w:val="21"/>
        </w:rPr>
      </w:pPr>
      <w:r>
        <w:rPr>
          <w:rStyle w:val="47"/>
          <w:rFonts w:hint="eastAsia" w:ascii="宋体" w:hAnsi="宋体"/>
          <w:color w:val="auto"/>
          <w:sz w:val="21"/>
          <w:szCs w:val="21"/>
        </w:rPr>
        <w:t>2.15.7 施工照明设施</w:t>
      </w:r>
    </w:p>
    <w:p>
      <w:pPr>
        <w:snapToGrid w:val="0"/>
        <w:spacing w:line="360" w:lineRule="exact"/>
        <w:ind w:firstLine="420" w:firstLineChars="200"/>
        <w:rPr>
          <w:rFonts w:ascii="宋体" w:hAnsi="宋体"/>
          <w:sz w:val="21"/>
          <w:szCs w:val="21"/>
        </w:rPr>
      </w:pPr>
      <w:r>
        <w:rPr>
          <w:rFonts w:hint="eastAsia" w:ascii="宋体" w:hAnsi="宋体"/>
          <w:sz w:val="21"/>
          <w:szCs w:val="21"/>
        </w:rPr>
        <w:t>除合同另有约定外，承包人根据合同要求完成施工照明设施的建设、移置、维护管理和拆除工作所需的费用，由发包人按《工程量清单》相应项目的工程单价或总价中支付。</w:t>
      </w:r>
    </w:p>
    <w:p>
      <w:pPr>
        <w:pStyle w:val="7"/>
        <w:snapToGrid w:val="0"/>
        <w:spacing w:line="360" w:lineRule="exact"/>
        <w:rPr>
          <w:rStyle w:val="47"/>
          <w:rFonts w:ascii="宋体" w:hAnsi="宋体"/>
          <w:color w:val="auto"/>
          <w:sz w:val="21"/>
          <w:szCs w:val="21"/>
        </w:rPr>
      </w:pPr>
      <w:r>
        <w:rPr>
          <w:rStyle w:val="47"/>
          <w:rFonts w:hint="eastAsia" w:ascii="宋体" w:hAnsi="宋体"/>
          <w:color w:val="auto"/>
          <w:sz w:val="21"/>
          <w:szCs w:val="21"/>
        </w:rPr>
        <w:t>2.15.8 施工通信</w:t>
      </w:r>
    </w:p>
    <w:p>
      <w:pPr>
        <w:snapToGrid w:val="0"/>
        <w:spacing w:line="360" w:lineRule="exact"/>
        <w:ind w:firstLine="404" w:firstLineChars="200"/>
        <w:rPr>
          <w:rFonts w:ascii="宋体" w:hAnsi="宋体"/>
          <w:spacing w:val="-4"/>
          <w:sz w:val="21"/>
          <w:szCs w:val="21"/>
        </w:rPr>
      </w:pPr>
      <w:r>
        <w:rPr>
          <w:rFonts w:hint="eastAsia" w:ascii="宋体" w:hAnsi="宋体"/>
          <w:spacing w:val="-4"/>
          <w:sz w:val="21"/>
          <w:szCs w:val="21"/>
        </w:rPr>
        <w:t>除合同另有约定外，承包人根据合同要求完成现场施工通信和邮政设施的建设、移设、维护管理和拆除工作所需的费用，</w:t>
      </w:r>
      <w:r>
        <w:rPr>
          <w:rFonts w:hint="eastAsia" w:ascii="宋体" w:hAnsi="宋体"/>
          <w:sz w:val="21"/>
          <w:szCs w:val="21"/>
        </w:rPr>
        <w:t>由发包人按</w:t>
      </w:r>
      <w:r>
        <w:rPr>
          <w:rFonts w:hint="eastAsia" w:ascii="宋体" w:hAnsi="宋体"/>
          <w:spacing w:val="-4"/>
          <w:sz w:val="21"/>
          <w:szCs w:val="21"/>
        </w:rPr>
        <w:t>《工程量清单》相应项目的工程单价或总价支付。</w:t>
      </w:r>
    </w:p>
    <w:p>
      <w:pPr>
        <w:pStyle w:val="7"/>
        <w:snapToGrid w:val="0"/>
        <w:spacing w:line="360" w:lineRule="exact"/>
        <w:rPr>
          <w:rStyle w:val="47"/>
          <w:rFonts w:ascii="宋体" w:hAnsi="宋体"/>
          <w:color w:val="auto"/>
          <w:sz w:val="21"/>
          <w:szCs w:val="21"/>
        </w:rPr>
      </w:pPr>
      <w:r>
        <w:rPr>
          <w:rStyle w:val="47"/>
          <w:rFonts w:hint="eastAsia" w:ascii="宋体" w:hAnsi="宋体"/>
          <w:color w:val="auto"/>
          <w:sz w:val="21"/>
          <w:szCs w:val="21"/>
        </w:rPr>
        <w:t>2.15.9 混凝土生产系统</w:t>
      </w:r>
    </w:p>
    <w:p>
      <w:pPr>
        <w:snapToGrid w:val="0"/>
        <w:spacing w:line="360" w:lineRule="exact"/>
        <w:ind w:firstLine="420" w:firstLineChars="200"/>
        <w:rPr>
          <w:rFonts w:ascii="宋体" w:hAnsi="宋体"/>
          <w:sz w:val="21"/>
          <w:szCs w:val="21"/>
        </w:rPr>
      </w:pPr>
      <w:r>
        <w:rPr>
          <w:rFonts w:hint="eastAsia" w:ascii="宋体" w:hAnsi="宋体"/>
          <w:sz w:val="21"/>
          <w:szCs w:val="21"/>
        </w:rPr>
        <w:t>除合同另有约定外，承包人根据合同要求完成混凝土生产系统的建设和拆除工作所需的费用，由发包人按《工程量清单》相应项目的工程单价或总价支付。</w:t>
      </w:r>
    </w:p>
    <w:p>
      <w:pPr>
        <w:pStyle w:val="7"/>
        <w:snapToGrid w:val="0"/>
        <w:spacing w:line="360" w:lineRule="exact"/>
        <w:rPr>
          <w:rStyle w:val="47"/>
          <w:rFonts w:ascii="宋体" w:hAnsi="宋体"/>
          <w:color w:val="auto"/>
          <w:sz w:val="21"/>
          <w:szCs w:val="21"/>
        </w:rPr>
      </w:pPr>
      <w:r>
        <w:rPr>
          <w:rStyle w:val="47"/>
          <w:rFonts w:hint="eastAsia" w:ascii="宋体" w:hAnsi="宋体"/>
          <w:color w:val="auto"/>
          <w:sz w:val="21"/>
          <w:szCs w:val="21"/>
        </w:rPr>
        <w:t>2.15.10 附属加工厂</w:t>
      </w:r>
    </w:p>
    <w:p>
      <w:pPr>
        <w:snapToGrid w:val="0"/>
        <w:spacing w:line="360" w:lineRule="exact"/>
        <w:ind w:firstLine="420" w:firstLineChars="200"/>
        <w:rPr>
          <w:rFonts w:ascii="宋体" w:hAnsi="宋体"/>
          <w:sz w:val="21"/>
          <w:szCs w:val="21"/>
        </w:rPr>
      </w:pPr>
      <w:r>
        <w:rPr>
          <w:rFonts w:hint="eastAsia" w:ascii="宋体" w:hAnsi="宋体"/>
          <w:sz w:val="21"/>
          <w:szCs w:val="21"/>
        </w:rPr>
        <w:t>除合同另有约定外，承包人根据合同要求完成附属加工厂的建设、维护管理和拆除工作所需的费用，由发包人按《工程量清单》相应项目的工程单价或总价支付。</w:t>
      </w:r>
    </w:p>
    <w:p>
      <w:pPr>
        <w:pStyle w:val="7"/>
        <w:snapToGrid w:val="0"/>
        <w:spacing w:line="360" w:lineRule="exact"/>
        <w:rPr>
          <w:rStyle w:val="47"/>
          <w:rFonts w:ascii="宋体" w:hAnsi="宋体"/>
          <w:color w:val="auto"/>
          <w:sz w:val="21"/>
          <w:szCs w:val="21"/>
        </w:rPr>
      </w:pPr>
      <w:r>
        <w:rPr>
          <w:rStyle w:val="47"/>
          <w:rFonts w:hint="eastAsia" w:ascii="宋体" w:hAnsi="宋体"/>
          <w:color w:val="auto"/>
          <w:sz w:val="21"/>
          <w:szCs w:val="21"/>
        </w:rPr>
        <w:t>2.15.11 仓库和存料场</w:t>
      </w:r>
    </w:p>
    <w:p>
      <w:pPr>
        <w:snapToGrid w:val="0"/>
        <w:spacing w:line="360" w:lineRule="exact"/>
        <w:ind w:firstLine="420" w:firstLineChars="200"/>
        <w:rPr>
          <w:rFonts w:ascii="宋体" w:hAnsi="宋体"/>
          <w:sz w:val="21"/>
          <w:szCs w:val="21"/>
        </w:rPr>
      </w:pPr>
      <w:r>
        <w:rPr>
          <w:rFonts w:hint="eastAsia" w:ascii="宋体" w:hAnsi="宋体"/>
          <w:sz w:val="21"/>
          <w:szCs w:val="21"/>
        </w:rPr>
        <w:t>除合同另有约定外，承包人根据合同要求完成仓库或存料场的建设、维护管理和拆除工作所需的费用，由发包人按《工程量清单》相应项目的工程单价或总价支付。</w:t>
      </w:r>
    </w:p>
    <w:p>
      <w:pPr>
        <w:pStyle w:val="7"/>
        <w:snapToGrid w:val="0"/>
        <w:spacing w:line="360" w:lineRule="exact"/>
        <w:rPr>
          <w:rStyle w:val="47"/>
          <w:rFonts w:ascii="宋体" w:hAnsi="宋体"/>
          <w:color w:val="auto"/>
          <w:sz w:val="21"/>
          <w:szCs w:val="21"/>
        </w:rPr>
      </w:pPr>
      <w:r>
        <w:rPr>
          <w:rStyle w:val="47"/>
          <w:rFonts w:hint="eastAsia" w:ascii="宋体" w:hAnsi="宋体"/>
          <w:color w:val="auto"/>
          <w:sz w:val="21"/>
          <w:szCs w:val="21"/>
        </w:rPr>
        <w:t>2.15.12 弃渣场</w:t>
      </w:r>
    </w:p>
    <w:p>
      <w:pPr>
        <w:snapToGrid w:val="0"/>
        <w:spacing w:line="360" w:lineRule="exact"/>
        <w:ind w:firstLine="420" w:firstLineChars="200"/>
        <w:rPr>
          <w:rFonts w:ascii="宋体" w:hAnsi="宋体"/>
          <w:sz w:val="21"/>
          <w:szCs w:val="21"/>
        </w:rPr>
      </w:pPr>
      <w:r>
        <w:rPr>
          <w:rFonts w:hint="eastAsia" w:ascii="宋体" w:hAnsi="宋体"/>
          <w:sz w:val="21"/>
          <w:szCs w:val="21"/>
        </w:rPr>
        <w:t>除合同另有约定外，承包人根据合同要求完成弃渣场的建设和维护管理等工作所需的费用，由发包人按《工程量清单》相应项目的工程单价或总价支付。</w:t>
      </w:r>
    </w:p>
    <w:p>
      <w:pPr>
        <w:pStyle w:val="7"/>
        <w:snapToGrid w:val="0"/>
        <w:spacing w:line="360" w:lineRule="exact"/>
        <w:rPr>
          <w:rStyle w:val="47"/>
          <w:rFonts w:ascii="宋体" w:hAnsi="宋体"/>
          <w:color w:val="auto"/>
          <w:sz w:val="21"/>
          <w:szCs w:val="21"/>
        </w:rPr>
      </w:pPr>
      <w:r>
        <w:rPr>
          <w:rStyle w:val="47"/>
          <w:rFonts w:hint="eastAsia" w:ascii="宋体" w:hAnsi="宋体"/>
          <w:color w:val="auto"/>
          <w:sz w:val="21"/>
          <w:szCs w:val="21"/>
        </w:rPr>
        <w:t>2.15.13 临时生产管理和生活设施</w:t>
      </w:r>
    </w:p>
    <w:p>
      <w:pPr>
        <w:snapToGrid w:val="0"/>
        <w:spacing w:line="360" w:lineRule="exact"/>
        <w:ind w:firstLine="420" w:firstLineChars="200"/>
        <w:rPr>
          <w:rFonts w:ascii="宋体" w:hAnsi="宋体"/>
          <w:sz w:val="21"/>
          <w:szCs w:val="21"/>
        </w:rPr>
      </w:pPr>
      <w:r>
        <w:rPr>
          <w:rFonts w:hint="eastAsia" w:ascii="宋体" w:hAnsi="宋体"/>
          <w:sz w:val="21"/>
          <w:szCs w:val="21"/>
        </w:rPr>
        <w:t>除合同另有约定外，承包人根据合同要求完成临时生产管理和生活设施的建设、移设、维护管理和拆除工作所需的费用，由发包人按《工程量清单》相应项目的工程单价或总价支付。</w:t>
      </w:r>
    </w:p>
    <w:p>
      <w:pPr>
        <w:pStyle w:val="7"/>
        <w:snapToGrid w:val="0"/>
        <w:spacing w:line="360" w:lineRule="exact"/>
        <w:rPr>
          <w:rStyle w:val="47"/>
          <w:rFonts w:ascii="宋体" w:hAnsi="宋体"/>
          <w:color w:val="auto"/>
          <w:sz w:val="21"/>
          <w:szCs w:val="21"/>
        </w:rPr>
      </w:pPr>
      <w:r>
        <w:rPr>
          <w:rStyle w:val="47"/>
          <w:rFonts w:hint="eastAsia" w:ascii="宋体" w:hAnsi="宋体"/>
          <w:color w:val="auto"/>
          <w:sz w:val="21"/>
          <w:szCs w:val="21"/>
        </w:rPr>
        <w:t>2.15.14 其它临时设施</w:t>
      </w:r>
    </w:p>
    <w:p>
      <w:pPr>
        <w:snapToGrid w:val="0"/>
        <w:spacing w:line="360" w:lineRule="exact"/>
        <w:ind w:firstLine="420" w:firstLineChars="200"/>
        <w:rPr>
          <w:rFonts w:ascii="宋体" w:hAnsi="宋体"/>
          <w:sz w:val="21"/>
          <w:szCs w:val="21"/>
        </w:rPr>
      </w:pPr>
      <w:r>
        <w:rPr>
          <w:rFonts w:hint="eastAsia" w:ascii="宋体" w:hAnsi="宋体"/>
          <w:sz w:val="21"/>
          <w:szCs w:val="21"/>
        </w:rPr>
        <w:t>未列人《工程量清单》的其它临时设施，承包人根据合同要求完成这些设施的建设、移置、维护管理和拆除工作所需的费用，包含在相应永久工程项目的工程单价或总价中，发包人不另行支付。</w:t>
      </w:r>
    </w:p>
    <w:bookmarkEnd w:id="467"/>
    <w:p>
      <w:pPr>
        <w:pStyle w:val="5"/>
        <w:spacing w:line="360" w:lineRule="auto"/>
        <w:rPr>
          <w:szCs w:val="30"/>
        </w:rPr>
      </w:pPr>
      <w:bookmarkStart w:id="565" w:name="_Toc282782374"/>
      <w:bookmarkStart w:id="566" w:name="_Toc311407728"/>
      <w:bookmarkStart w:id="567" w:name="_Toc336325342"/>
    </w:p>
    <w:bookmarkEnd w:id="565"/>
    <w:bookmarkEnd w:id="566"/>
    <w:bookmarkEnd w:id="567"/>
    <w:p>
      <w:pPr>
        <w:pStyle w:val="5"/>
        <w:spacing w:line="360" w:lineRule="exact"/>
        <w:jc w:val="center"/>
        <w:rPr>
          <w:rFonts w:ascii="宋体" w:hAnsi="宋体" w:eastAsia="宋体" w:cs="宋体"/>
          <w:sz w:val="21"/>
          <w:szCs w:val="21"/>
        </w:rPr>
      </w:pPr>
      <w:bookmarkStart w:id="568" w:name="_Toc20258"/>
      <w:bookmarkStart w:id="569" w:name="_Toc32632"/>
      <w:bookmarkStart w:id="570" w:name="_Toc336325346"/>
      <w:bookmarkStart w:id="571" w:name="_Toc311407729"/>
      <w:bookmarkStart w:id="572" w:name="_Toc282782376"/>
      <w:r>
        <w:rPr>
          <w:rFonts w:hint="eastAsia" w:ascii="宋体" w:hAnsi="宋体" w:eastAsia="宋体" w:cs="宋体"/>
          <w:sz w:val="21"/>
          <w:szCs w:val="21"/>
        </w:rPr>
        <w:t>第3节施工安全措施</w:t>
      </w:r>
      <w:bookmarkEnd w:id="568"/>
      <w:bookmarkEnd w:id="569"/>
    </w:p>
    <w:p>
      <w:pPr>
        <w:pStyle w:val="16"/>
        <w:ind w:firstLine="0"/>
        <w:rPr>
          <w:rStyle w:val="49"/>
          <w:rFonts w:hAnsi="宋体"/>
          <w:sz w:val="21"/>
          <w:szCs w:val="21"/>
        </w:rPr>
      </w:pPr>
      <w:bookmarkStart w:id="573" w:name="_Toc17489"/>
      <w:bookmarkStart w:id="574" w:name="_Toc23538"/>
      <w:r>
        <w:rPr>
          <w:rStyle w:val="49"/>
          <w:rFonts w:hint="eastAsia" w:hAnsi="宋体"/>
          <w:sz w:val="21"/>
          <w:szCs w:val="21"/>
        </w:rPr>
        <w:t>3.1一般规定</w:t>
      </w:r>
    </w:p>
    <w:bookmarkEnd w:id="573"/>
    <w:bookmarkEnd w:id="574"/>
    <w:p>
      <w:pPr>
        <w:pStyle w:val="8"/>
        <w:numPr>
          <w:ilvl w:val="0"/>
          <w:numId w:val="0"/>
        </w:numPr>
        <w:adjustRightInd/>
        <w:snapToGrid/>
        <w:spacing w:before="0" w:beforeAutospacing="0" w:after="0" w:afterAutospacing="0" w:line="360" w:lineRule="exact"/>
        <w:rPr>
          <w:rFonts w:ascii="宋体" w:hAnsi="宋体" w:eastAsia="宋体" w:cs="宋体"/>
          <w:b/>
          <w:szCs w:val="21"/>
        </w:rPr>
      </w:pPr>
      <w:r>
        <w:rPr>
          <w:rFonts w:hint="eastAsia" w:ascii="宋体" w:hAnsi="宋体" w:eastAsia="宋体" w:cs="宋体"/>
          <w:b/>
          <w:szCs w:val="21"/>
        </w:rPr>
        <w:t>3.1.1应用范围</w:t>
      </w:r>
    </w:p>
    <w:p>
      <w:pPr>
        <w:spacing w:line="360" w:lineRule="exact"/>
        <w:ind w:firstLine="420" w:firstLineChars="200"/>
        <w:rPr>
          <w:rFonts w:ascii="宋体" w:hAnsi="宋体" w:eastAsia="宋体" w:cs="宋体"/>
          <w:snapToGrid w:val="0"/>
          <w:sz w:val="21"/>
          <w:szCs w:val="21"/>
        </w:rPr>
      </w:pPr>
      <w:r>
        <w:rPr>
          <w:rFonts w:hint="eastAsia" w:ascii="宋体" w:hAnsi="宋体" w:eastAsia="宋体" w:cs="宋体"/>
          <w:snapToGrid w:val="0"/>
          <w:sz w:val="21"/>
          <w:szCs w:val="21"/>
        </w:rPr>
        <w:t>本章适用于水利工程施工现场的文明施工及施工安全管理工作等，包括创建文明工地，作业环境安全保护，施工安全监测、监控及施工安全的防控等。</w:t>
      </w:r>
    </w:p>
    <w:p>
      <w:pPr>
        <w:pStyle w:val="8"/>
        <w:numPr>
          <w:ilvl w:val="0"/>
          <w:numId w:val="0"/>
        </w:numPr>
        <w:adjustRightInd/>
        <w:snapToGrid/>
        <w:spacing w:before="0" w:beforeAutospacing="0" w:after="0" w:afterAutospacing="0" w:line="360" w:lineRule="exact"/>
        <w:rPr>
          <w:rFonts w:ascii="宋体" w:hAnsi="宋体" w:eastAsia="宋体" w:cs="宋体"/>
          <w:b/>
          <w:szCs w:val="21"/>
        </w:rPr>
      </w:pPr>
      <w:r>
        <w:rPr>
          <w:rFonts w:hint="eastAsia" w:ascii="宋体" w:hAnsi="宋体" w:eastAsia="宋体" w:cs="宋体"/>
          <w:b/>
          <w:szCs w:val="21"/>
        </w:rPr>
        <w:t>3.1.2承包人责任</w:t>
      </w:r>
    </w:p>
    <w:p>
      <w:pPr>
        <w:spacing w:line="360" w:lineRule="exact"/>
        <w:ind w:firstLine="420" w:firstLineChars="200"/>
        <w:rPr>
          <w:rFonts w:ascii="宋体" w:hAnsi="宋体" w:eastAsia="宋体" w:cs="宋体"/>
          <w:snapToGrid w:val="0"/>
          <w:sz w:val="21"/>
          <w:szCs w:val="21"/>
        </w:rPr>
      </w:pPr>
      <w:r>
        <w:rPr>
          <w:rFonts w:hint="eastAsia" w:ascii="宋体" w:hAnsi="宋体" w:eastAsia="宋体" w:cs="宋体"/>
          <w:snapToGrid w:val="0"/>
          <w:sz w:val="21"/>
          <w:szCs w:val="21"/>
        </w:rPr>
        <w:t>（1）承包人应按本合同通用合同条款第9.2款的约定和《水利水电工程施工通用安全技本规程》（SL 398-2007）的规定履行其文明施工和安全施工职责，对本工程的文明施工和施工安全负责。</w:t>
      </w:r>
    </w:p>
    <w:p>
      <w:pPr>
        <w:spacing w:line="360" w:lineRule="exact"/>
        <w:ind w:firstLine="420" w:firstLineChars="200"/>
        <w:rPr>
          <w:rFonts w:ascii="宋体" w:hAnsi="宋体" w:eastAsia="宋体" w:cs="宋体"/>
          <w:snapToGrid w:val="0"/>
          <w:sz w:val="21"/>
          <w:szCs w:val="21"/>
        </w:rPr>
      </w:pPr>
      <w:r>
        <w:rPr>
          <w:rFonts w:hint="eastAsia" w:ascii="宋体" w:hAnsi="宋体" w:eastAsia="宋体" w:cs="宋体"/>
          <w:snapToGrid w:val="0"/>
          <w:sz w:val="21"/>
          <w:szCs w:val="21"/>
        </w:rPr>
        <w:t>（2）承包人应坚持“安全第一，预防为主，综合治理”的方针，建立、健全安全生产责任制度，制定各项安全生产规章制度和操作规程，建立完善的施工安全生产设施，健全安全生产保证体系，加强监督管理，切实保障全体人员的生命和财产安全。</w:t>
      </w:r>
    </w:p>
    <w:p>
      <w:pPr>
        <w:spacing w:line="360" w:lineRule="exact"/>
        <w:ind w:firstLine="420" w:firstLineChars="200"/>
        <w:rPr>
          <w:rFonts w:ascii="宋体" w:hAnsi="宋体" w:eastAsia="宋体" w:cs="宋体"/>
          <w:snapToGrid w:val="0"/>
          <w:sz w:val="21"/>
          <w:szCs w:val="21"/>
        </w:rPr>
      </w:pPr>
      <w:r>
        <w:rPr>
          <w:rFonts w:hint="eastAsia" w:ascii="宋体" w:hAnsi="宋体" w:eastAsia="宋体" w:cs="宋体"/>
          <w:snapToGrid w:val="0"/>
          <w:sz w:val="21"/>
          <w:szCs w:val="21"/>
        </w:rPr>
        <w:t>（3）承包人应加强对职工进行施工安全教育，应按本章第3.2款规定的内容，编印安全保护手册发给全体职工。工人上岗前应进行安全操作的培训和考核。合格者才准上岗。</w:t>
      </w:r>
    </w:p>
    <w:p>
      <w:pPr>
        <w:spacing w:line="360" w:lineRule="exact"/>
        <w:ind w:firstLine="420" w:firstLineChars="200"/>
        <w:rPr>
          <w:rFonts w:ascii="宋体" w:hAnsi="宋体" w:eastAsia="宋体" w:cs="宋体"/>
          <w:snapToGrid w:val="0"/>
          <w:sz w:val="21"/>
          <w:szCs w:val="21"/>
        </w:rPr>
      </w:pPr>
      <w:r>
        <w:rPr>
          <w:rFonts w:hint="eastAsia" w:ascii="宋体" w:hAnsi="宋体" w:eastAsia="宋体" w:cs="宋体"/>
          <w:snapToGrid w:val="0"/>
          <w:sz w:val="21"/>
          <w:szCs w:val="21"/>
        </w:rPr>
        <w:t>（4）承包人必须遵守国家颁布的有关安全规程。若承包人责任区内发生重大安全事故时，承包人应立即报告发包人，并在事故发生后</w:t>
      </w:r>
      <w:r>
        <w:rPr>
          <w:rFonts w:hint="eastAsia" w:ascii="宋体" w:hAnsi="宋体" w:eastAsia="宋体" w:cs="宋体"/>
          <w:snapToGrid w:val="0"/>
          <w:sz w:val="21"/>
          <w:szCs w:val="21"/>
          <w:u w:val="single"/>
        </w:rPr>
        <w:t xml:space="preserve"> 12～24</w:t>
      </w:r>
      <w:r>
        <w:rPr>
          <w:rFonts w:hint="eastAsia" w:ascii="宋体" w:hAnsi="宋体" w:eastAsia="宋体" w:cs="宋体"/>
          <w:snapToGrid w:val="0"/>
          <w:sz w:val="21"/>
          <w:szCs w:val="21"/>
        </w:rPr>
        <w:t>小时内提交事故情况的书面报告。</w:t>
      </w:r>
    </w:p>
    <w:p>
      <w:pPr>
        <w:spacing w:line="360" w:lineRule="exact"/>
        <w:ind w:firstLine="420" w:firstLineChars="200"/>
        <w:rPr>
          <w:rFonts w:ascii="宋体" w:hAnsi="宋体" w:eastAsia="宋体" w:cs="宋体"/>
          <w:snapToGrid w:val="0"/>
          <w:sz w:val="21"/>
          <w:szCs w:val="21"/>
        </w:rPr>
      </w:pPr>
      <w:r>
        <w:rPr>
          <w:rFonts w:hint="eastAsia" w:ascii="宋体" w:hAnsi="宋体" w:eastAsia="宋体" w:cs="宋体"/>
          <w:snapToGrid w:val="0"/>
          <w:sz w:val="21"/>
          <w:szCs w:val="21"/>
        </w:rPr>
        <w:t>（5）承包人应为施工作业人员配置必需的劳动保护用品。承包人应对其施工安全措施不到位而发生的安全事故承担责任。</w:t>
      </w:r>
    </w:p>
    <w:p>
      <w:pPr>
        <w:spacing w:line="360" w:lineRule="exact"/>
        <w:ind w:firstLine="420" w:firstLineChars="200"/>
        <w:rPr>
          <w:rFonts w:ascii="宋体" w:hAnsi="宋体" w:eastAsia="宋体" w:cs="宋体"/>
          <w:snapToGrid w:val="0"/>
          <w:sz w:val="21"/>
          <w:szCs w:val="21"/>
        </w:rPr>
      </w:pPr>
      <w:r>
        <w:rPr>
          <w:rFonts w:hint="eastAsia" w:ascii="宋体" w:hAnsi="宋体" w:eastAsia="宋体" w:cs="宋体"/>
          <w:snapToGrid w:val="0"/>
          <w:sz w:val="21"/>
          <w:szCs w:val="21"/>
        </w:rPr>
        <w:t>（6）承包人应负责全部施工作业的安全检查，建立专门的安全检查机构，配备专职的安检人员，进行经常性的安全生产检查，并及时作好安全记录。</w:t>
      </w:r>
    </w:p>
    <w:p>
      <w:pPr>
        <w:spacing w:line="360" w:lineRule="exact"/>
        <w:ind w:firstLine="420" w:firstLineChars="200"/>
        <w:rPr>
          <w:rFonts w:ascii="宋体" w:hAnsi="宋体" w:eastAsia="宋体" w:cs="宋体"/>
          <w:snapToGrid w:val="0"/>
          <w:sz w:val="21"/>
          <w:szCs w:val="21"/>
        </w:rPr>
      </w:pPr>
      <w:r>
        <w:rPr>
          <w:rFonts w:hint="eastAsia" w:ascii="宋体" w:hAnsi="宋体" w:eastAsia="宋体" w:cs="宋体"/>
          <w:snapToGrid w:val="0"/>
          <w:sz w:val="21"/>
          <w:szCs w:val="21"/>
        </w:rPr>
        <w:t>（7）承包人应按相关规定积极创建文明施工标准化工地建设，文明施工。</w:t>
      </w:r>
    </w:p>
    <w:p>
      <w:pPr>
        <w:pStyle w:val="8"/>
        <w:numPr>
          <w:ilvl w:val="0"/>
          <w:numId w:val="0"/>
        </w:numPr>
        <w:adjustRightInd/>
        <w:snapToGrid/>
        <w:spacing w:before="0" w:beforeAutospacing="0" w:after="0" w:afterAutospacing="0" w:line="360" w:lineRule="exact"/>
        <w:rPr>
          <w:rFonts w:ascii="宋体" w:hAnsi="宋体" w:eastAsia="宋体" w:cs="宋体"/>
          <w:b/>
          <w:szCs w:val="21"/>
        </w:rPr>
      </w:pPr>
      <w:r>
        <w:rPr>
          <w:rFonts w:hint="eastAsia" w:ascii="宋体" w:hAnsi="宋体" w:eastAsia="宋体" w:cs="宋体"/>
          <w:b/>
          <w:szCs w:val="21"/>
        </w:rPr>
        <w:t>3.1.3主要提交件</w:t>
      </w:r>
    </w:p>
    <w:p>
      <w:pPr>
        <w:spacing w:line="360" w:lineRule="exact"/>
        <w:ind w:firstLine="420" w:firstLineChars="200"/>
        <w:rPr>
          <w:rFonts w:ascii="宋体" w:hAnsi="宋体" w:eastAsia="宋体" w:cs="宋体"/>
          <w:snapToGrid w:val="0"/>
          <w:sz w:val="21"/>
          <w:szCs w:val="21"/>
        </w:rPr>
      </w:pPr>
      <w:r>
        <w:rPr>
          <w:rFonts w:hint="eastAsia" w:ascii="宋体" w:hAnsi="宋体" w:eastAsia="宋体" w:cs="宋体"/>
          <w:snapToGrid w:val="0"/>
          <w:sz w:val="21"/>
          <w:szCs w:val="21"/>
        </w:rPr>
        <w:t>（1）承包人应在本工程开工前 28 天，编制一份文明施工及创建标化工地措施计划，提交监理人批准。</w:t>
      </w:r>
    </w:p>
    <w:p>
      <w:pPr>
        <w:spacing w:line="360" w:lineRule="exact"/>
        <w:ind w:firstLine="420" w:firstLineChars="200"/>
        <w:rPr>
          <w:rFonts w:ascii="宋体" w:hAnsi="宋体" w:eastAsia="宋体" w:cs="宋体"/>
          <w:snapToGrid w:val="0"/>
          <w:sz w:val="21"/>
          <w:szCs w:val="21"/>
        </w:rPr>
      </w:pPr>
      <w:r>
        <w:rPr>
          <w:rFonts w:hint="eastAsia" w:ascii="宋体" w:hAnsi="宋体" w:eastAsia="宋体" w:cs="宋体"/>
          <w:snapToGrid w:val="0"/>
          <w:sz w:val="21"/>
          <w:szCs w:val="21"/>
        </w:rPr>
        <w:t>（2）承包人应在本工程开工前</w:t>
      </w:r>
      <w:r>
        <w:rPr>
          <w:rFonts w:hint="eastAsia" w:ascii="宋体" w:hAnsi="宋体" w:eastAsia="宋体" w:cs="宋体"/>
          <w:b/>
          <w:i/>
          <w:snapToGrid w:val="0"/>
          <w:sz w:val="21"/>
          <w:szCs w:val="21"/>
          <w:u w:val="single"/>
        </w:rPr>
        <w:t xml:space="preserve"> 28 </w:t>
      </w:r>
      <w:r>
        <w:rPr>
          <w:rFonts w:hint="eastAsia" w:ascii="宋体" w:hAnsi="宋体" w:eastAsia="宋体" w:cs="宋体"/>
          <w:snapToGrid w:val="0"/>
          <w:sz w:val="21"/>
          <w:szCs w:val="21"/>
        </w:rPr>
        <w:t>天，根据《中华人民共和国安全产法》《中华人民共和国消防法》《中华人民共和国道路交通安全法》《中华人民共和国传染病防治法》《水利工程建设安全生产管理规定》《浙江省水利工程施工安全生产工作导则》等国家行业和地方有关法规规章，以及本章第3.2.1项规定的内容和要求，编制一份施工安全措施计划，提交监理人批准。</w:t>
      </w:r>
    </w:p>
    <w:p>
      <w:pPr>
        <w:spacing w:line="360" w:lineRule="exact"/>
        <w:ind w:firstLine="420" w:firstLineChars="200"/>
        <w:rPr>
          <w:rFonts w:ascii="宋体" w:hAnsi="宋体" w:eastAsia="宋体" w:cs="宋体"/>
          <w:snapToGrid w:val="0"/>
          <w:sz w:val="21"/>
          <w:szCs w:val="21"/>
        </w:rPr>
      </w:pPr>
      <w:r>
        <w:rPr>
          <w:rFonts w:hint="eastAsia" w:ascii="宋体" w:hAnsi="宋体" w:eastAsia="宋体" w:cs="宋体"/>
          <w:snapToGrid w:val="0"/>
          <w:sz w:val="21"/>
          <w:szCs w:val="21"/>
        </w:rPr>
        <w:t>（3）承包人应在每年、每季和每月的进度报告中，按本章规定的各项安全工作内容，详细说明本工程安全措施计划的实施情况，包括对重大危险源和事故隐患分析、评估、监控和整改，以及按规定的格式提交安全检查和事故处理记录。</w:t>
      </w:r>
    </w:p>
    <w:p>
      <w:pPr>
        <w:pStyle w:val="8"/>
        <w:numPr>
          <w:ilvl w:val="0"/>
          <w:numId w:val="0"/>
        </w:numPr>
        <w:adjustRightInd/>
        <w:snapToGrid/>
        <w:spacing w:before="0" w:beforeAutospacing="0" w:after="0" w:afterAutospacing="0" w:line="360" w:lineRule="exact"/>
        <w:rPr>
          <w:rFonts w:ascii="宋体" w:hAnsi="宋体" w:eastAsia="宋体" w:cs="宋体"/>
          <w:b/>
          <w:szCs w:val="21"/>
        </w:rPr>
      </w:pPr>
      <w:r>
        <w:rPr>
          <w:rFonts w:hint="eastAsia" w:ascii="宋体" w:hAnsi="宋体" w:eastAsia="宋体" w:cs="宋体"/>
          <w:b/>
          <w:szCs w:val="21"/>
        </w:rPr>
        <w:t>3.1.4引用的法律法规规章</w:t>
      </w:r>
    </w:p>
    <w:p>
      <w:pPr>
        <w:spacing w:line="360" w:lineRule="exact"/>
        <w:ind w:firstLine="420" w:firstLineChars="200"/>
        <w:rPr>
          <w:rFonts w:ascii="宋体" w:hAnsi="宋体" w:eastAsia="宋体" w:cs="宋体"/>
          <w:snapToGrid w:val="0"/>
          <w:sz w:val="21"/>
          <w:szCs w:val="21"/>
        </w:rPr>
      </w:pPr>
      <w:r>
        <w:rPr>
          <w:rFonts w:hint="eastAsia" w:ascii="宋体" w:hAnsi="宋体" w:eastAsia="宋体" w:cs="宋体"/>
          <w:snapToGrid w:val="0"/>
          <w:sz w:val="21"/>
          <w:szCs w:val="21"/>
        </w:rPr>
        <w:t>（1）《水利工程建设安全生产管理规定》。</w:t>
      </w:r>
    </w:p>
    <w:p>
      <w:pPr>
        <w:spacing w:line="360" w:lineRule="exact"/>
        <w:ind w:firstLine="420" w:firstLineChars="200"/>
        <w:rPr>
          <w:rFonts w:ascii="宋体" w:hAnsi="宋体" w:eastAsia="宋体" w:cs="宋体"/>
          <w:snapToGrid w:val="0"/>
          <w:sz w:val="21"/>
          <w:szCs w:val="21"/>
        </w:rPr>
      </w:pPr>
      <w:r>
        <w:rPr>
          <w:rFonts w:hint="eastAsia" w:ascii="宋体" w:hAnsi="宋体" w:eastAsia="宋体" w:cs="宋体"/>
          <w:snapToGrid w:val="0"/>
          <w:sz w:val="21"/>
          <w:szCs w:val="21"/>
        </w:rPr>
        <w:t>（2）《安全技术措施计划的项目总名称表》。</w:t>
      </w:r>
    </w:p>
    <w:p>
      <w:pPr>
        <w:spacing w:line="360" w:lineRule="exact"/>
        <w:ind w:firstLine="420" w:firstLineChars="200"/>
        <w:rPr>
          <w:rFonts w:ascii="宋体" w:hAnsi="宋体" w:eastAsia="宋体" w:cs="宋体"/>
          <w:snapToGrid w:val="0"/>
          <w:sz w:val="21"/>
          <w:szCs w:val="21"/>
        </w:rPr>
      </w:pPr>
      <w:r>
        <w:rPr>
          <w:rFonts w:hint="eastAsia" w:ascii="宋体" w:hAnsi="宋体" w:eastAsia="宋体" w:cs="宋体"/>
          <w:snapToGrid w:val="0"/>
          <w:sz w:val="21"/>
          <w:szCs w:val="21"/>
        </w:rPr>
        <w:t>（3）《中华人民共和国道路交通安全法》。</w:t>
      </w:r>
    </w:p>
    <w:p>
      <w:pPr>
        <w:spacing w:line="360" w:lineRule="exact"/>
        <w:ind w:firstLine="420" w:firstLineChars="200"/>
        <w:rPr>
          <w:rFonts w:ascii="宋体" w:hAnsi="宋体" w:eastAsia="宋体" w:cs="宋体"/>
          <w:snapToGrid w:val="0"/>
          <w:sz w:val="21"/>
          <w:szCs w:val="21"/>
        </w:rPr>
      </w:pPr>
      <w:r>
        <w:rPr>
          <w:rFonts w:hint="eastAsia" w:ascii="宋体" w:hAnsi="宋体" w:eastAsia="宋体" w:cs="宋体"/>
          <w:snapToGrid w:val="0"/>
          <w:sz w:val="21"/>
          <w:szCs w:val="21"/>
        </w:rPr>
        <w:t>（4）《中华人民共和国安全生产法》。</w:t>
      </w:r>
    </w:p>
    <w:p>
      <w:pPr>
        <w:spacing w:line="360" w:lineRule="exact"/>
        <w:ind w:firstLine="420" w:firstLineChars="200"/>
        <w:rPr>
          <w:rFonts w:ascii="宋体" w:hAnsi="宋体" w:eastAsia="宋体" w:cs="宋体"/>
          <w:snapToGrid w:val="0"/>
          <w:sz w:val="21"/>
          <w:szCs w:val="21"/>
        </w:rPr>
      </w:pPr>
      <w:r>
        <w:rPr>
          <w:rFonts w:hint="eastAsia" w:ascii="宋体" w:hAnsi="宋体" w:eastAsia="宋体" w:cs="宋体"/>
          <w:snapToGrid w:val="0"/>
          <w:sz w:val="21"/>
          <w:szCs w:val="21"/>
        </w:rPr>
        <w:t>（5）《中华人民共和国消防法》。</w:t>
      </w:r>
    </w:p>
    <w:p>
      <w:pPr>
        <w:spacing w:line="360" w:lineRule="exact"/>
        <w:ind w:firstLine="420" w:firstLineChars="200"/>
        <w:rPr>
          <w:rFonts w:ascii="宋体" w:hAnsi="宋体" w:eastAsia="宋体" w:cs="宋体"/>
          <w:snapToGrid w:val="0"/>
          <w:sz w:val="21"/>
          <w:szCs w:val="21"/>
        </w:rPr>
      </w:pPr>
      <w:r>
        <w:rPr>
          <w:rFonts w:hint="eastAsia" w:ascii="宋体" w:hAnsi="宋体" w:eastAsia="宋体" w:cs="宋体"/>
          <w:snapToGrid w:val="0"/>
          <w:sz w:val="21"/>
          <w:szCs w:val="21"/>
        </w:rPr>
        <w:t>（6）《中华人民共和国传染病防治法实施办法》。</w:t>
      </w:r>
    </w:p>
    <w:p>
      <w:pPr>
        <w:spacing w:line="360" w:lineRule="exact"/>
        <w:ind w:firstLine="420" w:firstLineChars="200"/>
        <w:rPr>
          <w:rFonts w:ascii="宋体" w:hAnsi="宋体" w:eastAsia="宋体" w:cs="宋体"/>
          <w:snapToGrid w:val="0"/>
          <w:sz w:val="21"/>
          <w:szCs w:val="21"/>
        </w:rPr>
      </w:pPr>
      <w:r>
        <w:rPr>
          <w:rFonts w:hint="eastAsia" w:ascii="宋体" w:hAnsi="宋体" w:eastAsia="宋体" w:cs="宋体"/>
          <w:snapToGrid w:val="0"/>
          <w:sz w:val="21"/>
          <w:szCs w:val="21"/>
        </w:rPr>
        <w:t>（7）《中华人民共和国食品卫生法》。</w:t>
      </w:r>
    </w:p>
    <w:p>
      <w:pPr>
        <w:spacing w:line="360" w:lineRule="exact"/>
        <w:ind w:firstLine="420" w:firstLineChars="200"/>
        <w:rPr>
          <w:rFonts w:ascii="宋体" w:hAnsi="宋体" w:eastAsia="宋体" w:cs="宋体"/>
          <w:snapToGrid w:val="0"/>
          <w:sz w:val="21"/>
          <w:szCs w:val="21"/>
        </w:rPr>
      </w:pPr>
      <w:r>
        <w:rPr>
          <w:rFonts w:hint="eastAsia" w:ascii="宋体" w:hAnsi="宋体" w:eastAsia="宋体" w:cs="宋体"/>
          <w:snapToGrid w:val="0"/>
          <w:sz w:val="21"/>
          <w:szCs w:val="21"/>
        </w:rPr>
        <w:t>（8）《中华人民共和国劳动法》。</w:t>
      </w:r>
    </w:p>
    <w:p>
      <w:pPr>
        <w:spacing w:line="360" w:lineRule="exact"/>
        <w:ind w:firstLine="420" w:firstLineChars="200"/>
        <w:rPr>
          <w:rFonts w:ascii="宋体" w:hAnsi="宋体" w:eastAsia="宋体" w:cs="宋体"/>
          <w:snapToGrid w:val="0"/>
          <w:sz w:val="21"/>
          <w:szCs w:val="21"/>
        </w:rPr>
      </w:pPr>
      <w:r>
        <w:rPr>
          <w:rFonts w:hint="eastAsia" w:ascii="宋体" w:hAnsi="宋体" w:eastAsia="宋体" w:cs="宋体"/>
          <w:snapToGrid w:val="0"/>
          <w:sz w:val="21"/>
          <w:szCs w:val="21"/>
        </w:rPr>
        <w:t>（9）《浙江省安全生产条例》。</w:t>
      </w:r>
    </w:p>
    <w:p>
      <w:pPr>
        <w:spacing w:line="360" w:lineRule="exact"/>
        <w:ind w:firstLine="420" w:firstLineChars="200"/>
        <w:rPr>
          <w:rFonts w:ascii="宋体" w:hAnsi="宋体" w:eastAsia="宋体" w:cs="宋体"/>
          <w:snapToGrid w:val="0"/>
          <w:sz w:val="21"/>
          <w:szCs w:val="21"/>
        </w:rPr>
      </w:pPr>
      <w:r>
        <w:rPr>
          <w:rFonts w:hint="eastAsia" w:ascii="宋体" w:hAnsi="宋体" w:eastAsia="宋体" w:cs="宋体"/>
          <w:snapToGrid w:val="0"/>
          <w:sz w:val="21"/>
          <w:szCs w:val="21"/>
        </w:rPr>
        <w:t>（10）《浙江省水利工程施工安全生产工作导则》。</w:t>
      </w:r>
    </w:p>
    <w:p>
      <w:pPr>
        <w:pStyle w:val="8"/>
        <w:numPr>
          <w:ilvl w:val="0"/>
          <w:numId w:val="0"/>
        </w:numPr>
        <w:adjustRightInd/>
        <w:snapToGrid/>
        <w:spacing w:before="0" w:beforeAutospacing="0" w:after="0" w:afterAutospacing="0" w:line="360" w:lineRule="exact"/>
        <w:rPr>
          <w:rFonts w:ascii="宋体" w:hAnsi="宋体" w:eastAsia="宋体" w:cs="宋体"/>
          <w:b/>
          <w:szCs w:val="21"/>
        </w:rPr>
      </w:pPr>
      <w:r>
        <w:rPr>
          <w:rFonts w:hint="eastAsia" w:ascii="宋体" w:hAnsi="宋体" w:eastAsia="宋体" w:cs="宋体"/>
          <w:b/>
          <w:szCs w:val="21"/>
        </w:rPr>
        <w:t>3.1.5引用标准</w:t>
      </w:r>
    </w:p>
    <w:p>
      <w:pPr>
        <w:spacing w:line="360" w:lineRule="exact"/>
        <w:ind w:firstLine="420" w:firstLineChars="200"/>
        <w:rPr>
          <w:rFonts w:ascii="宋体" w:hAnsi="宋体" w:eastAsia="宋体" w:cs="宋体"/>
          <w:snapToGrid w:val="0"/>
          <w:sz w:val="21"/>
          <w:szCs w:val="21"/>
        </w:rPr>
      </w:pPr>
      <w:r>
        <w:rPr>
          <w:rFonts w:hint="eastAsia" w:ascii="宋体" w:hAnsi="宋体" w:eastAsia="宋体" w:cs="宋体"/>
          <w:snapToGrid w:val="0"/>
          <w:sz w:val="21"/>
          <w:szCs w:val="21"/>
        </w:rPr>
        <w:t>（1）《爆破安全规程》（GB 6722-20l4）。</w:t>
      </w:r>
    </w:p>
    <w:p>
      <w:pPr>
        <w:spacing w:line="360" w:lineRule="exact"/>
        <w:ind w:firstLine="420" w:firstLineChars="200"/>
        <w:rPr>
          <w:rFonts w:ascii="宋体" w:hAnsi="宋体" w:eastAsia="宋体" w:cs="宋体"/>
          <w:snapToGrid w:val="0"/>
          <w:sz w:val="21"/>
          <w:szCs w:val="21"/>
        </w:rPr>
      </w:pPr>
      <w:r>
        <w:rPr>
          <w:rFonts w:hint="eastAsia" w:ascii="宋体" w:hAnsi="宋体" w:eastAsia="宋体" w:cs="宋体"/>
          <w:snapToGrid w:val="0"/>
          <w:sz w:val="21"/>
          <w:szCs w:val="21"/>
        </w:rPr>
        <w:t>（2）《安全标志及其使用导则》（GB 2894-2008）。</w:t>
      </w:r>
    </w:p>
    <w:p>
      <w:pPr>
        <w:spacing w:line="360" w:lineRule="exact"/>
        <w:ind w:firstLine="420" w:firstLineChars="200"/>
        <w:rPr>
          <w:rFonts w:ascii="宋体" w:hAnsi="宋体" w:eastAsia="宋体" w:cs="宋体"/>
          <w:snapToGrid w:val="0"/>
          <w:sz w:val="21"/>
          <w:szCs w:val="21"/>
        </w:rPr>
      </w:pPr>
      <w:r>
        <w:rPr>
          <w:rFonts w:hint="eastAsia" w:ascii="宋体" w:hAnsi="宋体" w:eastAsia="宋体" w:cs="宋体"/>
          <w:snapToGrid w:val="0"/>
          <w:sz w:val="21"/>
          <w:szCs w:val="21"/>
        </w:rPr>
        <w:t>（3）《水利水电工程施工通用安全技术规程》（SL 398-2007）。</w:t>
      </w:r>
    </w:p>
    <w:p>
      <w:pPr>
        <w:spacing w:line="360" w:lineRule="exact"/>
        <w:ind w:firstLine="420" w:firstLineChars="200"/>
        <w:rPr>
          <w:rFonts w:ascii="宋体" w:hAnsi="宋体" w:eastAsia="宋体" w:cs="宋体"/>
          <w:snapToGrid w:val="0"/>
          <w:sz w:val="21"/>
          <w:szCs w:val="21"/>
        </w:rPr>
      </w:pPr>
      <w:r>
        <w:rPr>
          <w:rFonts w:hint="eastAsia" w:ascii="宋体" w:hAnsi="宋体" w:eastAsia="宋体" w:cs="宋体"/>
          <w:snapToGrid w:val="0"/>
          <w:sz w:val="21"/>
          <w:szCs w:val="21"/>
        </w:rPr>
        <w:t>（4）《水工建筑物地下开挖工程施工规范》 （SL 378-2007）。</w:t>
      </w:r>
    </w:p>
    <w:p>
      <w:pPr>
        <w:spacing w:line="360" w:lineRule="exact"/>
        <w:ind w:firstLine="420" w:firstLineChars="200"/>
        <w:rPr>
          <w:rFonts w:ascii="宋体" w:hAnsi="宋体" w:eastAsia="宋体" w:cs="宋体"/>
          <w:snapToGrid w:val="0"/>
          <w:sz w:val="21"/>
          <w:szCs w:val="21"/>
        </w:rPr>
      </w:pPr>
      <w:r>
        <w:rPr>
          <w:rFonts w:hint="eastAsia" w:ascii="宋体" w:hAnsi="宋体" w:eastAsia="宋体" w:cs="宋体"/>
          <w:snapToGrid w:val="0"/>
          <w:sz w:val="21"/>
          <w:szCs w:val="21"/>
        </w:rPr>
        <w:t>（5）《职业健康安全管理体系要求》（GB/T 28001-201l）。</w:t>
      </w:r>
    </w:p>
    <w:p>
      <w:pPr>
        <w:pStyle w:val="7"/>
        <w:spacing w:line="360" w:lineRule="exact"/>
        <w:rPr>
          <w:rFonts w:ascii="宋体" w:hAnsi="宋体" w:eastAsia="宋体" w:cs="宋体"/>
          <w:sz w:val="21"/>
          <w:szCs w:val="21"/>
        </w:rPr>
      </w:pPr>
      <w:bookmarkStart w:id="575" w:name="_Toc32045"/>
      <w:bookmarkStart w:id="576" w:name="_Toc2788"/>
      <w:r>
        <w:rPr>
          <w:rStyle w:val="49"/>
          <w:rFonts w:hint="eastAsia" w:ascii="Calibri" w:hAnsi="宋体" w:eastAsia="宋体" w:cs="Times New Roman"/>
          <w:b/>
          <w:sz w:val="21"/>
          <w:szCs w:val="21"/>
        </w:rPr>
        <w:t>3.2  文明施工措施</w:t>
      </w:r>
      <w:bookmarkEnd w:id="575"/>
      <w:bookmarkEnd w:id="576"/>
    </w:p>
    <w:p>
      <w:pPr>
        <w:pStyle w:val="8"/>
        <w:numPr>
          <w:ilvl w:val="0"/>
          <w:numId w:val="0"/>
        </w:numPr>
        <w:adjustRightInd/>
        <w:snapToGrid/>
        <w:spacing w:before="0" w:beforeAutospacing="0" w:after="0" w:afterAutospacing="0" w:line="360" w:lineRule="exact"/>
        <w:rPr>
          <w:rFonts w:ascii="宋体" w:hAnsi="宋体" w:eastAsia="宋体" w:cs="宋体"/>
          <w:b/>
          <w:szCs w:val="21"/>
        </w:rPr>
      </w:pPr>
      <w:r>
        <w:rPr>
          <w:rFonts w:hint="eastAsia" w:ascii="宋体" w:hAnsi="宋体" w:eastAsia="宋体" w:cs="宋体"/>
          <w:b/>
          <w:szCs w:val="21"/>
        </w:rPr>
        <w:t>3.2.1  文明施工措施计划</w:t>
      </w:r>
    </w:p>
    <w:p>
      <w:pPr>
        <w:spacing w:line="360" w:lineRule="exact"/>
        <w:ind w:firstLine="420" w:firstLineChars="200"/>
        <w:rPr>
          <w:rFonts w:ascii="宋体" w:hAnsi="宋体" w:eastAsia="宋体" w:cs="宋体"/>
          <w:snapToGrid w:val="0"/>
          <w:sz w:val="21"/>
          <w:szCs w:val="21"/>
        </w:rPr>
      </w:pPr>
      <w:r>
        <w:rPr>
          <w:rFonts w:hint="eastAsia" w:ascii="宋体" w:hAnsi="宋体" w:eastAsia="宋体" w:cs="宋体"/>
          <w:snapToGrid w:val="0"/>
          <w:sz w:val="21"/>
          <w:szCs w:val="21"/>
        </w:rPr>
        <w:t>承包人应按本章第3.1.3项的规定提交文明施工措施计划，主要内容包括“六牌一图”（概况、名单、安全、文明、消防、重大危险源公示牌，总平面图）、现场标牌（安全警示标志、文明标识、宣传标语等）设置，围护设施（围墙、围挡、彩条布固栏等）、场容场貌整洁（清扫、清洗、绿化等），现场地面整治及创建标化下地的措施计划等。</w:t>
      </w:r>
    </w:p>
    <w:p>
      <w:pPr>
        <w:pStyle w:val="8"/>
        <w:numPr>
          <w:ilvl w:val="0"/>
          <w:numId w:val="0"/>
        </w:numPr>
        <w:adjustRightInd/>
        <w:snapToGrid/>
        <w:spacing w:before="0" w:beforeAutospacing="0" w:after="0" w:afterAutospacing="0" w:line="360" w:lineRule="exact"/>
        <w:rPr>
          <w:rFonts w:ascii="宋体" w:hAnsi="宋体" w:eastAsia="宋体" w:cs="宋体"/>
          <w:b/>
          <w:szCs w:val="21"/>
        </w:rPr>
      </w:pPr>
      <w:r>
        <w:rPr>
          <w:rFonts w:hint="eastAsia" w:ascii="宋体" w:hAnsi="宋体" w:eastAsia="宋体" w:cs="宋体"/>
          <w:b/>
          <w:szCs w:val="21"/>
        </w:rPr>
        <w:t>3.2.2  六牌一图</w:t>
      </w:r>
    </w:p>
    <w:p>
      <w:pPr>
        <w:spacing w:line="360" w:lineRule="exact"/>
        <w:ind w:firstLine="420" w:firstLineChars="200"/>
        <w:rPr>
          <w:rFonts w:ascii="宋体" w:hAnsi="宋体" w:eastAsia="宋体" w:cs="宋体"/>
          <w:snapToGrid w:val="0"/>
          <w:sz w:val="21"/>
          <w:szCs w:val="21"/>
        </w:rPr>
      </w:pPr>
      <w:r>
        <w:rPr>
          <w:rFonts w:hint="eastAsia" w:ascii="宋体" w:hAnsi="宋体" w:eastAsia="宋体" w:cs="宋体"/>
          <w:snapToGrid w:val="0"/>
          <w:sz w:val="21"/>
          <w:szCs w:val="21"/>
        </w:rPr>
        <w:t>六牌一图（概况、名单、安全、文明、消防、重大危险源公示牌，总平面图）应设在项日部及其他醒目位置，尺寸不宜过小。</w:t>
      </w:r>
    </w:p>
    <w:p>
      <w:pPr>
        <w:pStyle w:val="8"/>
        <w:numPr>
          <w:ilvl w:val="0"/>
          <w:numId w:val="0"/>
        </w:numPr>
        <w:adjustRightInd/>
        <w:snapToGrid/>
        <w:spacing w:before="0" w:beforeAutospacing="0" w:after="0" w:afterAutospacing="0" w:line="360" w:lineRule="exact"/>
        <w:rPr>
          <w:rFonts w:ascii="宋体" w:hAnsi="宋体" w:eastAsia="宋体" w:cs="宋体"/>
          <w:b/>
          <w:szCs w:val="21"/>
        </w:rPr>
      </w:pPr>
      <w:r>
        <w:rPr>
          <w:rFonts w:hint="eastAsia" w:ascii="宋体" w:hAnsi="宋体" w:eastAsia="宋体" w:cs="宋体"/>
          <w:b/>
          <w:szCs w:val="21"/>
        </w:rPr>
        <w:t>3.2.3  现场标牌</w:t>
      </w:r>
    </w:p>
    <w:p>
      <w:pPr>
        <w:spacing w:line="360" w:lineRule="exact"/>
        <w:ind w:firstLine="420" w:firstLineChars="200"/>
        <w:rPr>
          <w:rFonts w:ascii="宋体" w:hAnsi="宋体" w:eastAsia="宋体" w:cs="宋体"/>
          <w:snapToGrid w:val="0"/>
          <w:sz w:val="21"/>
          <w:szCs w:val="21"/>
        </w:rPr>
      </w:pPr>
      <w:r>
        <w:rPr>
          <w:rFonts w:hint="eastAsia" w:ascii="宋体" w:hAnsi="宋体" w:eastAsia="宋体" w:cs="宋体"/>
          <w:snapToGrid w:val="0"/>
          <w:sz w:val="21"/>
          <w:szCs w:val="21"/>
        </w:rPr>
        <w:t>（1）安全警示标志垃设置在施工现场事故易发地，规格建议为宽12Ocm，高9Ocm。</w:t>
      </w:r>
    </w:p>
    <w:p>
      <w:pPr>
        <w:spacing w:line="360" w:lineRule="exact"/>
        <w:ind w:firstLine="420" w:firstLineChars="200"/>
        <w:rPr>
          <w:rFonts w:ascii="宋体" w:hAnsi="宋体" w:eastAsia="宋体" w:cs="宋体"/>
          <w:snapToGrid w:val="0"/>
          <w:sz w:val="21"/>
          <w:szCs w:val="21"/>
        </w:rPr>
      </w:pPr>
      <w:r>
        <w:rPr>
          <w:rFonts w:hint="eastAsia" w:ascii="宋体" w:hAnsi="宋体" w:eastAsia="宋体" w:cs="宋体"/>
          <w:snapToGrid w:val="0"/>
          <w:sz w:val="21"/>
          <w:szCs w:val="21"/>
        </w:rPr>
        <w:t>（2）安全警示标志应按监理人指示补充或更换失效的标志。</w:t>
      </w:r>
    </w:p>
    <w:p>
      <w:pPr>
        <w:spacing w:line="360" w:lineRule="exact"/>
        <w:ind w:firstLine="420" w:firstLineChars="200"/>
        <w:rPr>
          <w:rFonts w:ascii="宋体" w:hAnsi="宋体" w:eastAsia="宋体" w:cs="宋体"/>
          <w:snapToGrid w:val="0"/>
          <w:sz w:val="21"/>
          <w:szCs w:val="21"/>
        </w:rPr>
      </w:pPr>
      <w:r>
        <w:rPr>
          <w:rFonts w:hint="eastAsia" w:ascii="宋体" w:hAnsi="宋体" w:eastAsia="宋体" w:cs="宋体"/>
          <w:snapToGrid w:val="0"/>
          <w:sz w:val="21"/>
          <w:szCs w:val="21"/>
        </w:rPr>
        <w:t>（3）现场标牌中需公布监督电话，主动接受社会各界的监督。</w:t>
      </w:r>
    </w:p>
    <w:p>
      <w:pPr>
        <w:pStyle w:val="8"/>
        <w:numPr>
          <w:ilvl w:val="0"/>
          <w:numId w:val="0"/>
        </w:numPr>
        <w:adjustRightInd/>
        <w:snapToGrid/>
        <w:spacing w:before="0" w:beforeAutospacing="0" w:after="0" w:afterAutospacing="0" w:line="360" w:lineRule="exact"/>
        <w:rPr>
          <w:rFonts w:ascii="宋体" w:hAnsi="宋体" w:eastAsia="宋体" w:cs="宋体"/>
          <w:b/>
          <w:szCs w:val="21"/>
        </w:rPr>
      </w:pPr>
      <w:r>
        <w:rPr>
          <w:rFonts w:hint="eastAsia" w:ascii="宋体" w:hAnsi="宋体" w:eastAsia="宋体" w:cs="宋体"/>
          <w:b/>
          <w:szCs w:val="21"/>
        </w:rPr>
        <w:t>3.2.4  围护设施</w:t>
      </w:r>
    </w:p>
    <w:p>
      <w:pPr>
        <w:spacing w:line="360" w:lineRule="exact"/>
        <w:ind w:firstLine="420" w:firstLineChars="200"/>
        <w:rPr>
          <w:rFonts w:ascii="宋体" w:hAnsi="宋体" w:eastAsia="宋体" w:cs="宋体"/>
          <w:snapToGrid w:val="0"/>
          <w:sz w:val="21"/>
          <w:szCs w:val="21"/>
        </w:rPr>
      </w:pPr>
      <w:r>
        <w:rPr>
          <w:rFonts w:hint="eastAsia" w:ascii="宋体" w:hAnsi="宋体" w:eastAsia="宋体" w:cs="宋体"/>
          <w:snapToGrid w:val="0"/>
          <w:sz w:val="21"/>
          <w:szCs w:val="21"/>
        </w:rPr>
        <w:t>（1）根据施工现场情况，需尽量修建维护设施进行封闭施工，减轻对周边环境的影响。</w:t>
      </w:r>
    </w:p>
    <w:p>
      <w:pPr>
        <w:spacing w:line="360" w:lineRule="exact"/>
        <w:ind w:firstLine="420" w:firstLineChars="200"/>
        <w:rPr>
          <w:rFonts w:ascii="宋体" w:hAnsi="宋体" w:eastAsia="宋体" w:cs="宋体"/>
          <w:snapToGrid w:val="0"/>
          <w:sz w:val="21"/>
          <w:szCs w:val="21"/>
        </w:rPr>
      </w:pPr>
      <w:r>
        <w:rPr>
          <w:rFonts w:hint="eastAsia" w:ascii="宋体" w:hAnsi="宋体" w:eastAsia="宋体" w:cs="宋体"/>
          <w:snapToGrid w:val="0"/>
          <w:sz w:val="21"/>
          <w:szCs w:val="21"/>
        </w:rPr>
        <w:t>（2）围护设施需满足安全要求。</w:t>
      </w:r>
    </w:p>
    <w:p>
      <w:pPr>
        <w:pStyle w:val="7"/>
        <w:spacing w:line="360" w:lineRule="exact"/>
        <w:rPr>
          <w:rStyle w:val="49"/>
          <w:rFonts w:ascii="Calibri" w:hAnsi="宋体" w:eastAsia="宋体" w:cs="Times New Roman"/>
          <w:b/>
          <w:sz w:val="21"/>
          <w:szCs w:val="21"/>
        </w:rPr>
      </w:pPr>
      <w:bookmarkStart w:id="577" w:name="_Toc29329"/>
      <w:bookmarkStart w:id="578" w:name="_Toc24600"/>
      <w:r>
        <w:rPr>
          <w:rStyle w:val="49"/>
          <w:rFonts w:hint="eastAsia" w:ascii="Calibri" w:hAnsi="宋体" w:eastAsia="宋体" w:cs="Times New Roman"/>
          <w:b/>
          <w:sz w:val="21"/>
          <w:szCs w:val="21"/>
        </w:rPr>
        <w:t>3.3施工安全措施</w:t>
      </w:r>
    </w:p>
    <w:bookmarkEnd w:id="577"/>
    <w:bookmarkEnd w:id="578"/>
    <w:p>
      <w:pPr>
        <w:pStyle w:val="8"/>
        <w:numPr>
          <w:ilvl w:val="0"/>
          <w:numId w:val="0"/>
        </w:numPr>
        <w:adjustRightInd/>
        <w:snapToGrid/>
        <w:spacing w:before="0" w:beforeAutospacing="0" w:after="0" w:afterAutospacing="0" w:line="360" w:lineRule="exact"/>
        <w:rPr>
          <w:rFonts w:ascii="宋体" w:hAnsi="宋体" w:eastAsia="宋体" w:cs="宋体"/>
          <w:b/>
          <w:szCs w:val="21"/>
        </w:rPr>
      </w:pPr>
      <w:r>
        <w:rPr>
          <w:rFonts w:hint="eastAsia" w:ascii="宋体" w:hAnsi="宋体" w:eastAsia="宋体" w:cs="宋体"/>
          <w:b/>
          <w:szCs w:val="21"/>
        </w:rPr>
        <w:t>3.3.1施工安全措施计划</w:t>
      </w:r>
    </w:p>
    <w:p>
      <w:pPr>
        <w:spacing w:line="360" w:lineRule="exact"/>
        <w:ind w:firstLine="420" w:firstLineChars="200"/>
        <w:rPr>
          <w:rFonts w:ascii="宋体" w:hAnsi="宋体" w:eastAsia="宋体" w:cs="宋体"/>
          <w:snapToGrid w:val="0"/>
          <w:sz w:val="21"/>
          <w:szCs w:val="21"/>
        </w:rPr>
      </w:pPr>
      <w:r>
        <w:rPr>
          <w:rFonts w:hint="eastAsia" w:ascii="宋体" w:hAnsi="宋体" w:eastAsia="宋体" w:cs="宋体"/>
          <w:snapToGrid w:val="0"/>
          <w:sz w:val="21"/>
          <w:szCs w:val="21"/>
        </w:rPr>
        <w:t>承包人应按本章第3.1.3项的规定提交施工安全措施计划，其内容应包括施工安全机构的设置、专职安全人员的配备，安全作业环境和安全防护措施及用具、装备，安全设施及特种设备的监测、监控，特殊安全作业防护用品、救生设施、防毒面具、有毒气体检测仪器，安全警示、安全保卫设施，以及防洪、防火、防毒、防噪声、防爆破烟尘、救护、警报、治安和炸药管理等。施工安全措施的项目和范围，还应符合国家颁发的《安全技术措施计划的项目总名称表》及其附录H、附录1、附录J的规定。并对重大危险源和事故隐患分析、评估、监控和整改。</w:t>
      </w:r>
    </w:p>
    <w:p>
      <w:pPr>
        <w:pStyle w:val="8"/>
        <w:numPr>
          <w:ilvl w:val="0"/>
          <w:numId w:val="0"/>
        </w:numPr>
        <w:adjustRightInd/>
        <w:snapToGrid/>
        <w:spacing w:before="0" w:beforeAutospacing="0" w:after="0" w:afterAutospacing="0" w:line="360" w:lineRule="exact"/>
        <w:rPr>
          <w:rFonts w:ascii="宋体" w:hAnsi="宋体" w:eastAsia="宋体" w:cs="宋体"/>
          <w:b/>
          <w:szCs w:val="21"/>
        </w:rPr>
      </w:pPr>
      <w:r>
        <w:rPr>
          <w:rFonts w:hint="eastAsia" w:ascii="宋体" w:hAnsi="宋体" w:eastAsia="宋体" w:cs="宋体"/>
          <w:b/>
          <w:szCs w:val="21"/>
        </w:rPr>
        <w:t>3.3.2劳动保护</w:t>
      </w:r>
    </w:p>
    <w:p>
      <w:pPr>
        <w:spacing w:line="360" w:lineRule="exact"/>
        <w:ind w:firstLine="420" w:firstLineChars="200"/>
        <w:rPr>
          <w:rFonts w:ascii="宋体" w:hAnsi="宋体" w:eastAsia="宋体" w:cs="宋体"/>
          <w:snapToGrid w:val="0"/>
          <w:sz w:val="21"/>
          <w:szCs w:val="21"/>
        </w:rPr>
      </w:pPr>
      <w:r>
        <w:rPr>
          <w:rFonts w:hint="eastAsia" w:ascii="宋体" w:hAnsi="宋体" w:eastAsia="宋体" w:cs="宋体"/>
          <w:snapToGrid w:val="0"/>
          <w:sz w:val="21"/>
          <w:szCs w:val="21"/>
        </w:rPr>
        <w:t>（1）承包人应定期向所有现场施工人员发放安全帽、水鞋、雨衣、手套、手灯、防护面具和安全带等劳动保护用品，以及特殊工种作业人员的劳动保护津贴和营养补助等。</w:t>
      </w:r>
    </w:p>
    <w:p>
      <w:pPr>
        <w:spacing w:line="360" w:lineRule="exact"/>
        <w:ind w:firstLine="420" w:firstLineChars="200"/>
        <w:rPr>
          <w:rFonts w:ascii="宋体" w:hAnsi="宋体" w:eastAsia="宋体" w:cs="宋体"/>
          <w:snapToGrid w:val="0"/>
          <w:sz w:val="21"/>
          <w:szCs w:val="21"/>
        </w:rPr>
      </w:pPr>
      <w:r>
        <w:rPr>
          <w:rFonts w:hint="eastAsia" w:ascii="宋体" w:hAnsi="宋体" w:eastAsia="宋体" w:cs="宋体"/>
          <w:snapToGrid w:val="0"/>
          <w:sz w:val="21"/>
          <w:szCs w:val="21"/>
        </w:rPr>
        <w:t>（2）按《中华人民共和国劳动法》的有关规定安排现场作业人员的劳动和休息时间，加班时间不得超过《中华人民共和国劳动法》第四章的规定。</w:t>
      </w:r>
    </w:p>
    <w:p>
      <w:pPr>
        <w:pStyle w:val="8"/>
        <w:numPr>
          <w:ilvl w:val="0"/>
          <w:numId w:val="0"/>
        </w:numPr>
        <w:adjustRightInd/>
        <w:snapToGrid/>
        <w:spacing w:before="0" w:beforeAutospacing="0" w:after="0" w:afterAutospacing="0" w:line="360" w:lineRule="exact"/>
        <w:rPr>
          <w:rFonts w:ascii="宋体" w:hAnsi="宋体" w:eastAsia="宋体" w:cs="宋体"/>
          <w:b/>
          <w:szCs w:val="21"/>
        </w:rPr>
      </w:pPr>
      <w:r>
        <w:rPr>
          <w:rFonts w:hint="eastAsia" w:ascii="宋体" w:hAnsi="宋体" w:eastAsia="宋体" w:cs="宋体"/>
          <w:b/>
          <w:szCs w:val="21"/>
        </w:rPr>
        <w:t>3.3.3伤病防治和卫生保健</w:t>
      </w:r>
    </w:p>
    <w:p>
      <w:pPr>
        <w:spacing w:line="360" w:lineRule="exact"/>
        <w:ind w:firstLine="420" w:firstLineChars="200"/>
        <w:rPr>
          <w:rFonts w:ascii="宋体" w:hAnsi="宋体" w:eastAsia="宋体" w:cs="宋体"/>
          <w:snapToGrid w:val="0"/>
          <w:sz w:val="21"/>
          <w:szCs w:val="21"/>
        </w:rPr>
      </w:pPr>
      <w:r>
        <w:rPr>
          <w:rFonts w:hint="eastAsia" w:ascii="宋体" w:hAnsi="宋体" w:eastAsia="宋体" w:cs="宋体"/>
          <w:snapToGrid w:val="0"/>
          <w:sz w:val="21"/>
          <w:szCs w:val="21"/>
        </w:rPr>
        <w:t>（1）承包人应在施工现场设置医疗卫生机构，负责施工人员的伤病防治和卫生保健工作。</w:t>
      </w:r>
    </w:p>
    <w:p>
      <w:pPr>
        <w:spacing w:line="360" w:lineRule="exact"/>
        <w:ind w:firstLine="420" w:firstLineChars="200"/>
        <w:rPr>
          <w:rFonts w:ascii="宋体" w:hAnsi="宋体" w:eastAsia="宋体" w:cs="宋体"/>
          <w:snapToGrid w:val="0"/>
          <w:sz w:val="21"/>
          <w:szCs w:val="21"/>
        </w:rPr>
      </w:pPr>
      <w:r>
        <w:rPr>
          <w:rFonts w:hint="eastAsia" w:ascii="宋体" w:hAnsi="宋体" w:eastAsia="宋体" w:cs="宋体"/>
          <w:snapToGrid w:val="0"/>
          <w:sz w:val="21"/>
          <w:szCs w:val="21"/>
        </w:rPr>
        <w:t>（2）施工人员进入生活区和作业面前，应对环境进行卫生清理，以及采取消毒、杀虫、灭鼠等卫生措施，并对饮用水进行消毒。</w:t>
      </w:r>
    </w:p>
    <w:p>
      <w:pPr>
        <w:spacing w:line="360" w:lineRule="exact"/>
        <w:ind w:firstLine="420" w:firstLineChars="200"/>
        <w:rPr>
          <w:rFonts w:ascii="宋体" w:hAnsi="宋体" w:eastAsia="宋体" w:cs="宋体"/>
          <w:snapToGrid w:val="0"/>
          <w:sz w:val="21"/>
          <w:szCs w:val="21"/>
        </w:rPr>
      </w:pPr>
      <w:r>
        <w:rPr>
          <w:rFonts w:hint="eastAsia" w:ascii="宋体" w:hAnsi="宋体" w:eastAsia="宋体" w:cs="宋体"/>
          <w:snapToGrid w:val="0"/>
          <w:sz w:val="21"/>
          <w:szCs w:val="21"/>
        </w:rPr>
        <w:t>（3）及时做好病源和疫情监测。一旦发现疫情，应立即采取措施控制感染源和感染者。</w:t>
      </w:r>
    </w:p>
    <w:p>
      <w:pPr>
        <w:spacing w:line="360" w:lineRule="exact"/>
        <w:ind w:firstLine="420" w:firstLineChars="200"/>
        <w:rPr>
          <w:rFonts w:ascii="宋体" w:hAnsi="宋体" w:eastAsia="宋体" w:cs="宋体"/>
          <w:snapToGrid w:val="0"/>
          <w:sz w:val="21"/>
          <w:szCs w:val="21"/>
        </w:rPr>
      </w:pPr>
      <w:r>
        <w:rPr>
          <w:rFonts w:hint="eastAsia" w:ascii="宋体" w:hAnsi="宋体" w:eastAsia="宋体" w:cs="宋体"/>
          <w:snapToGrid w:val="0"/>
          <w:sz w:val="21"/>
          <w:szCs w:val="21"/>
        </w:rPr>
        <w:t>（4）职工食堂应严格执行《中华人民共和国食品卫生法》的有关规定。</w:t>
      </w:r>
    </w:p>
    <w:p>
      <w:pPr>
        <w:spacing w:line="360" w:lineRule="exact"/>
        <w:ind w:firstLine="420" w:firstLineChars="200"/>
        <w:rPr>
          <w:rFonts w:ascii="宋体" w:hAnsi="宋体" w:eastAsia="宋体" w:cs="宋体"/>
          <w:snapToGrid w:val="0"/>
          <w:sz w:val="21"/>
          <w:szCs w:val="21"/>
        </w:rPr>
      </w:pPr>
      <w:r>
        <w:rPr>
          <w:rFonts w:hint="eastAsia" w:ascii="宋体" w:hAnsi="宋体" w:eastAsia="宋体" w:cs="宋体"/>
          <w:snapToGrid w:val="0"/>
          <w:sz w:val="21"/>
          <w:szCs w:val="21"/>
        </w:rPr>
        <w:t>（5）所有传染病人、病原携带者和疑似病人一律不得从事易于使该病传播的工作。</w:t>
      </w:r>
    </w:p>
    <w:p>
      <w:pPr>
        <w:pStyle w:val="8"/>
        <w:numPr>
          <w:ilvl w:val="0"/>
          <w:numId w:val="0"/>
        </w:numPr>
        <w:adjustRightInd/>
        <w:snapToGrid/>
        <w:spacing w:before="0" w:beforeAutospacing="0" w:after="0" w:afterAutospacing="0" w:line="360" w:lineRule="exact"/>
        <w:rPr>
          <w:rFonts w:ascii="宋体" w:hAnsi="宋体" w:eastAsia="宋体" w:cs="宋体"/>
          <w:b/>
          <w:szCs w:val="21"/>
        </w:rPr>
      </w:pPr>
      <w:r>
        <w:rPr>
          <w:rFonts w:hint="eastAsia" w:ascii="宋体" w:hAnsi="宋体" w:eastAsia="宋体" w:cs="宋体"/>
          <w:b/>
          <w:szCs w:val="21"/>
        </w:rPr>
        <w:t>3.3.4危险物品的安全管理</w:t>
      </w:r>
    </w:p>
    <w:p>
      <w:pPr>
        <w:spacing w:line="360" w:lineRule="exact"/>
        <w:ind w:firstLine="420" w:firstLineChars="200"/>
        <w:rPr>
          <w:rFonts w:ascii="宋体" w:hAnsi="宋体" w:eastAsia="宋体" w:cs="宋体"/>
          <w:snapToGrid w:val="0"/>
          <w:sz w:val="21"/>
          <w:szCs w:val="21"/>
        </w:rPr>
      </w:pPr>
      <w:r>
        <w:rPr>
          <w:rFonts w:hint="eastAsia" w:ascii="宋体" w:hAnsi="宋体" w:eastAsia="宋体" w:cs="宋体"/>
          <w:snapToGrid w:val="0"/>
          <w:sz w:val="21"/>
          <w:szCs w:val="21"/>
        </w:rPr>
        <w:t>承包人运输和存放爆破器材，应遵守《水利水电施工通用安全技术规程》（SL 398-2007）第8.3.3条、第8.3.4条的规定；油料的运输和管理应遵守《水利水电施工通用安全技术规程》（SL 398-2007）第11.5节的规定。</w:t>
      </w:r>
    </w:p>
    <w:p>
      <w:pPr>
        <w:pStyle w:val="8"/>
        <w:numPr>
          <w:ilvl w:val="0"/>
          <w:numId w:val="0"/>
        </w:numPr>
        <w:adjustRightInd/>
        <w:snapToGrid/>
        <w:spacing w:before="0" w:beforeAutospacing="0" w:after="0" w:afterAutospacing="0" w:line="360" w:lineRule="exact"/>
        <w:rPr>
          <w:rFonts w:ascii="宋体" w:hAnsi="宋体" w:eastAsia="宋体" w:cs="宋体"/>
          <w:b/>
          <w:szCs w:val="21"/>
        </w:rPr>
      </w:pPr>
      <w:r>
        <w:rPr>
          <w:rFonts w:hint="eastAsia" w:ascii="宋体" w:hAnsi="宋体" w:eastAsia="宋体" w:cs="宋体"/>
          <w:b/>
          <w:szCs w:val="21"/>
        </w:rPr>
        <w:t>3.3.5照明安全</w:t>
      </w:r>
    </w:p>
    <w:p>
      <w:pPr>
        <w:spacing w:line="360" w:lineRule="exact"/>
        <w:ind w:firstLine="420" w:firstLineChars="200"/>
        <w:rPr>
          <w:rFonts w:ascii="宋体" w:hAnsi="宋体" w:eastAsia="宋体" w:cs="宋体"/>
          <w:snapToGrid w:val="0"/>
          <w:sz w:val="21"/>
          <w:szCs w:val="21"/>
        </w:rPr>
      </w:pPr>
      <w:r>
        <w:rPr>
          <w:rFonts w:hint="eastAsia" w:ascii="宋体" w:hAnsi="宋体" w:eastAsia="宋体" w:cs="宋体"/>
          <w:snapToGrid w:val="0"/>
          <w:sz w:val="21"/>
          <w:szCs w:val="21"/>
        </w:rPr>
        <w:t>承包人应在施工作业区、施工道路、临时设施、办公区和生活区设置足够的照明，地下洞室的施工作业区、运输通道应布置照明设施符合《水利水电施工通用安全技术规程》（SL 398-2007）第4.5.9～4.5.14条的规定。</w:t>
      </w:r>
    </w:p>
    <w:p>
      <w:pPr>
        <w:pStyle w:val="8"/>
        <w:numPr>
          <w:ilvl w:val="0"/>
          <w:numId w:val="0"/>
        </w:numPr>
        <w:adjustRightInd/>
        <w:snapToGrid/>
        <w:spacing w:before="0" w:beforeAutospacing="0" w:after="0" w:afterAutospacing="0" w:line="360" w:lineRule="exact"/>
        <w:rPr>
          <w:rFonts w:ascii="宋体" w:hAnsi="宋体" w:eastAsia="宋体" w:cs="宋体"/>
          <w:b/>
          <w:szCs w:val="21"/>
        </w:rPr>
      </w:pPr>
      <w:r>
        <w:rPr>
          <w:rFonts w:hint="eastAsia" w:ascii="宋体" w:hAnsi="宋体" w:eastAsia="宋体" w:cs="宋体"/>
          <w:b/>
          <w:szCs w:val="21"/>
        </w:rPr>
        <w:t>3.3.6接地及防雷装置</w:t>
      </w:r>
    </w:p>
    <w:p>
      <w:pPr>
        <w:spacing w:line="360" w:lineRule="exact"/>
        <w:ind w:firstLine="420" w:firstLineChars="200"/>
        <w:rPr>
          <w:rFonts w:ascii="宋体" w:hAnsi="宋体" w:eastAsia="宋体" w:cs="宋体"/>
          <w:snapToGrid w:val="0"/>
          <w:sz w:val="21"/>
          <w:szCs w:val="21"/>
        </w:rPr>
      </w:pPr>
      <w:r>
        <w:rPr>
          <w:rFonts w:hint="eastAsia" w:ascii="宋体" w:hAnsi="宋体" w:eastAsia="宋体" w:cs="宋体"/>
          <w:snapToGrid w:val="0"/>
          <w:sz w:val="21"/>
          <w:szCs w:val="21"/>
        </w:rPr>
        <w:t>接地及防雷装置应符合《水利水电施工通用安全技术规程》（SL 398-2007）第4.2节接地（接零）与防雷规定的要求。凡可能漏电伤人或易受雷击的电器及建筑物均应设置接地或防雷装置。</w:t>
      </w:r>
    </w:p>
    <w:p>
      <w:pPr>
        <w:pStyle w:val="8"/>
        <w:numPr>
          <w:ilvl w:val="0"/>
          <w:numId w:val="0"/>
        </w:numPr>
        <w:adjustRightInd/>
        <w:snapToGrid/>
        <w:spacing w:before="0" w:beforeAutospacing="0" w:after="0" w:afterAutospacing="0" w:line="360" w:lineRule="exact"/>
        <w:rPr>
          <w:rFonts w:ascii="宋体" w:hAnsi="宋体" w:eastAsia="宋体" w:cs="宋体"/>
          <w:b/>
          <w:szCs w:val="21"/>
        </w:rPr>
      </w:pPr>
      <w:r>
        <w:rPr>
          <w:rFonts w:hint="eastAsia" w:ascii="宋体" w:hAnsi="宋体" w:eastAsia="宋体" w:cs="宋体"/>
          <w:b/>
          <w:szCs w:val="21"/>
        </w:rPr>
        <w:t>3.3.7防有毒、有害物品的控制</w:t>
      </w:r>
    </w:p>
    <w:p>
      <w:pPr>
        <w:spacing w:line="360" w:lineRule="exact"/>
        <w:ind w:firstLine="420" w:firstLineChars="200"/>
        <w:rPr>
          <w:rFonts w:ascii="宋体" w:hAnsi="宋体" w:eastAsia="宋体" w:cs="宋体"/>
          <w:snapToGrid w:val="0"/>
          <w:sz w:val="21"/>
          <w:szCs w:val="21"/>
        </w:rPr>
      </w:pPr>
      <w:r>
        <w:rPr>
          <w:rFonts w:hint="eastAsia" w:ascii="宋体" w:hAnsi="宋体" w:eastAsia="宋体" w:cs="宋体"/>
          <w:snapToGrid w:val="0"/>
          <w:sz w:val="21"/>
          <w:szCs w:val="21"/>
        </w:rPr>
        <w:t>承包人应遵守《水工建筑物地下开挖工程施工规范》（SL 378-2007）第11.3节防尘、有害气体的规定。</w:t>
      </w:r>
    </w:p>
    <w:p>
      <w:pPr>
        <w:pStyle w:val="8"/>
        <w:numPr>
          <w:ilvl w:val="0"/>
          <w:numId w:val="0"/>
        </w:numPr>
        <w:adjustRightInd/>
        <w:snapToGrid/>
        <w:spacing w:before="0" w:beforeAutospacing="0" w:after="0" w:afterAutospacing="0" w:line="360" w:lineRule="exact"/>
        <w:rPr>
          <w:rFonts w:ascii="宋体" w:hAnsi="宋体" w:eastAsia="宋体" w:cs="宋体"/>
          <w:b/>
          <w:szCs w:val="21"/>
        </w:rPr>
      </w:pPr>
      <w:r>
        <w:rPr>
          <w:rFonts w:hint="eastAsia" w:ascii="宋体" w:hAnsi="宋体" w:eastAsia="宋体" w:cs="宋体"/>
          <w:b/>
          <w:szCs w:val="21"/>
        </w:rPr>
        <w:t>3.3.8爆破作业安全</w:t>
      </w:r>
    </w:p>
    <w:p>
      <w:pPr>
        <w:spacing w:line="360" w:lineRule="exact"/>
        <w:ind w:firstLine="420" w:firstLineChars="200"/>
        <w:rPr>
          <w:rFonts w:ascii="宋体" w:hAnsi="宋体" w:eastAsia="宋体" w:cs="宋体"/>
          <w:snapToGrid w:val="0"/>
          <w:sz w:val="21"/>
          <w:szCs w:val="21"/>
        </w:rPr>
      </w:pPr>
      <w:r>
        <w:rPr>
          <w:rFonts w:hint="eastAsia" w:ascii="宋体" w:hAnsi="宋体" w:eastAsia="宋体" w:cs="宋体"/>
          <w:snapToGrid w:val="0"/>
          <w:sz w:val="21"/>
          <w:szCs w:val="21"/>
        </w:rPr>
        <w:t>（1）承包人的施工爆破作业应严格遵照《爆破安全规程》（GB 6722-2014）及国家有关爆破安全管理的规定。承包人应对爆破造成的工程和人身损害和财产损失承担责任。</w:t>
      </w:r>
    </w:p>
    <w:p>
      <w:pPr>
        <w:spacing w:line="360" w:lineRule="exact"/>
        <w:ind w:firstLine="420" w:firstLineChars="200"/>
        <w:rPr>
          <w:rFonts w:ascii="宋体" w:hAnsi="宋体" w:eastAsia="宋体" w:cs="宋体"/>
          <w:snapToGrid w:val="0"/>
          <w:sz w:val="21"/>
          <w:szCs w:val="21"/>
        </w:rPr>
      </w:pPr>
      <w:r>
        <w:rPr>
          <w:rFonts w:hint="eastAsia" w:ascii="宋体" w:hAnsi="宋体" w:eastAsia="宋体" w:cs="宋体"/>
          <w:snapToGrid w:val="0"/>
          <w:sz w:val="21"/>
          <w:szCs w:val="21"/>
        </w:rPr>
        <w:t>（2）对实施电引爆的作业区，承包人应采用必要的特殊安全装置，以防止暴风雨时的大气或邻近电气设备放电的影响。特殊安全装置应经过试验证明其确保安全可靠时方可使用。试验报告应提交监理人。</w:t>
      </w:r>
    </w:p>
    <w:p>
      <w:pPr>
        <w:spacing w:line="360" w:lineRule="exact"/>
        <w:ind w:firstLine="420" w:firstLineChars="200"/>
        <w:rPr>
          <w:rFonts w:ascii="宋体" w:hAnsi="宋体" w:eastAsia="宋体" w:cs="宋体"/>
          <w:snapToGrid w:val="0"/>
          <w:sz w:val="21"/>
          <w:szCs w:val="21"/>
        </w:rPr>
      </w:pPr>
      <w:r>
        <w:rPr>
          <w:rFonts w:hint="eastAsia" w:ascii="宋体" w:hAnsi="宋体" w:eastAsia="宋体" w:cs="宋体"/>
          <w:snapToGrid w:val="0"/>
          <w:sz w:val="21"/>
          <w:szCs w:val="21"/>
        </w:rPr>
        <w:t>（3）当承包人的现场爆破作业对其他承包人的施工造成干扰及影响临近设施和人员的安全时，应由监理人协调解决。现场爆破时，各方均应服从爆破作业指挥人员的命令。</w:t>
      </w:r>
    </w:p>
    <w:p>
      <w:pPr>
        <w:pStyle w:val="8"/>
        <w:numPr>
          <w:ilvl w:val="0"/>
          <w:numId w:val="0"/>
        </w:numPr>
        <w:adjustRightInd/>
        <w:snapToGrid/>
        <w:spacing w:before="0" w:beforeAutospacing="0" w:after="0" w:afterAutospacing="0" w:line="360" w:lineRule="exact"/>
        <w:rPr>
          <w:rFonts w:ascii="宋体" w:hAnsi="宋体" w:eastAsia="宋体" w:cs="宋体"/>
          <w:b/>
          <w:szCs w:val="21"/>
        </w:rPr>
      </w:pPr>
      <w:r>
        <w:rPr>
          <w:rFonts w:hint="eastAsia" w:ascii="宋体" w:hAnsi="宋体" w:eastAsia="宋体" w:cs="宋体"/>
          <w:b/>
          <w:szCs w:val="21"/>
        </w:rPr>
        <w:t>3.3.9消防</w:t>
      </w:r>
    </w:p>
    <w:p>
      <w:pPr>
        <w:spacing w:line="360" w:lineRule="exact"/>
        <w:ind w:firstLine="420" w:firstLineChars="200"/>
        <w:rPr>
          <w:rFonts w:ascii="宋体" w:hAnsi="宋体" w:eastAsia="宋体" w:cs="宋体"/>
          <w:snapToGrid w:val="0"/>
          <w:sz w:val="21"/>
          <w:szCs w:val="21"/>
        </w:rPr>
      </w:pPr>
      <w:r>
        <w:rPr>
          <w:rFonts w:hint="eastAsia" w:ascii="宋体" w:hAnsi="宋体" w:eastAsia="宋体" w:cs="宋体"/>
          <w:snapToGrid w:val="0"/>
          <w:sz w:val="21"/>
          <w:szCs w:val="21"/>
        </w:rPr>
        <w:t>（1）承包人应遵守《中华人民共和国消防法》，并负责其自己辖区内的消防工作。承包人应对其辖区内发生的火灾及其造成的人员伤亡和财产损失负责。</w:t>
      </w:r>
    </w:p>
    <w:p>
      <w:pPr>
        <w:spacing w:line="360" w:lineRule="exact"/>
        <w:ind w:firstLine="420" w:firstLineChars="200"/>
        <w:rPr>
          <w:rFonts w:ascii="宋体" w:hAnsi="宋体" w:eastAsia="宋体" w:cs="宋体"/>
          <w:snapToGrid w:val="0"/>
          <w:sz w:val="21"/>
          <w:szCs w:val="21"/>
        </w:rPr>
      </w:pPr>
      <w:r>
        <w:rPr>
          <w:rFonts w:hint="eastAsia" w:ascii="宋体" w:hAnsi="宋体" w:eastAsia="宋体" w:cs="宋体"/>
          <w:snapToGrid w:val="0"/>
          <w:sz w:val="21"/>
          <w:szCs w:val="21"/>
        </w:rPr>
        <w:t>（2）承包人应按《水利水电施工通用安全技术规程》（SL 398-2007）第3.5节的规定，建立现场消防组织，配置必要的消防专职人员和消防设备器材。消防设备的型号和功率应满足消防任务的需要。在现场配备必要的灭火器材、设置防火警示标志，保持畅通的消防通道。</w:t>
      </w:r>
    </w:p>
    <w:p>
      <w:pPr>
        <w:spacing w:line="360" w:lineRule="exact"/>
        <w:ind w:firstLine="420" w:firstLineChars="200"/>
        <w:rPr>
          <w:rFonts w:ascii="宋体" w:hAnsi="宋体" w:eastAsia="宋体" w:cs="宋体"/>
          <w:snapToGrid w:val="0"/>
          <w:sz w:val="21"/>
          <w:szCs w:val="21"/>
        </w:rPr>
      </w:pPr>
      <w:r>
        <w:rPr>
          <w:rFonts w:hint="eastAsia" w:ascii="宋体" w:hAnsi="宋体" w:eastAsia="宋体" w:cs="宋体"/>
          <w:snapToGrid w:val="0"/>
          <w:sz w:val="21"/>
          <w:szCs w:val="21"/>
        </w:rPr>
        <w:t>（3）承包人应对职工进行经常性的消防知识教育和消防安全训练，消防设备器材应经常检查和保养，使其处于良好的待命状态。</w:t>
      </w:r>
    </w:p>
    <w:p>
      <w:pPr>
        <w:spacing w:line="360" w:lineRule="exact"/>
        <w:ind w:firstLine="420" w:firstLineChars="200"/>
        <w:rPr>
          <w:rFonts w:ascii="宋体" w:hAnsi="宋体" w:eastAsia="宋体" w:cs="宋体"/>
          <w:snapToGrid w:val="0"/>
          <w:sz w:val="21"/>
          <w:szCs w:val="21"/>
        </w:rPr>
      </w:pPr>
      <w:r>
        <w:rPr>
          <w:rFonts w:hint="eastAsia" w:ascii="宋体" w:hAnsi="宋体" w:eastAsia="宋体" w:cs="宋体"/>
          <w:snapToGrid w:val="0"/>
          <w:sz w:val="21"/>
          <w:szCs w:val="21"/>
        </w:rPr>
        <w:t>（4）承包人应制定经常性的消防检查制度，划分施工现场的防火责任区。承包人的消防专职人员应定期检查各施工现场，以及办公与生活区的消防安全，特别是用电安全。</w:t>
      </w:r>
    </w:p>
    <w:p>
      <w:pPr>
        <w:pStyle w:val="8"/>
        <w:numPr>
          <w:ilvl w:val="0"/>
          <w:numId w:val="0"/>
        </w:numPr>
        <w:adjustRightInd/>
        <w:snapToGrid/>
        <w:spacing w:before="0" w:beforeAutospacing="0" w:after="0" w:afterAutospacing="0" w:line="360" w:lineRule="exact"/>
        <w:rPr>
          <w:rFonts w:ascii="宋体" w:hAnsi="宋体" w:eastAsia="宋体" w:cs="宋体"/>
          <w:b/>
          <w:szCs w:val="21"/>
        </w:rPr>
      </w:pPr>
      <w:r>
        <w:rPr>
          <w:rFonts w:hint="eastAsia" w:ascii="宋体" w:hAnsi="宋体" w:eastAsia="宋体" w:cs="宋体"/>
          <w:b/>
          <w:szCs w:val="21"/>
        </w:rPr>
        <w:t>3.3.10洪水和气象灾害的防护</w:t>
      </w:r>
    </w:p>
    <w:p>
      <w:pPr>
        <w:spacing w:line="360" w:lineRule="exact"/>
        <w:ind w:firstLine="420" w:firstLineChars="200"/>
        <w:rPr>
          <w:rFonts w:ascii="宋体" w:hAnsi="宋体" w:eastAsia="宋体" w:cs="宋体"/>
          <w:snapToGrid w:val="0"/>
          <w:sz w:val="21"/>
          <w:szCs w:val="21"/>
        </w:rPr>
      </w:pPr>
      <w:r>
        <w:rPr>
          <w:rFonts w:hint="eastAsia" w:ascii="宋体" w:hAnsi="宋体" w:eastAsia="宋体" w:cs="宋体"/>
          <w:snapToGrid w:val="0"/>
          <w:sz w:val="21"/>
          <w:szCs w:val="21"/>
        </w:rPr>
        <w:t>（1）承包人应做好水情和气象预报工作。承包人应向发包人或地方主管水文、气象预报工作的部门获取工程所在区域短、中、长期水文、气象预报资料。一旦发现有可能危及工程和人身财产安全的灾害预兆时，应立即采取确保安全的有效措施。</w:t>
      </w:r>
    </w:p>
    <w:p>
      <w:pPr>
        <w:spacing w:line="360" w:lineRule="exact"/>
        <w:ind w:firstLine="420" w:firstLineChars="200"/>
        <w:rPr>
          <w:rFonts w:ascii="宋体" w:hAnsi="宋体" w:eastAsia="宋体" w:cs="宋体"/>
          <w:snapToGrid w:val="0"/>
          <w:sz w:val="21"/>
          <w:szCs w:val="21"/>
        </w:rPr>
      </w:pPr>
      <w:r>
        <w:rPr>
          <w:rFonts w:hint="eastAsia" w:ascii="宋体" w:hAnsi="宋体" w:eastAsia="宋体" w:cs="宋体"/>
          <w:snapToGrid w:val="0"/>
          <w:sz w:val="21"/>
          <w:szCs w:val="21"/>
        </w:rPr>
        <w:t>（2）每年汛前，承包人应编制防洪度汛预案，并按《水利水电工程施工通用安全技术规程》（SL 398-2007）第3.6节、第3.7节的规定，制定切实可行的预防和减灾措施。</w:t>
      </w:r>
    </w:p>
    <w:p>
      <w:pPr>
        <w:pStyle w:val="8"/>
        <w:numPr>
          <w:ilvl w:val="0"/>
          <w:numId w:val="0"/>
        </w:numPr>
        <w:adjustRightInd/>
        <w:snapToGrid/>
        <w:spacing w:before="0" w:beforeAutospacing="0" w:after="0" w:afterAutospacing="0" w:line="360" w:lineRule="exact"/>
        <w:rPr>
          <w:rFonts w:ascii="宋体" w:hAnsi="宋体" w:eastAsia="宋体" w:cs="宋体"/>
          <w:b/>
          <w:szCs w:val="21"/>
        </w:rPr>
      </w:pPr>
      <w:r>
        <w:rPr>
          <w:rFonts w:hint="eastAsia" w:ascii="宋体" w:hAnsi="宋体" w:eastAsia="宋体" w:cs="宋体"/>
          <w:b/>
          <w:szCs w:val="21"/>
        </w:rPr>
        <w:t>3.3.11安全标志</w:t>
      </w:r>
    </w:p>
    <w:p>
      <w:pPr>
        <w:spacing w:line="360" w:lineRule="exact"/>
        <w:ind w:firstLine="420" w:firstLineChars="200"/>
        <w:rPr>
          <w:rFonts w:ascii="宋体" w:hAnsi="宋体" w:eastAsia="宋体" w:cs="宋体"/>
          <w:snapToGrid w:val="0"/>
          <w:sz w:val="21"/>
          <w:szCs w:val="21"/>
        </w:rPr>
      </w:pPr>
      <w:r>
        <w:rPr>
          <w:rFonts w:hint="eastAsia" w:ascii="宋体" w:hAnsi="宋体" w:eastAsia="宋体" w:cs="宋体"/>
          <w:snapToGrid w:val="0"/>
          <w:sz w:val="21"/>
          <w:szCs w:val="21"/>
        </w:rPr>
        <w:t>（1）承包人应按《安全标志及其使用导则》（GB 2894-2008）的要求，在施工区内设置一切必需的安全标志，其标志类型包括：</w:t>
      </w:r>
    </w:p>
    <w:p>
      <w:pPr>
        <w:spacing w:line="360" w:lineRule="exact"/>
        <w:ind w:firstLine="420" w:firstLineChars="200"/>
        <w:rPr>
          <w:rFonts w:ascii="宋体" w:hAnsi="宋体" w:eastAsia="宋体" w:cs="宋体"/>
          <w:snapToGrid w:val="0"/>
          <w:sz w:val="21"/>
          <w:szCs w:val="21"/>
        </w:rPr>
      </w:pPr>
      <w:r>
        <w:rPr>
          <w:rFonts w:hint="eastAsia" w:ascii="宋体" w:hAnsi="宋体" w:eastAsia="宋体" w:cs="宋体"/>
          <w:snapToGrid w:val="0"/>
          <w:sz w:val="21"/>
          <w:szCs w:val="21"/>
        </w:rPr>
        <w:t>1）禁止标志。</w:t>
      </w:r>
    </w:p>
    <w:p>
      <w:pPr>
        <w:spacing w:line="360" w:lineRule="exact"/>
        <w:ind w:firstLine="420" w:firstLineChars="200"/>
        <w:rPr>
          <w:rFonts w:ascii="宋体" w:hAnsi="宋体" w:eastAsia="宋体" w:cs="宋体"/>
          <w:snapToGrid w:val="0"/>
          <w:sz w:val="21"/>
          <w:szCs w:val="21"/>
        </w:rPr>
      </w:pPr>
      <w:r>
        <w:rPr>
          <w:rFonts w:hint="eastAsia" w:ascii="宋体" w:hAnsi="宋体" w:eastAsia="宋体" w:cs="宋体"/>
          <w:snapToGrid w:val="0"/>
          <w:sz w:val="21"/>
          <w:szCs w:val="21"/>
        </w:rPr>
        <w:t>2）警告标志。</w:t>
      </w:r>
    </w:p>
    <w:p>
      <w:pPr>
        <w:spacing w:line="360" w:lineRule="exact"/>
        <w:ind w:firstLine="420" w:firstLineChars="200"/>
        <w:rPr>
          <w:rFonts w:ascii="宋体" w:hAnsi="宋体" w:eastAsia="宋体" w:cs="宋体"/>
          <w:snapToGrid w:val="0"/>
          <w:sz w:val="21"/>
          <w:szCs w:val="21"/>
        </w:rPr>
      </w:pPr>
      <w:r>
        <w:rPr>
          <w:rFonts w:hint="eastAsia" w:ascii="宋体" w:hAnsi="宋体" w:eastAsia="宋体" w:cs="宋体"/>
          <w:snapToGrid w:val="0"/>
          <w:sz w:val="21"/>
          <w:szCs w:val="21"/>
        </w:rPr>
        <w:t>3）指令标志。</w:t>
      </w:r>
    </w:p>
    <w:p>
      <w:pPr>
        <w:spacing w:line="360" w:lineRule="exact"/>
        <w:ind w:firstLine="420" w:firstLineChars="200"/>
        <w:rPr>
          <w:rFonts w:ascii="宋体" w:hAnsi="宋体" w:eastAsia="宋体" w:cs="宋体"/>
          <w:snapToGrid w:val="0"/>
          <w:sz w:val="21"/>
          <w:szCs w:val="21"/>
        </w:rPr>
      </w:pPr>
      <w:r>
        <w:rPr>
          <w:rFonts w:hint="eastAsia" w:ascii="宋体" w:hAnsi="宋体" w:eastAsia="宋体" w:cs="宋体"/>
          <w:snapToGrid w:val="0"/>
          <w:sz w:val="21"/>
          <w:szCs w:val="21"/>
        </w:rPr>
        <w:t>4）提示标志。</w:t>
      </w:r>
    </w:p>
    <w:p>
      <w:pPr>
        <w:spacing w:line="360" w:lineRule="exact"/>
        <w:ind w:firstLine="420" w:firstLineChars="200"/>
        <w:rPr>
          <w:rFonts w:ascii="宋体" w:hAnsi="宋体" w:eastAsia="宋体" w:cs="宋体"/>
          <w:snapToGrid w:val="0"/>
          <w:sz w:val="21"/>
          <w:szCs w:val="21"/>
        </w:rPr>
      </w:pPr>
      <w:r>
        <w:rPr>
          <w:rFonts w:hint="eastAsia" w:ascii="宋体" w:hAnsi="宋体" w:eastAsia="宋体" w:cs="宋体"/>
          <w:snapToGrid w:val="0"/>
          <w:sz w:val="21"/>
          <w:szCs w:val="21"/>
        </w:rPr>
        <w:t>（2）承包人应负责保护施工区内的所有标志，并按监理人指示补充或更换失效的标志。</w:t>
      </w:r>
    </w:p>
    <w:p>
      <w:pPr>
        <w:pStyle w:val="8"/>
        <w:numPr>
          <w:ilvl w:val="0"/>
          <w:numId w:val="0"/>
        </w:numPr>
        <w:adjustRightInd/>
        <w:snapToGrid/>
        <w:spacing w:before="0" w:beforeAutospacing="0" w:after="0" w:afterAutospacing="0" w:line="360" w:lineRule="exact"/>
        <w:rPr>
          <w:rFonts w:ascii="宋体" w:hAnsi="宋体" w:eastAsia="宋体" w:cs="宋体"/>
          <w:b/>
          <w:szCs w:val="21"/>
        </w:rPr>
      </w:pPr>
      <w:r>
        <w:rPr>
          <w:rFonts w:hint="eastAsia" w:ascii="宋体" w:hAnsi="宋体" w:eastAsia="宋体" w:cs="宋体"/>
          <w:b/>
          <w:szCs w:val="21"/>
        </w:rPr>
        <w:t>3.3.12施工安全监测</w:t>
      </w:r>
    </w:p>
    <w:p>
      <w:pPr>
        <w:spacing w:line="360" w:lineRule="exact"/>
        <w:ind w:firstLine="420" w:firstLineChars="200"/>
        <w:rPr>
          <w:rFonts w:ascii="宋体" w:hAnsi="宋体" w:eastAsia="宋体" w:cs="宋体"/>
          <w:snapToGrid w:val="0"/>
          <w:sz w:val="21"/>
          <w:szCs w:val="21"/>
        </w:rPr>
      </w:pPr>
      <w:r>
        <w:rPr>
          <w:rFonts w:hint="eastAsia" w:ascii="宋体" w:hAnsi="宋体" w:eastAsia="宋体" w:cs="宋体"/>
          <w:snapToGrid w:val="0"/>
          <w:sz w:val="21"/>
          <w:szCs w:val="21"/>
        </w:rPr>
        <w:t>有关施工期的安全监测详见本技术条款第25章。</w:t>
      </w:r>
    </w:p>
    <w:p>
      <w:pPr>
        <w:pStyle w:val="7"/>
        <w:spacing w:line="360" w:lineRule="exact"/>
        <w:rPr>
          <w:rFonts w:ascii="宋体" w:hAnsi="宋体" w:eastAsia="宋体" w:cs="宋体"/>
          <w:sz w:val="21"/>
          <w:szCs w:val="21"/>
        </w:rPr>
      </w:pPr>
      <w:bookmarkStart w:id="579" w:name="_Toc14066"/>
      <w:bookmarkStart w:id="580" w:name="_Toc27854"/>
      <w:r>
        <w:rPr>
          <w:rStyle w:val="49"/>
          <w:rFonts w:hint="eastAsia" w:ascii="Calibri" w:hAnsi="宋体" w:eastAsia="宋体" w:cs="Times New Roman"/>
          <w:b/>
          <w:sz w:val="21"/>
          <w:szCs w:val="21"/>
        </w:rPr>
        <w:t>3.4应急救援措施</w:t>
      </w:r>
      <w:bookmarkEnd w:id="579"/>
      <w:bookmarkEnd w:id="580"/>
    </w:p>
    <w:p>
      <w:pPr>
        <w:pStyle w:val="8"/>
        <w:numPr>
          <w:ilvl w:val="0"/>
          <w:numId w:val="0"/>
        </w:numPr>
        <w:adjustRightInd/>
        <w:snapToGrid/>
        <w:spacing w:before="0" w:beforeAutospacing="0" w:after="0" w:afterAutospacing="0" w:line="360" w:lineRule="exact"/>
        <w:rPr>
          <w:rFonts w:ascii="宋体" w:hAnsi="宋体" w:eastAsia="宋体" w:cs="宋体"/>
          <w:b/>
          <w:szCs w:val="21"/>
        </w:rPr>
      </w:pPr>
      <w:r>
        <w:rPr>
          <w:rFonts w:hint="eastAsia" w:ascii="宋体" w:hAnsi="宋体" w:eastAsia="宋体" w:cs="宋体"/>
          <w:b/>
          <w:szCs w:val="21"/>
        </w:rPr>
        <w:t>3.4.1事故应急救援预案</w:t>
      </w:r>
    </w:p>
    <w:p>
      <w:pPr>
        <w:spacing w:line="360" w:lineRule="exact"/>
        <w:ind w:firstLine="420" w:firstLineChars="200"/>
        <w:rPr>
          <w:rFonts w:ascii="宋体" w:hAnsi="宋体" w:eastAsia="宋体" w:cs="宋体"/>
          <w:snapToGrid w:val="0"/>
          <w:sz w:val="21"/>
          <w:szCs w:val="21"/>
        </w:rPr>
      </w:pPr>
      <w:r>
        <w:rPr>
          <w:rFonts w:hint="eastAsia" w:ascii="宋体" w:hAnsi="宋体" w:eastAsia="宋体" w:cs="宋体"/>
          <w:snapToGrid w:val="0"/>
          <w:sz w:val="21"/>
          <w:szCs w:val="21"/>
        </w:rPr>
        <w:t>（1）承包人应制定生产安全事故的应急救援预案，应急救援预案应能随时紧急调动应对人员，救援专职人员应定期组织应急预案的演练。</w:t>
      </w:r>
    </w:p>
    <w:p>
      <w:pPr>
        <w:spacing w:line="360" w:lineRule="exact"/>
        <w:ind w:firstLine="420" w:firstLineChars="200"/>
        <w:rPr>
          <w:rFonts w:ascii="宋体" w:hAnsi="宋体" w:eastAsia="宋体" w:cs="宋体"/>
          <w:snapToGrid w:val="0"/>
          <w:sz w:val="21"/>
          <w:szCs w:val="21"/>
        </w:rPr>
      </w:pPr>
      <w:r>
        <w:rPr>
          <w:rFonts w:hint="eastAsia" w:ascii="宋体" w:hAnsi="宋体" w:eastAsia="宋体" w:cs="宋体"/>
          <w:snapToGrid w:val="0"/>
          <w:sz w:val="21"/>
          <w:szCs w:val="21"/>
        </w:rPr>
        <w:t>（2）发生事故后，承包人应按应急救援要求，配备必需的应急救援器材和设备，并及时将应急救援的措施报告提交监理人。</w:t>
      </w:r>
    </w:p>
    <w:p>
      <w:pPr>
        <w:pStyle w:val="8"/>
        <w:numPr>
          <w:ilvl w:val="0"/>
          <w:numId w:val="0"/>
        </w:numPr>
        <w:adjustRightInd/>
        <w:snapToGrid/>
        <w:spacing w:before="0" w:beforeAutospacing="0" w:after="0" w:afterAutospacing="0" w:line="360" w:lineRule="exact"/>
        <w:rPr>
          <w:rFonts w:ascii="宋体" w:hAnsi="宋体" w:eastAsia="宋体" w:cs="宋体"/>
          <w:b/>
          <w:szCs w:val="21"/>
        </w:rPr>
      </w:pPr>
      <w:r>
        <w:rPr>
          <w:rFonts w:hint="eastAsia" w:ascii="宋体" w:hAnsi="宋体" w:eastAsia="宋体" w:cs="宋体"/>
          <w:b/>
          <w:szCs w:val="21"/>
        </w:rPr>
        <w:t>3.4.2伤亡事故处理</w:t>
      </w:r>
    </w:p>
    <w:p>
      <w:pPr>
        <w:spacing w:line="360" w:lineRule="exact"/>
        <w:ind w:firstLine="420" w:firstLineChars="200"/>
        <w:rPr>
          <w:rFonts w:ascii="宋体" w:hAnsi="宋体" w:eastAsia="宋体" w:cs="宋体"/>
          <w:snapToGrid w:val="0"/>
          <w:sz w:val="21"/>
          <w:szCs w:val="21"/>
        </w:rPr>
      </w:pPr>
      <w:r>
        <w:rPr>
          <w:rFonts w:hint="eastAsia" w:ascii="宋体" w:hAnsi="宋体" w:eastAsia="宋体" w:cs="宋体"/>
          <w:snapToGrid w:val="0"/>
          <w:sz w:val="21"/>
          <w:szCs w:val="21"/>
        </w:rPr>
        <w:t>（1）施工过程中，若发生施工生产人员或第三者人员的伤亡事故时，承包人应按本合同通用合同条款第9.5款的约定，及时进行处理，并立即报告监理人。</w:t>
      </w:r>
    </w:p>
    <w:p>
      <w:pPr>
        <w:spacing w:line="360" w:lineRule="exact"/>
        <w:ind w:firstLine="420" w:firstLineChars="200"/>
        <w:rPr>
          <w:rFonts w:ascii="宋体" w:hAnsi="宋体" w:eastAsia="宋体" w:cs="宋体"/>
          <w:snapToGrid w:val="0"/>
          <w:sz w:val="21"/>
          <w:szCs w:val="21"/>
        </w:rPr>
      </w:pPr>
      <w:r>
        <w:rPr>
          <w:rFonts w:hint="eastAsia" w:ascii="宋体" w:hAnsi="宋体" w:eastAsia="宋体" w:cs="宋体"/>
          <w:snapToGrid w:val="0"/>
          <w:sz w:val="21"/>
          <w:szCs w:val="21"/>
        </w:rPr>
        <w:t>（2）发生重大伤亡或特大事故时，承包人必须保护事故现场，立即报告发包人和当地政府的安全管理部门，并在当地政府的支持和协助下，按国家有关规定妥善处理好事故。</w:t>
      </w:r>
    </w:p>
    <w:p>
      <w:pPr>
        <w:spacing w:line="360" w:lineRule="exact"/>
        <w:ind w:firstLine="420" w:firstLineChars="200"/>
        <w:rPr>
          <w:rFonts w:ascii="宋体" w:hAnsi="宋体" w:eastAsia="宋体" w:cs="宋体"/>
          <w:snapToGrid w:val="0"/>
          <w:sz w:val="21"/>
          <w:szCs w:val="21"/>
        </w:rPr>
      </w:pPr>
      <w:r>
        <w:rPr>
          <w:rFonts w:hint="eastAsia" w:ascii="宋体" w:hAnsi="宋体" w:eastAsia="宋体" w:cs="宋体"/>
          <w:snapToGrid w:val="0"/>
          <w:sz w:val="21"/>
          <w:szCs w:val="21"/>
        </w:rPr>
        <w:t>（3）事故处理结案后，承包人应向公众张榜告示处理事故结果。</w:t>
      </w:r>
    </w:p>
    <w:p>
      <w:pPr>
        <w:pStyle w:val="8"/>
        <w:numPr>
          <w:ilvl w:val="0"/>
          <w:numId w:val="0"/>
        </w:numPr>
        <w:adjustRightInd/>
        <w:snapToGrid/>
        <w:spacing w:before="0" w:beforeAutospacing="0" w:after="0" w:afterAutospacing="0" w:line="360" w:lineRule="exact"/>
        <w:rPr>
          <w:rFonts w:ascii="宋体" w:hAnsi="宋体" w:eastAsia="宋体" w:cs="宋体"/>
          <w:b/>
          <w:szCs w:val="21"/>
        </w:rPr>
      </w:pPr>
      <w:r>
        <w:rPr>
          <w:rFonts w:hint="eastAsia" w:ascii="宋体" w:hAnsi="宋体" w:eastAsia="宋体" w:cs="宋体"/>
          <w:b/>
          <w:szCs w:val="21"/>
        </w:rPr>
        <w:t>3.4.3预防自然灾害措施</w:t>
      </w:r>
    </w:p>
    <w:p>
      <w:pPr>
        <w:spacing w:line="360" w:lineRule="exact"/>
        <w:ind w:firstLine="420" w:firstLineChars="200"/>
        <w:rPr>
          <w:rFonts w:ascii="宋体" w:hAnsi="宋体" w:eastAsia="宋体" w:cs="宋体"/>
          <w:snapToGrid w:val="0"/>
          <w:sz w:val="21"/>
          <w:szCs w:val="21"/>
        </w:rPr>
      </w:pPr>
      <w:r>
        <w:rPr>
          <w:rFonts w:hint="eastAsia" w:ascii="宋体" w:hAnsi="宋体" w:eastAsia="宋体" w:cs="宋体"/>
          <w:snapToGrid w:val="0"/>
          <w:sz w:val="21"/>
          <w:szCs w:val="21"/>
        </w:rPr>
        <w:t>（1）施工期间一旦发生洪水、或可能危及人身财产安全事故的预兆时，承包人应立即采取有效的防灾措施，确保工程人员和财产的安全。</w:t>
      </w:r>
    </w:p>
    <w:p>
      <w:pPr>
        <w:spacing w:line="360" w:lineRule="exact"/>
        <w:ind w:firstLine="420" w:firstLineChars="200"/>
        <w:rPr>
          <w:rFonts w:ascii="宋体" w:hAnsi="宋体" w:eastAsia="宋体" w:cs="宋体"/>
          <w:snapToGrid w:val="0"/>
          <w:sz w:val="21"/>
          <w:szCs w:val="21"/>
        </w:rPr>
      </w:pPr>
      <w:r>
        <w:rPr>
          <w:rFonts w:hint="eastAsia" w:ascii="宋体" w:hAnsi="宋体" w:eastAsia="宋体" w:cs="宋体"/>
          <w:snapToGrid w:val="0"/>
          <w:sz w:val="21"/>
          <w:szCs w:val="21"/>
        </w:rPr>
        <w:t>（2）一旦发生安全事故，承包人应立即按其安全职责分工，组织人员、设备和物资，尽快制止事故发展，及时消除隐患，划定警戒范围，并在最短时间内组织好人员、车辆和设备的疏散，避免再次发生人员伤亡和财产损失。</w:t>
      </w:r>
    </w:p>
    <w:p>
      <w:pPr>
        <w:spacing w:line="360" w:lineRule="exact"/>
        <w:ind w:firstLine="420" w:firstLineChars="200"/>
        <w:rPr>
          <w:rFonts w:ascii="宋体" w:hAnsi="宋体" w:eastAsia="宋体" w:cs="宋体"/>
          <w:snapToGrid w:val="0"/>
          <w:sz w:val="21"/>
          <w:szCs w:val="21"/>
        </w:rPr>
      </w:pPr>
      <w:r>
        <w:rPr>
          <w:rFonts w:hint="eastAsia" w:ascii="宋体" w:hAnsi="宋体" w:eastAsia="宋体" w:cs="宋体"/>
          <w:snapToGrid w:val="0"/>
          <w:sz w:val="21"/>
          <w:szCs w:val="21"/>
        </w:rPr>
        <w:t>（3）承包人应保护好事故现场，为事故调查分析提供直接证据，做好现场标志和书面记录，绘制现场简图，并妥善保存现场重要痕迹、物证，必要时应对事故现场和伤亡情况进行录像或拍照，待事故调查部门有明确指令后，才能清除事故现场。</w:t>
      </w:r>
    </w:p>
    <w:p>
      <w:pPr>
        <w:pStyle w:val="7"/>
        <w:spacing w:line="360" w:lineRule="exact"/>
        <w:rPr>
          <w:rStyle w:val="49"/>
          <w:rFonts w:ascii="Calibri" w:hAnsi="宋体" w:eastAsia="宋体" w:cs="Times New Roman"/>
          <w:b/>
          <w:sz w:val="21"/>
          <w:szCs w:val="21"/>
        </w:rPr>
      </w:pPr>
      <w:bookmarkStart w:id="581" w:name="_Toc19046"/>
      <w:bookmarkStart w:id="582" w:name="_Toc11992"/>
      <w:r>
        <w:rPr>
          <w:rStyle w:val="49"/>
          <w:rFonts w:hint="eastAsia" w:ascii="Calibri" w:hAnsi="宋体" w:eastAsia="宋体" w:cs="Times New Roman"/>
          <w:b/>
          <w:sz w:val="21"/>
          <w:szCs w:val="21"/>
        </w:rPr>
        <w:t>3.5  计量和支付</w:t>
      </w:r>
    </w:p>
    <w:bookmarkEnd w:id="581"/>
    <w:bookmarkEnd w:id="582"/>
    <w:p>
      <w:pPr>
        <w:kinsoku w:val="0"/>
        <w:overflowPunct w:val="0"/>
        <w:spacing w:line="360" w:lineRule="exact"/>
        <w:ind w:firstLine="412" w:firstLineChars="200"/>
        <w:rPr>
          <w:rFonts w:ascii="宋体" w:hAnsi="宋体" w:eastAsia="宋体" w:cs="宋体"/>
          <w:spacing w:val="-2"/>
          <w:sz w:val="21"/>
          <w:szCs w:val="21"/>
        </w:rPr>
      </w:pPr>
      <w:r>
        <w:rPr>
          <w:rFonts w:hint="eastAsia" w:ascii="宋体" w:hAnsi="宋体" w:eastAsia="宋体" w:cs="宋体"/>
          <w:spacing w:val="-2"/>
          <w:sz w:val="21"/>
          <w:szCs w:val="21"/>
        </w:rPr>
        <w:t>3.5.1 承包人按本节第 3.2 款、第 3.3 款、第 3.4 款要求进行的，指施工现场文明施工、安全施工所需要的各项费用，应在《工程量清单》以安全施工费用总价形式专项列报。安全施工费的使用范围按国家、《浙江省水利工程造价计价依据（2010  年）》补充规定（一）（浙水建【2013】</w:t>
      </w:r>
      <w:r>
        <w:rPr>
          <w:rFonts w:ascii="宋体" w:hAnsi="宋体" w:eastAsia="宋体" w:cs="宋体"/>
          <w:spacing w:val="-2"/>
          <w:sz w:val="21"/>
          <w:szCs w:val="21"/>
        </w:rPr>
        <mc:AlternateContent>
          <mc:Choice Requires="wps">
            <w:drawing>
              <wp:anchor distT="0" distB="0" distL="114300" distR="114300" simplePos="0" relativeHeight="251658240" behindDoc="1" locked="0" layoutInCell="0" allowOverlap="1">
                <wp:simplePos x="0" y="0"/>
                <wp:positionH relativeFrom="page">
                  <wp:posOffset>6453505</wp:posOffset>
                </wp:positionH>
                <wp:positionV relativeFrom="page">
                  <wp:posOffset>10071735</wp:posOffset>
                </wp:positionV>
                <wp:extent cx="172085" cy="0"/>
                <wp:effectExtent l="0" t="0" r="0" b="0"/>
                <wp:wrapNone/>
                <wp:docPr id="1" name="任意多边形 5"/>
                <wp:cNvGraphicFramePr/>
                <a:graphic xmlns:a="http://schemas.openxmlformats.org/drawingml/2006/main">
                  <a:graphicData uri="http://schemas.microsoft.com/office/word/2010/wordprocessingShape">
                    <wps:wsp>
                      <wps:cNvSpPr/>
                      <wps:spPr>
                        <a:xfrm>
                          <a:off x="0" y="0"/>
                          <a:ext cx="172085" cy="0"/>
                        </a:xfrm>
                        <a:custGeom>
                          <a:avLst/>
                          <a:gdLst/>
                          <a:ahLst/>
                          <a:cxnLst/>
                          <a:pathLst>
                            <a:path w="272" h="20">
                              <a:moveTo>
                                <a:pt x="0" y="0"/>
                              </a:moveTo>
                              <a:lnTo>
                                <a:pt x="272" y="0"/>
                              </a:lnTo>
                            </a:path>
                          </a:pathLst>
                        </a:custGeom>
                        <a:noFill/>
                        <a:ln w="10413" cap="flat" cmpd="sng">
                          <a:solidFill>
                            <a:srgbClr val="000000"/>
                          </a:solidFill>
                          <a:prstDash val="solid"/>
                          <a:round/>
                          <a:headEnd type="none" w="med" len="med"/>
                          <a:tailEnd type="none" w="med" len="med"/>
                        </a:ln>
                      </wps:spPr>
                      <wps:bodyPr upright="1"/>
                    </wps:wsp>
                  </a:graphicData>
                </a:graphic>
              </wp:anchor>
            </w:drawing>
          </mc:Choice>
          <mc:Fallback>
            <w:pict>
              <v:shape id="任意多边形 5" o:spid="_x0000_s1026" o:spt="100" style="position:absolute;left:0pt;margin-left:508.15pt;margin-top:793.05pt;height:0pt;width:13.55pt;mso-position-horizontal-relative:page;mso-position-vertical-relative:page;z-index:-251658240;mso-width-relative:page;mso-height-relative:page;" filled="f" stroked="t" coordsize="272,20" o:allowincell="f" o:gfxdata="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CuOEsvZAAAADwEAAA8A&#10;AAAAAAAAAQAgAAAAIgAAAGRycy9kb3ducmV2LnhtbFBLAQIUABQAAAAIAIdO4kDlF4eMFgIAAEME&#10;AAAOAAAAAAAAAAEAIAAAACgBAABkcnMvZTJvRG9jLnhtbFBLBQYAAAAABgAGAFkBAACwBQAAAAA=&#10;" path="m0,0l272,0e">
                <v:fill on="f" focussize="0,0"/>
                <v:stroke weight="0.81992125984252pt" color="#000000" joinstyle="round"/>
                <v:imagedata o:title=""/>
                <o:lock v:ext="edit" aspectratio="f"/>
              </v:shape>
            </w:pict>
          </mc:Fallback>
        </mc:AlternateContent>
      </w:r>
      <w:r>
        <w:rPr>
          <w:rFonts w:hint="eastAsia" w:ascii="宋体" w:hAnsi="宋体" w:eastAsia="宋体" w:cs="宋体"/>
          <w:spacing w:val="-2"/>
          <w:sz w:val="21"/>
          <w:szCs w:val="21"/>
        </w:rPr>
        <w:t>81 号）等有关规定及本节规定执行，承包人应提出具体实施方案和预算，经监理和第三方中介机构审核，发包人批准后按方案实施进度支付。</w:t>
      </w:r>
    </w:p>
    <w:p>
      <w:pPr>
        <w:kinsoku w:val="0"/>
        <w:overflowPunct w:val="0"/>
        <w:spacing w:line="360" w:lineRule="exact"/>
        <w:ind w:firstLine="412" w:firstLineChars="200"/>
        <w:rPr>
          <w:rFonts w:ascii="宋体" w:hAnsi="宋体" w:eastAsia="宋体" w:cs="宋体"/>
          <w:spacing w:val="-2"/>
          <w:sz w:val="21"/>
          <w:szCs w:val="21"/>
        </w:rPr>
      </w:pPr>
      <w:r>
        <w:rPr>
          <w:rFonts w:hint="eastAsia" w:ascii="宋体" w:hAnsi="宋体" w:eastAsia="宋体" w:cs="宋体"/>
          <w:spacing w:val="-2"/>
          <w:sz w:val="21"/>
          <w:szCs w:val="21"/>
        </w:rPr>
        <w:t>3.5.2 承包人按合同要求完成施工期观测（包括巡视检查和现场监测）、设备维护、资料记录和整理、资料分析等工作所需的费用，包含在相应项目的单价或总价中，发包人不再另行支付。</w:t>
      </w:r>
    </w:p>
    <w:p>
      <w:pPr>
        <w:kinsoku w:val="0"/>
        <w:overflowPunct w:val="0"/>
        <w:spacing w:line="360" w:lineRule="exact"/>
        <w:ind w:firstLine="412" w:firstLineChars="200"/>
        <w:rPr>
          <w:rFonts w:ascii="宋体" w:hAnsi="宋体" w:eastAsia="宋体" w:cs="宋体"/>
          <w:snapToGrid w:val="0"/>
          <w:sz w:val="21"/>
          <w:szCs w:val="21"/>
        </w:rPr>
      </w:pPr>
      <w:r>
        <w:rPr>
          <w:rFonts w:hint="eastAsia" w:ascii="宋体" w:hAnsi="宋体" w:eastAsia="宋体" w:cs="宋体"/>
          <w:spacing w:val="-2"/>
          <w:sz w:val="21"/>
          <w:szCs w:val="21"/>
        </w:rPr>
        <w:t>3.5.3 施工图纸明示的永久性标志牌、闸铭牌、成品警示牌（含设计详图中所有内容，包括基础）等以个、处、块等为单位计量，由发包人按《工程量清单》相应项目有效工程量的每个、处、块等工程单价支付。</w:t>
      </w:r>
    </w:p>
    <w:p>
      <w:pPr>
        <w:pStyle w:val="5"/>
        <w:spacing w:line="360" w:lineRule="auto"/>
        <w:rPr>
          <w:rFonts w:ascii="宋体" w:hAnsi="宋体" w:eastAsia="宋体" w:cs="宋体"/>
          <w:sz w:val="21"/>
          <w:szCs w:val="21"/>
        </w:rPr>
      </w:pPr>
      <w:bookmarkStart w:id="583" w:name="_Toc8184"/>
      <w:r>
        <w:rPr>
          <w:rFonts w:hint="eastAsia" w:ascii="宋体" w:hAnsi="宋体" w:eastAsia="宋体" w:cs="宋体"/>
          <w:sz w:val="21"/>
          <w:szCs w:val="21"/>
        </w:rPr>
        <w:t>3.6本发包文件中未体现的，按国家、省、市有关法律法规执行。</w:t>
      </w:r>
      <w:bookmarkEnd w:id="583"/>
    </w:p>
    <w:p>
      <w:pPr>
        <w:pStyle w:val="5"/>
        <w:spacing w:line="360" w:lineRule="auto"/>
        <w:jc w:val="center"/>
        <w:rPr>
          <w:rFonts w:ascii="宋体" w:hAnsi="宋体"/>
          <w:sz w:val="21"/>
          <w:szCs w:val="21"/>
        </w:rPr>
      </w:pPr>
      <w:bookmarkStart w:id="584" w:name="_Toc2635"/>
      <w:r>
        <w:rPr>
          <w:szCs w:val="30"/>
        </w:rPr>
        <w:t>第</w:t>
      </w:r>
      <w:r>
        <w:rPr>
          <w:rFonts w:hint="eastAsia"/>
          <w:szCs w:val="30"/>
        </w:rPr>
        <w:t>4节环境保护和水土保持</w:t>
      </w:r>
      <w:bookmarkEnd w:id="570"/>
      <w:bookmarkEnd w:id="571"/>
      <w:bookmarkEnd w:id="572"/>
      <w:bookmarkEnd w:id="584"/>
    </w:p>
    <w:p>
      <w:pPr>
        <w:pStyle w:val="6"/>
        <w:snapToGrid w:val="0"/>
        <w:spacing w:line="360" w:lineRule="exact"/>
        <w:rPr>
          <w:rStyle w:val="49"/>
          <w:rFonts w:hAnsi="宋体"/>
          <w:b/>
          <w:sz w:val="21"/>
          <w:szCs w:val="21"/>
        </w:rPr>
      </w:pPr>
      <w:bookmarkStart w:id="585" w:name="_Toc341965031"/>
      <w:bookmarkStart w:id="586" w:name="_Toc336255234"/>
      <w:bookmarkStart w:id="587" w:name="_Toc31146"/>
      <w:bookmarkStart w:id="588" w:name="_Toc336325347"/>
      <w:bookmarkStart w:id="589" w:name="_Toc339482515"/>
      <w:bookmarkStart w:id="590" w:name="_Toc339224649"/>
      <w:bookmarkStart w:id="591" w:name="_Toc339983421"/>
      <w:bookmarkStart w:id="592" w:name="_Toc282782377"/>
      <w:r>
        <w:rPr>
          <w:rStyle w:val="49"/>
          <w:rFonts w:hint="eastAsia" w:hAnsi="宋体"/>
          <w:b/>
          <w:sz w:val="21"/>
          <w:szCs w:val="21"/>
        </w:rPr>
        <w:t>4.1 一般规定</w:t>
      </w:r>
      <w:bookmarkEnd w:id="585"/>
      <w:bookmarkEnd w:id="586"/>
      <w:bookmarkEnd w:id="587"/>
      <w:bookmarkEnd w:id="588"/>
      <w:bookmarkEnd w:id="589"/>
      <w:bookmarkEnd w:id="590"/>
      <w:bookmarkEnd w:id="591"/>
    </w:p>
    <w:p>
      <w:pPr>
        <w:pStyle w:val="7"/>
        <w:snapToGrid w:val="0"/>
        <w:spacing w:line="360" w:lineRule="exact"/>
        <w:rPr>
          <w:rStyle w:val="47"/>
          <w:rFonts w:ascii="宋体" w:hAnsi="宋体"/>
          <w:color w:val="auto"/>
          <w:sz w:val="21"/>
          <w:szCs w:val="21"/>
        </w:rPr>
      </w:pPr>
      <w:r>
        <w:rPr>
          <w:rStyle w:val="47"/>
          <w:rFonts w:hint="eastAsia" w:ascii="宋体" w:hAnsi="宋体"/>
          <w:color w:val="auto"/>
          <w:sz w:val="21"/>
          <w:szCs w:val="21"/>
        </w:rPr>
        <w:t>4.1.1 应用范围</w:t>
      </w:r>
    </w:p>
    <w:p>
      <w:pPr>
        <w:snapToGrid w:val="0"/>
        <w:spacing w:line="360" w:lineRule="exact"/>
        <w:ind w:firstLine="420" w:firstLineChars="200"/>
        <w:rPr>
          <w:rFonts w:ascii="宋体" w:hAnsi="宋体"/>
          <w:sz w:val="21"/>
          <w:szCs w:val="21"/>
        </w:rPr>
      </w:pPr>
      <w:r>
        <w:rPr>
          <w:rFonts w:hint="eastAsia" w:ascii="宋体" w:hAnsi="宋体"/>
          <w:sz w:val="21"/>
          <w:szCs w:val="21"/>
        </w:rPr>
        <w:t>本章规定适用于本工程施工期的生产、生活区环境保护和水土保持的有关工作，其主要工作范围和内容包括：施工、生活污水和废水处理、大气环境与声环境保护、固体废弃物处理、水土保持、完工后的场地清理、农田复耕与植被恢复等。</w:t>
      </w:r>
    </w:p>
    <w:p>
      <w:pPr>
        <w:pStyle w:val="7"/>
        <w:snapToGrid w:val="0"/>
        <w:spacing w:line="360" w:lineRule="exact"/>
        <w:rPr>
          <w:rStyle w:val="47"/>
          <w:rFonts w:ascii="宋体" w:hAnsi="宋体"/>
          <w:color w:val="auto"/>
          <w:sz w:val="21"/>
          <w:szCs w:val="21"/>
        </w:rPr>
      </w:pPr>
      <w:r>
        <w:rPr>
          <w:rStyle w:val="47"/>
          <w:rFonts w:hint="eastAsia" w:ascii="宋体" w:hAnsi="宋体"/>
          <w:color w:val="auto"/>
          <w:sz w:val="21"/>
          <w:szCs w:val="21"/>
        </w:rPr>
        <w:t>4.1.2 承包人责任</w:t>
      </w:r>
    </w:p>
    <w:p>
      <w:pPr>
        <w:snapToGrid w:val="0"/>
        <w:spacing w:line="360" w:lineRule="exact"/>
        <w:ind w:firstLine="420" w:firstLineChars="200"/>
        <w:rPr>
          <w:rFonts w:ascii="宋体" w:hAnsi="宋体"/>
          <w:sz w:val="21"/>
          <w:szCs w:val="21"/>
        </w:rPr>
      </w:pPr>
      <w:r>
        <w:rPr>
          <w:rFonts w:hint="eastAsia" w:ascii="宋体" w:hAnsi="宋体"/>
          <w:sz w:val="21"/>
          <w:szCs w:val="21"/>
        </w:rPr>
        <w:t>（1）承包人必须遵守有关环境保护和水土保持的法律、法规和规章，并按照本合同技术条款的有关规定，做好施工区及生活区的环境保护与水土保持工作。</w:t>
      </w:r>
    </w:p>
    <w:p>
      <w:pPr>
        <w:snapToGrid w:val="0"/>
        <w:spacing w:line="360" w:lineRule="exact"/>
        <w:ind w:firstLine="420" w:firstLineChars="200"/>
        <w:rPr>
          <w:rFonts w:ascii="宋体" w:hAnsi="宋体"/>
          <w:sz w:val="21"/>
          <w:szCs w:val="21"/>
        </w:rPr>
      </w:pPr>
      <w:r>
        <w:rPr>
          <w:rFonts w:hint="eastAsia" w:ascii="宋体" w:hAnsi="宋体"/>
          <w:sz w:val="21"/>
          <w:szCs w:val="21"/>
        </w:rPr>
        <w:t>（2）对本合同划定的施工场地界线附近的树木和植被必须尽力加以保护。承包人不得让有害物质（如燃料、油料、化学品、酸等，以及超过剂量的有害气体和尘埃、污水、泥土或水、弃渣等），污染施工场地及场地以外的土地和河川。</w:t>
      </w:r>
    </w:p>
    <w:p>
      <w:pPr>
        <w:snapToGrid w:val="0"/>
        <w:spacing w:line="360" w:lineRule="exact"/>
        <w:ind w:firstLine="420" w:firstLineChars="200"/>
        <w:rPr>
          <w:rFonts w:ascii="宋体" w:hAnsi="宋体"/>
          <w:sz w:val="21"/>
          <w:szCs w:val="21"/>
        </w:rPr>
      </w:pPr>
      <w:r>
        <w:rPr>
          <w:rFonts w:hint="eastAsia" w:ascii="宋体" w:hAnsi="宋体"/>
          <w:sz w:val="21"/>
          <w:szCs w:val="21"/>
        </w:rPr>
        <w:t>（3）承包人应按合同约定和监理人指示，接受国家和地方环境保护与水行政主管部门的监督和检查。承包人应对其违反上述法律、法规和规章以及本合同规定所造成的环境污染、水土流失、人员伤害和财产损失等承担责任。</w:t>
      </w:r>
    </w:p>
    <w:p>
      <w:pPr>
        <w:pStyle w:val="7"/>
        <w:snapToGrid w:val="0"/>
        <w:spacing w:line="360" w:lineRule="exact"/>
        <w:rPr>
          <w:rStyle w:val="47"/>
          <w:rFonts w:ascii="宋体" w:hAnsi="宋体"/>
          <w:color w:val="auto"/>
          <w:sz w:val="21"/>
          <w:szCs w:val="21"/>
        </w:rPr>
      </w:pPr>
      <w:r>
        <w:rPr>
          <w:rStyle w:val="47"/>
          <w:rFonts w:hint="eastAsia" w:ascii="宋体" w:hAnsi="宋体"/>
          <w:color w:val="auto"/>
          <w:sz w:val="21"/>
          <w:szCs w:val="21"/>
        </w:rPr>
        <w:t>4.1.3 主要提交件</w:t>
      </w:r>
    </w:p>
    <w:p>
      <w:pPr>
        <w:snapToGrid w:val="0"/>
        <w:spacing w:line="360" w:lineRule="exact"/>
        <w:ind w:firstLine="420" w:firstLineChars="200"/>
        <w:rPr>
          <w:rFonts w:ascii="宋体" w:hAnsi="宋体"/>
          <w:sz w:val="21"/>
          <w:szCs w:val="21"/>
        </w:rPr>
      </w:pPr>
      <w:r>
        <w:rPr>
          <w:rFonts w:hint="eastAsia" w:ascii="宋体" w:hAnsi="宋体"/>
          <w:sz w:val="21"/>
          <w:szCs w:val="21"/>
        </w:rPr>
        <w:t>（1）环境保护及水土保持措施计划：</w:t>
      </w:r>
    </w:p>
    <w:p>
      <w:pPr>
        <w:snapToGrid w:val="0"/>
        <w:spacing w:line="360" w:lineRule="exact"/>
        <w:ind w:firstLine="420" w:firstLineChars="200"/>
        <w:rPr>
          <w:rFonts w:ascii="宋体" w:hAnsi="宋体"/>
          <w:sz w:val="21"/>
          <w:szCs w:val="21"/>
        </w:rPr>
      </w:pPr>
      <w:r>
        <w:rPr>
          <w:rFonts w:hint="eastAsia" w:ascii="宋体" w:hAnsi="宋体"/>
          <w:sz w:val="21"/>
          <w:szCs w:val="21"/>
        </w:rPr>
        <w:t>承包人在提交施工总布置设计文件的同时，提交本合同施工期的环境保护和水土保持措施计划，提交监理人批准，其内容包括（但不限于）：</w:t>
      </w:r>
    </w:p>
    <w:p>
      <w:pPr>
        <w:snapToGrid w:val="0"/>
        <w:spacing w:line="360" w:lineRule="exact"/>
        <w:ind w:firstLine="420" w:firstLineChars="200"/>
        <w:rPr>
          <w:rFonts w:ascii="宋体" w:hAnsi="宋体"/>
          <w:sz w:val="21"/>
          <w:szCs w:val="21"/>
        </w:rPr>
      </w:pPr>
      <w:r>
        <w:rPr>
          <w:rFonts w:hint="eastAsia" w:ascii="宋体" w:hAnsi="宋体"/>
          <w:sz w:val="21"/>
          <w:szCs w:val="21"/>
        </w:rPr>
        <w:t>1）承包人生活区的生活用水和生活污水处理措施；</w:t>
      </w:r>
    </w:p>
    <w:p>
      <w:pPr>
        <w:snapToGrid w:val="0"/>
        <w:spacing w:line="360" w:lineRule="exact"/>
        <w:ind w:firstLine="420" w:firstLineChars="200"/>
        <w:rPr>
          <w:rFonts w:ascii="宋体" w:hAnsi="宋体"/>
          <w:sz w:val="21"/>
          <w:szCs w:val="21"/>
        </w:rPr>
      </w:pPr>
      <w:r>
        <w:rPr>
          <w:rFonts w:hint="eastAsia" w:ascii="宋体" w:hAnsi="宋体"/>
          <w:sz w:val="21"/>
          <w:szCs w:val="21"/>
        </w:rPr>
        <w:t>2）承包人对生活垃圾、粪便处理措施</w:t>
      </w:r>
    </w:p>
    <w:p>
      <w:pPr>
        <w:snapToGrid w:val="0"/>
        <w:spacing w:line="360" w:lineRule="exact"/>
        <w:ind w:firstLine="420" w:firstLineChars="200"/>
        <w:rPr>
          <w:rFonts w:ascii="宋体" w:hAnsi="宋体"/>
          <w:sz w:val="21"/>
          <w:szCs w:val="21"/>
        </w:rPr>
      </w:pPr>
      <w:r>
        <w:rPr>
          <w:rFonts w:hint="eastAsia" w:ascii="宋体" w:hAnsi="宋体"/>
          <w:sz w:val="21"/>
          <w:szCs w:val="21"/>
        </w:rPr>
        <w:t>3）办公、生活场所清洁措施</w:t>
      </w:r>
    </w:p>
    <w:p>
      <w:pPr>
        <w:snapToGrid w:val="0"/>
        <w:spacing w:line="360" w:lineRule="exact"/>
        <w:ind w:firstLine="420" w:firstLineChars="200"/>
        <w:rPr>
          <w:rFonts w:ascii="宋体" w:hAnsi="宋体"/>
          <w:sz w:val="21"/>
          <w:szCs w:val="21"/>
        </w:rPr>
      </w:pPr>
      <w:r>
        <w:rPr>
          <w:rFonts w:hint="eastAsia" w:ascii="宋体" w:hAnsi="宋体"/>
          <w:sz w:val="21"/>
          <w:szCs w:val="21"/>
        </w:rPr>
        <w:t>4）施工生产废水（如隧道排水、基坑废水、混凝土生产系统废水、砂石料加工系统废水、机修废水等）处理措施；</w:t>
      </w:r>
    </w:p>
    <w:p>
      <w:pPr>
        <w:snapToGrid w:val="0"/>
        <w:spacing w:line="360" w:lineRule="exact"/>
        <w:ind w:firstLine="420" w:firstLineChars="200"/>
        <w:rPr>
          <w:rFonts w:ascii="宋体" w:hAnsi="宋体"/>
          <w:sz w:val="21"/>
          <w:szCs w:val="21"/>
        </w:rPr>
      </w:pPr>
      <w:r>
        <w:rPr>
          <w:rFonts w:hint="eastAsia" w:ascii="宋体" w:hAnsi="宋体"/>
          <w:sz w:val="21"/>
          <w:szCs w:val="21"/>
        </w:rPr>
        <w:t>5）施工区扬尘、粉尘、废气的处理措施；</w:t>
      </w:r>
    </w:p>
    <w:p>
      <w:pPr>
        <w:snapToGrid w:val="0"/>
        <w:spacing w:line="360" w:lineRule="exact"/>
        <w:ind w:firstLine="420" w:firstLineChars="200"/>
        <w:rPr>
          <w:rFonts w:ascii="宋体" w:hAnsi="宋体"/>
          <w:sz w:val="21"/>
          <w:szCs w:val="21"/>
        </w:rPr>
      </w:pPr>
      <w:r>
        <w:rPr>
          <w:rFonts w:hint="eastAsia" w:ascii="宋体" w:hAnsi="宋体"/>
          <w:sz w:val="21"/>
          <w:szCs w:val="21"/>
        </w:rPr>
        <w:t>6）施工区强光、噪声控制措施；</w:t>
      </w:r>
    </w:p>
    <w:p>
      <w:pPr>
        <w:snapToGrid w:val="0"/>
        <w:spacing w:line="360" w:lineRule="exact"/>
        <w:ind w:firstLine="420" w:firstLineChars="200"/>
        <w:rPr>
          <w:rFonts w:ascii="宋体" w:hAnsi="宋体"/>
          <w:sz w:val="21"/>
          <w:szCs w:val="21"/>
        </w:rPr>
      </w:pPr>
      <w:r>
        <w:rPr>
          <w:rFonts w:hint="eastAsia" w:ascii="宋体" w:hAnsi="宋体"/>
          <w:sz w:val="21"/>
          <w:szCs w:val="21"/>
        </w:rPr>
        <w:t>7）固体废弃物处理措施；</w:t>
      </w:r>
    </w:p>
    <w:p>
      <w:pPr>
        <w:snapToGrid w:val="0"/>
        <w:spacing w:line="360" w:lineRule="exact"/>
        <w:ind w:firstLine="420" w:firstLineChars="200"/>
        <w:rPr>
          <w:rFonts w:ascii="宋体" w:hAnsi="宋体"/>
          <w:sz w:val="21"/>
          <w:szCs w:val="21"/>
        </w:rPr>
      </w:pPr>
      <w:r>
        <w:rPr>
          <w:rFonts w:hint="eastAsia" w:ascii="宋体" w:hAnsi="宋体"/>
          <w:sz w:val="21"/>
          <w:szCs w:val="21"/>
        </w:rPr>
        <w:t>8）人群健康保护措施；</w:t>
      </w:r>
    </w:p>
    <w:p>
      <w:pPr>
        <w:snapToGrid w:val="0"/>
        <w:spacing w:line="360" w:lineRule="exact"/>
        <w:ind w:firstLine="420" w:firstLineChars="200"/>
        <w:rPr>
          <w:rFonts w:ascii="宋体" w:hAnsi="宋体"/>
          <w:sz w:val="21"/>
          <w:szCs w:val="21"/>
        </w:rPr>
      </w:pPr>
      <w:r>
        <w:rPr>
          <w:rFonts w:hint="eastAsia" w:ascii="宋体" w:hAnsi="宋体"/>
          <w:sz w:val="21"/>
          <w:szCs w:val="21"/>
        </w:rPr>
        <w:t>9）本工程存料场、弃渣场的挡护工程、坡面保护工程和排水工程；</w:t>
      </w:r>
    </w:p>
    <w:p>
      <w:pPr>
        <w:snapToGrid w:val="0"/>
        <w:spacing w:line="360" w:lineRule="exact"/>
        <w:ind w:firstLine="420" w:firstLineChars="200"/>
        <w:rPr>
          <w:rFonts w:ascii="宋体" w:hAnsi="宋体"/>
          <w:sz w:val="21"/>
          <w:szCs w:val="21"/>
        </w:rPr>
      </w:pPr>
      <w:r>
        <w:rPr>
          <w:rFonts w:hint="eastAsia" w:ascii="宋体" w:hAnsi="宋体"/>
          <w:sz w:val="21"/>
          <w:szCs w:val="21"/>
        </w:rPr>
        <w:t>10）环境风险应急措施；</w:t>
      </w:r>
    </w:p>
    <w:p>
      <w:pPr>
        <w:snapToGrid w:val="0"/>
        <w:spacing w:line="360" w:lineRule="exact"/>
        <w:ind w:firstLine="420" w:firstLineChars="200"/>
        <w:rPr>
          <w:rFonts w:ascii="宋体" w:hAnsi="宋体"/>
          <w:sz w:val="21"/>
          <w:szCs w:val="21"/>
        </w:rPr>
      </w:pPr>
      <w:r>
        <w:rPr>
          <w:rFonts w:hint="eastAsia" w:ascii="宋体" w:hAnsi="宋体"/>
          <w:sz w:val="21"/>
          <w:szCs w:val="21"/>
        </w:rPr>
        <w:t>11）施工辅助生产区（如混凝土系统、砂石加工系统的生产区及加工场等）、工程施工区、施工生活营地等所有场地周边的截、排水措施，开挖边坡支护措施、挡护建筑物的排水措施等；</w:t>
      </w:r>
    </w:p>
    <w:p>
      <w:pPr>
        <w:snapToGrid w:val="0"/>
        <w:spacing w:line="360" w:lineRule="exact"/>
        <w:ind w:firstLine="420" w:firstLineChars="200"/>
        <w:rPr>
          <w:rFonts w:ascii="宋体" w:hAnsi="宋体"/>
          <w:sz w:val="21"/>
          <w:szCs w:val="21"/>
        </w:rPr>
      </w:pPr>
      <w:r>
        <w:rPr>
          <w:rFonts w:hint="eastAsia" w:ascii="宋体" w:hAnsi="宋体"/>
          <w:sz w:val="21"/>
          <w:szCs w:val="21"/>
        </w:rPr>
        <w:t>12）施工区边坡工程的水土保护措施；</w:t>
      </w:r>
    </w:p>
    <w:p>
      <w:pPr>
        <w:snapToGrid w:val="0"/>
        <w:spacing w:line="360" w:lineRule="exact"/>
        <w:ind w:firstLine="420" w:firstLineChars="200"/>
        <w:rPr>
          <w:rFonts w:ascii="宋体" w:hAnsi="宋体"/>
          <w:sz w:val="21"/>
          <w:szCs w:val="21"/>
        </w:rPr>
      </w:pPr>
      <w:r>
        <w:rPr>
          <w:rFonts w:hint="eastAsia" w:ascii="宋体" w:hAnsi="宋体"/>
          <w:sz w:val="21"/>
          <w:szCs w:val="21"/>
        </w:rPr>
        <w:t>13）完工后场地清理及农田复耕和植被恢复措施。</w:t>
      </w:r>
    </w:p>
    <w:p>
      <w:pPr>
        <w:snapToGrid w:val="0"/>
        <w:spacing w:line="360" w:lineRule="exact"/>
        <w:ind w:firstLine="420" w:firstLineChars="200"/>
        <w:rPr>
          <w:rFonts w:ascii="宋体" w:hAnsi="宋体"/>
          <w:sz w:val="21"/>
          <w:szCs w:val="21"/>
        </w:rPr>
      </w:pPr>
      <w:r>
        <w:rPr>
          <w:rFonts w:hint="eastAsia" w:ascii="宋体" w:hAnsi="宋体"/>
          <w:sz w:val="21"/>
          <w:szCs w:val="21"/>
        </w:rPr>
        <w:t>（2）承包人应按监理人指示，在工程开工后</w:t>
      </w:r>
      <w:r>
        <w:rPr>
          <w:rFonts w:hint="eastAsia" w:ascii="宋体" w:hAnsi="宋体"/>
          <w:sz w:val="21"/>
          <w:szCs w:val="21"/>
          <w:u w:val="single"/>
        </w:rPr>
        <w:t xml:space="preserve"> 28  </w:t>
      </w:r>
      <w:r>
        <w:rPr>
          <w:rFonts w:hint="eastAsia" w:ascii="宋体" w:hAnsi="宋体"/>
          <w:sz w:val="21"/>
          <w:szCs w:val="21"/>
        </w:rPr>
        <w:t>天内，将废水处理系统的设计与施工计划以及维护系统的运行措施等生产废水处理的专项报告提交监理人批准。</w:t>
      </w:r>
    </w:p>
    <w:p>
      <w:pPr>
        <w:snapToGrid w:val="0"/>
        <w:spacing w:line="360" w:lineRule="exact"/>
        <w:ind w:firstLine="420" w:firstLineChars="200"/>
        <w:rPr>
          <w:rFonts w:ascii="宋体" w:hAnsi="宋体"/>
          <w:sz w:val="21"/>
          <w:szCs w:val="21"/>
        </w:rPr>
      </w:pPr>
      <w:r>
        <w:rPr>
          <w:rFonts w:hint="eastAsia" w:ascii="宋体" w:hAnsi="宋体"/>
          <w:sz w:val="21"/>
          <w:szCs w:val="21"/>
        </w:rPr>
        <w:t>（3）验收报告和资料：</w:t>
      </w:r>
    </w:p>
    <w:p>
      <w:pPr>
        <w:snapToGrid w:val="0"/>
        <w:spacing w:line="360" w:lineRule="exact"/>
        <w:ind w:firstLine="420" w:firstLineChars="200"/>
        <w:rPr>
          <w:rFonts w:ascii="宋体" w:hAnsi="宋体"/>
          <w:sz w:val="21"/>
          <w:szCs w:val="21"/>
        </w:rPr>
      </w:pPr>
      <w:r>
        <w:rPr>
          <w:rFonts w:hint="eastAsia" w:ascii="宋体" w:hAnsi="宋体"/>
          <w:sz w:val="21"/>
          <w:szCs w:val="21"/>
        </w:rPr>
        <w:t>l）环境保护措施质量检查及验收报告；</w:t>
      </w:r>
    </w:p>
    <w:p>
      <w:pPr>
        <w:snapToGrid w:val="0"/>
        <w:spacing w:line="360" w:lineRule="exact"/>
        <w:ind w:firstLine="420" w:firstLineChars="200"/>
        <w:rPr>
          <w:rFonts w:ascii="宋体" w:hAnsi="宋体"/>
          <w:sz w:val="21"/>
          <w:szCs w:val="21"/>
        </w:rPr>
      </w:pPr>
      <w:r>
        <w:rPr>
          <w:rFonts w:hint="eastAsia" w:ascii="宋体" w:hAnsi="宋体"/>
          <w:sz w:val="21"/>
          <w:szCs w:val="21"/>
        </w:rPr>
        <w:t>2）水土保持措施的质量检查及验收报告；</w:t>
      </w:r>
    </w:p>
    <w:p>
      <w:pPr>
        <w:snapToGrid w:val="0"/>
        <w:spacing w:line="360" w:lineRule="exact"/>
        <w:ind w:firstLine="420" w:firstLineChars="200"/>
        <w:rPr>
          <w:rFonts w:ascii="宋体" w:hAnsi="宋体"/>
          <w:sz w:val="21"/>
          <w:szCs w:val="21"/>
        </w:rPr>
      </w:pPr>
      <w:r>
        <w:rPr>
          <w:rFonts w:hint="eastAsia" w:ascii="宋体" w:hAnsi="宋体"/>
          <w:sz w:val="21"/>
          <w:szCs w:val="21"/>
        </w:rPr>
        <w:t>3）监理人要求提供的其它资料。</w:t>
      </w:r>
    </w:p>
    <w:p>
      <w:pPr>
        <w:pStyle w:val="7"/>
        <w:snapToGrid w:val="0"/>
        <w:spacing w:line="360" w:lineRule="exact"/>
        <w:rPr>
          <w:rStyle w:val="47"/>
          <w:rFonts w:ascii="宋体" w:hAnsi="宋体"/>
          <w:color w:val="auto"/>
          <w:sz w:val="21"/>
          <w:szCs w:val="21"/>
        </w:rPr>
      </w:pPr>
      <w:r>
        <w:rPr>
          <w:rStyle w:val="47"/>
          <w:rFonts w:hint="eastAsia" w:ascii="宋体" w:hAnsi="宋体"/>
          <w:color w:val="auto"/>
          <w:sz w:val="21"/>
          <w:szCs w:val="21"/>
        </w:rPr>
        <w:t>4.1.4 引用的法律法规</w:t>
      </w:r>
    </w:p>
    <w:p>
      <w:pPr>
        <w:snapToGrid w:val="0"/>
        <w:spacing w:line="360" w:lineRule="exact"/>
        <w:ind w:firstLine="420" w:firstLineChars="200"/>
        <w:rPr>
          <w:rFonts w:ascii="宋体" w:hAnsi="宋体"/>
          <w:sz w:val="21"/>
          <w:szCs w:val="21"/>
        </w:rPr>
      </w:pPr>
      <w:r>
        <w:rPr>
          <w:rFonts w:hint="eastAsia" w:ascii="宋体" w:hAnsi="宋体"/>
          <w:sz w:val="21"/>
          <w:szCs w:val="21"/>
        </w:rPr>
        <w:t>（1）《水利工程建设项目验收管理规定》（水利部第30号令）；</w:t>
      </w:r>
    </w:p>
    <w:p>
      <w:pPr>
        <w:snapToGrid w:val="0"/>
        <w:spacing w:line="360" w:lineRule="exact"/>
        <w:ind w:firstLine="420" w:firstLineChars="200"/>
        <w:rPr>
          <w:rFonts w:ascii="宋体" w:hAnsi="宋体"/>
          <w:sz w:val="21"/>
          <w:szCs w:val="21"/>
        </w:rPr>
      </w:pPr>
      <w:r>
        <w:rPr>
          <w:rFonts w:hint="eastAsia" w:ascii="宋体" w:hAnsi="宋体"/>
          <w:sz w:val="21"/>
          <w:szCs w:val="21"/>
        </w:rPr>
        <w:t>（2）《中华人民共和国水法》；</w:t>
      </w:r>
    </w:p>
    <w:p>
      <w:pPr>
        <w:snapToGrid w:val="0"/>
        <w:spacing w:line="360" w:lineRule="exact"/>
        <w:ind w:firstLine="420" w:firstLineChars="200"/>
        <w:rPr>
          <w:rFonts w:ascii="宋体" w:hAnsi="宋体"/>
          <w:sz w:val="21"/>
          <w:szCs w:val="21"/>
        </w:rPr>
      </w:pPr>
      <w:r>
        <w:rPr>
          <w:rFonts w:hint="eastAsia" w:ascii="宋体" w:hAnsi="宋体"/>
          <w:sz w:val="21"/>
          <w:szCs w:val="21"/>
        </w:rPr>
        <w:t>（3）《中华人民共和国水污染防治法实施细则》；</w:t>
      </w:r>
    </w:p>
    <w:p>
      <w:pPr>
        <w:snapToGrid w:val="0"/>
        <w:spacing w:line="360" w:lineRule="exact"/>
        <w:ind w:firstLine="420" w:firstLineChars="200"/>
        <w:rPr>
          <w:rFonts w:ascii="宋体" w:hAnsi="宋体"/>
          <w:sz w:val="21"/>
          <w:szCs w:val="21"/>
        </w:rPr>
      </w:pPr>
      <w:r>
        <w:rPr>
          <w:rFonts w:hint="eastAsia" w:ascii="宋体" w:hAnsi="宋体"/>
          <w:sz w:val="21"/>
          <w:szCs w:val="21"/>
        </w:rPr>
        <w:t>（4）《中华人民共和国大气污染防治法》；</w:t>
      </w:r>
    </w:p>
    <w:p>
      <w:pPr>
        <w:snapToGrid w:val="0"/>
        <w:spacing w:line="360" w:lineRule="exact"/>
        <w:ind w:firstLine="420" w:firstLineChars="200"/>
        <w:rPr>
          <w:rFonts w:ascii="宋体" w:hAnsi="宋体"/>
          <w:sz w:val="21"/>
          <w:szCs w:val="21"/>
        </w:rPr>
      </w:pPr>
      <w:r>
        <w:rPr>
          <w:rFonts w:hint="eastAsia" w:ascii="宋体" w:hAnsi="宋体"/>
          <w:sz w:val="21"/>
          <w:szCs w:val="21"/>
        </w:rPr>
        <w:t>（5）《建设项目环境保护管理条例》；</w:t>
      </w:r>
    </w:p>
    <w:p>
      <w:pPr>
        <w:snapToGrid w:val="0"/>
        <w:spacing w:line="360" w:lineRule="exact"/>
        <w:ind w:firstLine="420" w:firstLineChars="200"/>
        <w:rPr>
          <w:rFonts w:ascii="宋体" w:hAnsi="宋体"/>
          <w:sz w:val="21"/>
          <w:szCs w:val="21"/>
        </w:rPr>
      </w:pPr>
      <w:r>
        <w:rPr>
          <w:rFonts w:hint="eastAsia" w:ascii="宋体" w:hAnsi="宋体"/>
          <w:sz w:val="21"/>
          <w:szCs w:val="21"/>
        </w:rPr>
        <w:t>（6）《中华人民共和国环境噪声污染防治法》；</w:t>
      </w:r>
    </w:p>
    <w:p>
      <w:pPr>
        <w:snapToGrid w:val="0"/>
        <w:spacing w:line="360" w:lineRule="exact"/>
        <w:ind w:firstLine="420" w:firstLineChars="200"/>
        <w:rPr>
          <w:rFonts w:ascii="宋体" w:hAnsi="宋体"/>
          <w:sz w:val="21"/>
          <w:szCs w:val="21"/>
        </w:rPr>
      </w:pPr>
      <w:r>
        <w:rPr>
          <w:rFonts w:hint="eastAsia" w:ascii="宋体" w:hAnsi="宋体"/>
          <w:sz w:val="21"/>
          <w:szCs w:val="21"/>
        </w:rPr>
        <w:t>（7）《中华人民共和国水污染防治法》；</w:t>
      </w:r>
    </w:p>
    <w:p>
      <w:pPr>
        <w:snapToGrid w:val="0"/>
        <w:spacing w:line="360" w:lineRule="exact"/>
        <w:ind w:firstLine="420" w:firstLineChars="200"/>
        <w:rPr>
          <w:rFonts w:ascii="宋体" w:hAnsi="宋体"/>
          <w:sz w:val="21"/>
          <w:szCs w:val="21"/>
        </w:rPr>
      </w:pPr>
      <w:r>
        <w:rPr>
          <w:rFonts w:hint="eastAsia" w:ascii="宋体" w:hAnsi="宋体"/>
          <w:sz w:val="21"/>
          <w:szCs w:val="21"/>
        </w:rPr>
        <w:t>（8）《中华人民共和国固体废弃物污染环境防治法》；</w:t>
      </w:r>
    </w:p>
    <w:p>
      <w:pPr>
        <w:snapToGrid w:val="0"/>
        <w:spacing w:line="360" w:lineRule="exact"/>
        <w:ind w:firstLine="420" w:firstLineChars="200"/>
        <w:rPr>
          <w:rFonts w:ascii="宋体" w:hAnsi="宋体"/>
          <w:sz w:val="21"/>
          <w:szCs w:val="21"/>
        </w:rPr>
      </w:pPr>
      <w:r>
        <w:rPr>
          <w:rFonts w:hint="eastAsia" w:ascii="宋体" w:hAnsi="宋体"/>
          <w:sz w:val="21"/>
          <w:szCs w:val="21"/>
        </w:rPr>
        <w:t>（9）《中华人民共和国水土保持法》；</w:t>
      </w:r>
    </w:p>
    <w:p>
      <w:pPr>
        <w:snapToGrid w:val="0"/>
        <w:spacing w:line="360" w:lineRule="exact"/>
        <w:ind w:firstLine="420" w:firstLineChars="200"/>
        <w:rPr>
          <w:rFonts w:ascii="宋体" w:hAnsi="宋体"/>
          <w:sz w:val="21"/>
          <w:szCs w:val="21"/>
        </w:rPr>
      </w:pPr>
      <w:r>
        <w:rPr>
          <w:rFonts w:hint="eastAsia" w:ascii="宋体" w:hAnsi="宋体"/>
          <w:sz w:val="21"/>
          <w:szCs w:val="21"/>
        </w:rPr>
        <w:t>（10）《中华人民共和国环境保护法》。</w:t>
      </w:r>
    </w:p>
    <w:p>
      <w:pPr>
        <w:pStyle w:val="7"/>
        <w:snapToGrid w:val="0"/>
        <w:spacing w:line="360" w:lineRule="exact"/>
        <w:rPr>
          <w:rStyle w:val="47"/>
          <w:rFonts w:ascii="宋体" w:hAnsi="宋体"/>
          <w:color w:val="auto"/>
          <w:sz w:val="21"/>
          <w:szCs w:val="21"/>
        </w:rPr>
      </w:pPr>
      <w:r>
        <w:rPr>
          <w:rStyle w:val="47"/>
          <w:rFonts w:hint="eastAsia" w:ascii="宋体" w:hAnsi="宋体"/>
          <w:color w:val="auto"/>
          <w:sz w:val="21"/>
          <w:szCs w:val="21"/>
        </w:rPr>
        <w:t>4.1.5 引用标准</w:t>
      </w:r>
    </w:p>
    <w:p>
      <w:pPr>
        <w:snapToGrid w:val="0"/>
        <w:spacing w:line="360" w:lineRule="exact"/>
        <w:ind w:firstLine="420" w:firstLineChars="200"/>
        <w:rPr>
          <w:rFonts w:ascii="宋体" w:hAnsi="宋体"/>
          <w:sz w:val="21"/>
          <w:szCs w:val="21"/>
        </w:rPr>
      </w:pPr>
      <w:r>
        <w:rPr>
          <w:rFonts w:hint="eastAsia" w:ascii="宋体" w:hAnsi="宋体"/>
          <w:sz w:val="21"/>
          <w:szCs w:val="21"/>
        </w:rPr>
        <w:t>（1）《生活饮用水卫生标准》（GB 5749-2006)；</w:t>
      </w:r>
    </w:p>
    <w:p>
      <w:pPr>
        <w:snapToGrid w:val="0"/>
        <w:spacing w:line="360" w:lineRule="exact"/>
        <w:ind w:firstLine="420" w:firstLineChars="200"/>
        <w:rPr>
          <w:rFonts w:ascii="宋体" w:hAnsi="宋体"/>
          <w:sz w:val="21"/>
          <w:szCs w:val="21"/>
        </w:rPr>
      </w:pPr>
      <w:r>
        <w:rPr>
          <w:rFonts w:hint="eastAsia" w:ascii="宋体" w:hAnsi="宋体"/>
          <w:sz w:val="21"/>
          <w:szCs w:val="21"/>
        </w:rPr>
        <w:t>（2）《地表水环境质量标准》（GB 3838-2002)；</w:t>
      </w:r>
    </w:p>
    <w:p>
      <w:pPr>
        <w:snapToGrid w:val="0"/>
        <w:spacing w:line="360" w:lineRule="exact"/>
        <w:ind w:firstLine="420" w:firstLineChars="200"/>
        <w:rPr>
          <w:rFonts w:ascii="宋体" w:hAnsi="宋体"/>
          <w:sz w:val="21"/>
          <w:szCs w:val="21"/>
        </w:rPr>
      </w:pPr>
      <w:r>
        <w:rPr>
          <w:rFonts w:hint="eastAsia" w:ascii="宋体" w:hAnsi="宋体"/>
          <w:sz w:val="21"/>
          <w:szCs w:val="21"/>
        </w:rPr>
        <w:t>（3）《环境空气质量标准》（GB 3095-2012）；</w:t>
      </w:r>
    </w:p>
    <w:p>
      <w:pPr>
        <w:snapToGrid w:val="0"/>
        <w:spacing w:line="360" w:lineRule="exact"/>
        <w:ind w:firstLine="420" w:firstLineChars="200"/>
        <w:rPr>
          <w:rFonts w:ascii="宋体" w:hAnsi="宋体"/>
          <w:sz w:val="21"/>
          <w:szCs w:val="21"/>
        </w:rPr>
      </w:pPr>
      <w:r>
        <w:rPr>
          <w:rFonts w:hint="eastAsia" w:ascii="宋体" w:hAnsi="宋体"/>
          <w:sz w:val="21"/>
          <w:szCs w:val="21"/>
        </w:rPr>
        <w:t>（4）《污水综合排放标准》(GB 8978-1996)；</w:t>
      </w:r>
    </w:p>
    <w:p>
      <w:pPr>
        <w:snapToGrid w:val="0"/>
        <w:spacing w:line="360" w:lineRule="exact"/>
        <w:ind w:firstLine="420" w:firstLineChars="200"/>
        <w:rPr>
          <w:rFonts w:ascii="宋体" w:hAnsi="宋体"/>
          <w:sz w:val="21"/>
          <w:szCs w:val="21"/>
        </w:rPr>
      </w:pPr>
      <w:r>
        <w:rPr>
          <w:rFonts w:hint="eastAsia" w:ascii="宋体" w:hAnsi="宋体"/>
          <w:sz w:val="21"/>
          <w:szCs w:val="21"/>
        </w:rPr>
        <w:t>（5）《大气污染物综合排放标准》（GB 16297-1996)；</w:t>
      </w:r>
    </w:p>
    <w:p>
      <w:pPr>
        <w:snapToGrid w:val="0"/>
        <w:spacing w:line="360" w:lineRule="exact"/>
        <w:ind w:firstLine="420" w:firstLineChars="200"/>
        <w:rPr>
          <w:rFonts w:ascii="宋体" w:hAnsi="宋体"/>
          <w:sz w:val="21"/>
          <w:szCs w:val="21"/>
        </w:rPr>
      </w:pPr>
      <w:r>
        <w:rPr>
          <w:rFonts w:hint="eastAsia" w:ascii="宋体" w:hAnsi="宋体"/>
          <w:sz w:val="21"/>
          <w:szCs w:val="21"/>
        </w:rPr>
        <w:t>（6）《建筑施工场界噪声限值》（GB 12523-2011)；</w:t>
      </w:r>
    </w:p>
    <w:p>
      <w:pPr>
        <w:snapToGrid w:val="0"/>
        <w:spacing w:line="360" w:lineRule="exact"/>
        <w:ind w:firstLine="420" w:firstLineChars="200"/>
        <w:rPr>
          <w:rFonts w:ascii="宋体" w:hAnsi="宋体"/>
          <w:sz w:val="21"/>
          <w:szCs w:val="21"/>
        </w:rPr>
      </w:pPr>
      <w:r>
        <w:rPr>
          <w:rFonts w:hint="eastAsia" w:ascii="宋体" w:hAnsi="宋体"/>
          <w:sz w:val="21"/>
          <w:szCs w:val="21"/>
        </w:rPr>
        <w:t>（7）《水利水电工程施工通用安全技术规程》（SL 398-2007)；</w:t>
      </w:r>
    </w:p>
    <w:p>
      <w:pPr>
        <w:snapToGrid w:val="0"/>
        <w:spacing w:line="360" w:lineRule="exact"/>
        <w:ind w:firstLine="420" w:firstLineChars="200"/>
        <w:rPr>
          <w:rFonts w:ascii="宋体" w:hAnsi="宋体"/>
          <w:sz w:val="21"/>
          <w:szCs w:val="21"/>
        </w:rPr>
      </w:pPr>
      <w:r>
        <w:rPr>
          <w:rFonts w:hint="eastAsia" w:ascii="宋体" w:hAnsi="宋体"/>
          <w:sz w:val="21"/>
          <w:szCs w:val="21"/>
        </w:rPr>
        <w:t>（8）《水土保持监测技术规程》（SL 277-2002)；</w:t>
      </w:r>
    </w:p>
    <w:p>
      <w:pPr>
        <w:snapToGrid w:val="0"/>
        <w:spacing w:line="360" w:lineRule="exact"/>
        <w:ind w:firstLine="420" w:firstLineChars="200"/>
        <w:rPr>
          <w:rFonts w:ascii="宋体" w:hAnsi="宋体"/>
          <w:sz w:val="21"/>
          <w:szCs w:val="21"/>
        </w:rPr>
      </w:pPr>
      <w:r>
        <w:rPr>
          <w:rFonts w:hint="eastAsia" w:ascii="宋体" w:hAnsi="宋体"/>
          <w:sz w:val="21"/>
          <w:szCs w:val="21"/>
        </w:rPr>
        <w:t>（9）《水环境监测规范》(SL 219-2013)；</w:t>
      </w:r>
    </w:p>
    <w:p>
      <w:pPr>
        <w:snapToGrid w:val="0"/>
        <w:spacing w:line="360" w:lineRule="exact"/>
        <w:ind w:firstLine="420" w:firstLineChars="200"/>
        <w:rPr>
          <w:rFonts w:ascii="宋体" w:hAnsi="宋体"/>
          <w:sz w:val="21"/>
          <w:szCs w:val="21"/>
        </w:rPr>
      </w:pPr>
      <w:r>
        <w:rPr>
          <w:rFonts w:hint="eastAsia" w:ascii="宋体" w:hAnsi="宋体"/>
          <w:sz w:val="21"/>
          <w:szCs w:val="21"/>
        </w:rPr>
        <w:t>（10）《水土保持综合治理验收规范》（GB/T 15773-2008）。</w:t>
      </w:r>
    </w:p>
    <w:p>
      <w:pPr>
        <w:pStyle w:val="6"/>
        <w:snapToGrid w:val="0"/>
        <w:spacing w:line="360" w:lineRule="exact"/>
        <w:rPr>
          <w:rStyle w:val="49"/>
          <w:rFonts w:hAnsi="宋体"/>
          <w:b/>
          <w:sz w:val="21"/>
          <w:szCs w:val="21"/>
        </w:rPr>
      </w:pPr>
      <w:bookmarkStart w:id="593" w:name="_Toc339983422"/>
      <w:bookmarkStart w:id="594" w:name="_Toc339224650"/>
      <w:bookmarkStart w:id="595" w:name="_Toc10808"/>
      <w:bookmarkStart w:id="596" w:name="_Toc336255235"/>
      <w:bookmarkStart w:id="597" w:name="_Toc336325348"/>
      <w:bookmarkStart w:id="598" w:name="_Toc341965032"/>
      <w:bookmarkStart w:id="599" w:name="_Toc339482516"/>
      <w:r>
        <w:rPr>
          <w:rStyle w:val="49"/>
          <w:rFonts w:hint="eastAsia" w:hAnsi="宋体"/>
          <w:b/>
          <w:sz w:val="21"/>
          <w:szCs w:val="21"/>
        </w:rPr>
        <w:t>4.2 施工环境保护</w:t>
      </w:r>
      <w:bookmarkEnd w:id="593"/>
      <w:bookmarkEnd w:id="594"/>
      <w:bookmarkEnd w:id="595"/>
      <w:bookmarkEnd w:id="596"/>
      <w:bookmarkEnd w:id="597"/>
      <w:bookmarkEnd w:id="598"/>
      <w:bookmarkEnd w:id="599"/>
    </w:p>
    <w:p>
      <w:pPr>
        <w:pStyle w:val="7"/>
        <w:snapToGrid w:val="0"/>
        <w:spacing w:line="360" w:lineRule="exact"/>
        <w:rPr>
          <w:rStyle w:val="47"/>
          <w:rFonts w:ascii="宋体" w:hAnsi="宋体"/>
          <w:color w:val="auto"/>
          <w:sz w:val="21"/>
          <w:szCs w:val="21"/>
        </w:rPr>
      </w:pPr>
      <w:r>
        <w:rPr>
          <w:rStyle w:val="47"/>
          <w:rFonts w:hint="eastAsia" w:ascii="宋体" w:hAnsi="宋体"/>
          <w:color w:val="auto"/>
          <w:sz w:val="21"/>
          <w:szCs w:val="21"/>
        </w:rPr>
        <w:t>4.2.1 生活供水及生活废水处理</w:t>
      </w:r>
    </w:p>
    <w:p>
      <w:pPr>
        <w:snapToGrid w:val="0"/>
        <w:spacing w:line="360" w:lineRule="exact"/>
        <w:ind w:firstLine="420" w:firstLineChars="200"/>
        <w:rPr>
          <w:rFonts w:ascii="宋体" w:hAnsi="宋体"/>
          <w:sz w:val="21"/>
          <w:szCs w:val="21"/>
        </w:rPr>
      </w:pPr>
      <w:r>
        <w:rPr>
          <w:rFonts w:hint="eastAsia" w:ascii="宋体" w:hAnsi="宋体"/>
          <w:sz w:val="21"/>
          <w:szCs w:val="21"/>
        </w:rPr>
        <w:t>（1）饮用水水质应符合GB 5749-2006的规定。</w:t>
      </w:r>
    </w:p>
    <w:p>
      <w:pPr>
        <w:snapToGrid w:val="0"/>
        <w:spacing w:line="360" w:lineRule="exact"/>
        <w:ind w:firstLine="420" w:firstLineChars="200"/>
        <w:rPr>
          <w:rFonts w:ascii="宋体" w:hAnsi="宋体"/>
          <w:sz w:val="21"/>
          <w:szCs w:val="21"/>
        </w:rPr>
      </w:pPr>
      <w:r>
        <w:rPr>
          <w:rFonts w:hint="eastAsia" w:ascii="宋体" w:hAnsi="宋体"/>
          <w:sz w:val="21"/>
          <w:szCs w:val="21"/>
        </w:rPr>
        <w:t>（2）处理后的废水水质应符合受纳水体环境功能区规划规定的排放要求，或应遵守GB 8978-1996的规定，不得将未处理的生活污水直接或间接排人河流水体中，或造成生活供水系统的污染。</w:t>
      </w:r>
    </w:p>
    <w:p>
      <w:pPr>
        <w:pStyle w:val="7"/>
        <w:snapToGrid w:val="0"/>
        <w:spacing w:line="360" w:lineRule="exact"/>
        <w:rPr>
          <w:rStyle w:val="47"/>
          <w:rFonts w:ascii="宋体" w:hAnsi="宋体"/>
          <w:color w:val="auto"/>
          <w:sz w:val="21"/>
          <w:szCs w:val="21"/>
        </w:rPr>
      </w:pPr>
      <w:r>
        <w:rPr>
          <w:rStyle w:val="47"/>
          <w:rFonts w:hint="eastAsia" w:ascii="宋体" w:hAnsi="宋体"/>
          <w:color w:val="auto"/>
          <w:sz w:val="21"/>
          <w:szCs w:val="21"/>
        </w:rPr>
        <w:t>4.2.2 生产废水处理</w:t>
      </w:r>
    </w:p>
    <w:p>
      <w:pPr>
        <w:snapToGrid w:val="0"/>
        <w:spacing w:line="360" w:lineRule="exact"/>
        <w:ind w:firstLine="420" w:firstLineChars="200"/>
        <w:rPr>
          <w:rFonts w:ascii="宋体" w:hAnsi="宋体"/>
          <w:sz w:val="21"/>
          <w:szCs w:val="21"/>
        </w:rPr>
      </w:pPr>
      <w:r>
        <w:rPr>
          <w:rFonts w:hint="eastAsia" w:ascii="宋体" w:hAnsi="宋体"/>
          <w:sz w:val="21"/>
          <w:szCs w:val="21"/>
        </w:rPr>
        <w:t>（1）基坑排水的排放口位置尽可能设置在靠近河流中的流速较大处，以尽量满足水质保护要求。基坑的经常性排水，应在基坑排水末端设沉淀池，排水量视沉淀池水的浑浊程度而定，做到蓄浑排清。尽量控制水体pH值接近中性时排放。</w:t>
      </w:r>
    </w:p>
    <w:p>
      <w:pPr>
        <w:snapToGrid w:val="0"/>
        <w:spacing w:line="360" w:lineRule="exact"/>
        <w:ind w:firstLine="420" w:firstLineChars="200"/>
        <w:rPr>
          <w:rFonts w:ascii="宋体" w:hAnsi="宋体"/>
          <w:sz w:val="21"/>
          <w:szCs w:val="21"/>
        </w:rPr>
      </w:pPr>
      <w:r>
        <w:rPr>
          <w:rFonts w:hint="eastAsia" w:ascii="宋体" w:hAnsi="宋体"/>
          <w:sz w:val="21"/>
          <w:szCs w:val="21"/>
        </w:rPr>
        <w:t>（2）、混凝土生产及其它辅助生产系统等的废水处理应实行雨污分流，建立完善的废水处理系统，将各生产系统经常性排放的废水统一收集处理。</w:t>
      </w:r>
    </w:p>
    <w:p>
      <w:pPr>
        <w:snapToGrid w:val="0"/>
        <w:spacing w:line="360" w:lineRule="exact"/>
        <w:ind w:firstLine="420" w:firstLineChars="200"/>
        <w:rPr>
          <w:rFonts w:ascii="宋体" w:hAnsi="宋体"/>
          <w:sz w:val="21"/>
          <w:szCs w:val="21"/>
        </w:rPr>
      </w:pPr>
      <w:r>
        <w:rPr>
          <w:rFonts w:hint="eastAsia" w:ascii="宋体" w:hAnsi="宋体"/>
          <w:sz w:val="21"/>
          <w:szCs w:val="21"/>
        </w:rPr>
        <w:t>（3）废水处理系统排出的污泥需进行必要的脱水（或沉淀）处理后，运至指定的弃渣场堆存。防止污泥进入排水系统或排入河道。</w:t>
      </w:r>
    </w:p>
    <w:p>
      <w:pPr>
        <w:snapToGrid w:val="0"/>
        <w:spacing w:line="360" w:lineRule="exact"/>
        <w:ind w:firstLine="420" w:firstLineChars="200"/>
        <w:rPr>
          <w:rFonts w:ascii="宋体" w:hAnsi="宋体"/>
          <w:sz w:val="21"/>
          <w:szCs w:val="21"/>
        </w:rPr>
      </w:pPr>
      <w:r>
        <w:rPr>
          <w:rFonts w:hint="eastAsia" w:ascii="宋体" w:hAnsi="宋体"/>
          <w:sz w:val="21"/>
          <w:szCs w:val="21"/>
        </w:rPr>
        <w:t>（4）机修及汽修系统的废水收集、处理系统应建立专用的废水收集管道，对含油较高的机修废水应选用成套油水分离设备进行油水分离，不得任意设置未经处理的废水排污口。</w:t>
      </w:r>
    </w:p>
    <w:p>
      <w:pPr>
        <w:snapToGrid w:val="0"/>
        <w:spacing w:line="360" w:lineRule="exact"/>
        <w:ind w:firstLine="420" w:firstLineChars="200"/>
        <w:rPr>
          <w:rFonts w:ascii="宋体" w:hAnsi="宋体"/>
          <w:sz w:val="21"/>
          <w:szCs w:val="21"/>
        </w:rPr>
      </w:pPr>
      <w:r>
        <w:rPr>
          <w:rFonts w:hint="eastAsia" w:ascii="宋体" w:hAnsi="宋体"/>
          <w:sz w:val="21"/>
          <w:szCs w:val="21"/>
        </w:rPr>
        <w:t>（5）混凝土浇筑面的冲洗、冲毛废水，以及灌浆工作面冲洗岩粉的污水和废弃浆液应由专设的沟道集中排放，严禁污水漫流。</w:t>
      </w:r>
    </w:p>
    <w:p>
      <w:pPr>
        <w:pStyle w:val="7"/>
        <w:snapToGrid w:val="0"/>
        <w:spacing w:line="360" w:lineRule="exact"/>
        <w:rPr>
          <w:rStyle w:val="47"/>
          <w:rFonts w:ascii="宋体" w:hAnsi="宋体"/>
          <w:color w:val="auto"/>
          <w:sz w:val="21"/>
          <w:szCs w:val="21"/>
        </w:rPr>
      </w:pPr>
      <w:r>
        <w:rPr>
          <w:rStyle w:val="47"/>
          <w:rFonts w:hint="eastAsia" w:ascii="宋体" w:hAnsi="宋体"/>
          <w:color w:val="auto"/>
          <w:sz w:val="21"/>
          <w:szCs w:val="21"/>
        </w:rPr>
        <w:t>4.2.3 施工区粉尘控制</w:t>
      </w:r>
    </w:p>
    <w:p>
      <w:pPr>
        <w:snapToGrid w:val="0"/>
        <w:spacing w:line="360" w:lineRule="exact"/>
        <w:ind w:firstLine="420" w:firstLineChars="200"/>
        <w:rPr>
          <w:rFonts w:ascii="宋体" w:hAnsi="宋体"/>
          <w:sz w:val="21"/>
          <w:szCs w:val="21"/>
        </w:rPr>
      </w:pPr>
      <w:r>
        <w:rPr>
          <w:rFonts w:hint="eastAsia" w:ascii="宋体" w:hAnsi="宋体"/>
          <w:sz w:val="21"/>
          <w:szCs w:val="21"/>
        </w:rPr>
        <w:t>（1）承包人应根据施工设备类型和施工方法制定除尘实施细则，提交监理人批准。</w:t>
      </w:r>
    </w:p>
    <w:p>
      <w:pPr>
        <w:snapToGrid w:val="0"/>
        <w:spacing w:line="360" w:lineRule="exact"/>
        <w:ind w:firstLine="420" w:firstLineChars="200"/>
        <w:rPr>
          <w:rFonts w:ascii="宋体" w:hAnsi="宋体"/>
          <w:sz w:val="21"/>
          <w:szCs w:val="21"/>
        </w:rPr>
      </w:pPr>
      <w:r>
        <w:rPr>
          <w:rFonts w:hint="eastAsia" w:ascii="宋体" w:hAnsi="宋体"/>
          <w:sz w:val="21"/>
          <w:szCs w:val="21"/>
        </w:rPr>
        <w:t>（2）施工过程中，承包人应会同监理人根据批准的除尘实施细则，随时进行除尘措施的检查和检测。检查和检测记录应提交监理人。</w:t>
      </w:r>
    </w:p>
    <w:p>
      <w:pPr>
        <w:snapToGrid w:val="0"/>
        <w:spacing w:line="360" w:lineRule="exact"/>
        <w:ind w:firstLine="420" w:firstLineChars="200"/>
        <w:rPr>
          <w:rFonts w:ascii="宋体" w:hAnsi="宋体"/>
          <w:sz w:val="21"/>
          <w:szCs w:val="21"/>
        </w:rPr>
      </w:pPr>
      <w:r>
        <w:rPr>
          <w:rFonts w:hint="eastAsia" w:ascii="宋体" w:hAnsi="宋体"/>
          <w:sz w:val="21"/>
          <w:szCs w:val="21"/>
        </w:rPr>
        <w:t>（3）施工期间，承包人应根据工程所在区域环境空气功能区划要求，保证施工场界及敏感受体附近空气中允许粉尘浓度限值控制在SL 398-2007表3.4.2规定范围内。</w:t>
      </w:r>
    </w:p>
    <w:p>
      <w:pPr>
        <w:snapToGrid w:val="0"/>
        <w:spacing w:line="360" w:lineRule="exact"/>
        <w:ind w:firstLine="420" w:firstLineChars="200"/>
        <w:rPr>
          <w:rFonts w:ascii="宋体" w:hAnsi="宋体"/>
          <w:sz w:val="21"/>
          <w:szCs w:val="21"/>
        </w:rPr>
      </w:pPr>
      <w:r>
        <w:rPr>
          <w:rFonts w:hint="eastAsia" w:ascii="宋体" w:hAnsi="宋体"/>
          <w:sz w:val="21"/>
          <w:szCs w:val="21"/>
        </w:rPr>
        <w:t>（4）承包人制定的除尘措施，应遵守SL 398-2007第3.4.3条的有关规定外，还应做到：</w:t>
      </w:r>
    </w:p>
    <w:p>
      <w:pPr>
        <w:snapToGrid w:val="0"/>
        <w:spacing w:line="360" w:lineRule="exact"/>
        <w:ind w:firstLine="420" w:firstLineChars="200"/>
        <w:rPr>
          <w:rFonts w:ascii="宋体" w:hAnsi="宋体"/>
          <w:sz w:val="21"/>
          <w:szCs w:val="21"/>
        </w:rPr>
      </w:pPr>
      <w:r>
        <w:rPr>
          <w:rFonts w:hint="eastAsia" w:ascii="宋体" w:hAnsi="宋体"/>
          <w:sz w:val="21"/>
          <w:szCs w:val="21"/>
        </w:rPr>
        <w:t>1）施工期间，除尘设备应与生产设备同时运行，并保持良好运行状态；</w:t>
      </w:r>
    </w:p>
    <w:p>
      <w:pPr>
        <w:snapToGrid w:val="0"/>
        <w:spacing w:line="360" w:lineRule="exact"/>
        <w:ind w:firstLine="420" w:firstLineChars="200"/>
        <w:rPr>
          <w:rFonts w:ascii="宋体" w:hAnsi="宋体"/>
          <w:sz w:val="21"/>
          <w:szCs w:val="21"/>
        </w:rPr>
      </w:pPr>
      <w:r>
        <w:rPr>
          <w:rFonts w:hint="eastAsia" w:ascii="宋体" w:hAnsi="宋体"/>
          <w:sz w:val="21"/>
          <w:szCs w:val="21"/>
        </w:rPr>
        <w:t>2）选用低尘工艺，钻孔要安装除尘装置；</w:t>
      </w:r>
    </w:p>
    <w:p>
      <w:pPr>
        <w:snapToGrid w:val="0"/>
        <w:spacing w:line="360" w:lineRule="exact"/>
        <w:ind w:firstLine="420" w:firstLineChars="200"/>
        <w:rPr>
          <w:rFonts w:ascii="宋体" w:hAnsi="宋体"/>
          <w:sz w:val="21"/>
          <w:szCs w:val="21"/>
        </w:rPr>
      </w:pPr>
      <w:r>
        <w:rPr>
          <w:rFonts w:hint="eastAsia" w:ascii="宋体" w:hAnsi="宋体"/>
          <w:sz w:val="21"/>
          <w:szCs w:val="21"/>
        </w:rPr>
        <w:t>3）混凝土系统配置除尘装置，及时更换和修理无法运行的除尘设备；</w:t>
      </w:r>
    </w:p>
    <w:p>
      <w:pPr>
        <w:snapToGrid w:val="0"/>
        <w:spacing w:line="360" w:lineRule="exact"/>
        <w:ind w:firstLine="420" w:firstLineChars="200"/>
        <w:rPr>
          <w:rFonts w:ascii="宋体" w:hAnsi="宋体"/>
          <w:sz w:val="21"/>
          <w:szCs w:val="21"/>
        </w:rPr>
      </w:pPr>
      <w:r>
        <w:rPr>
          <w:rFonts w:hint="eastAsia" w:ascii="宋体" w:hAnsi="宋体"/>
          <w:sz w:val="21"/>
          <w:szCs w:val="21"/>
        </w:rPr>
        <w:t>4）承包人不得任意安装和使用对空气可能产生污染的锅炉、炉具，以及使用易产生烟尘或其它空气污染物的燃料；</w:t>
      </w:r>
    </w:p>
    <w:p>
      <w:pPr>
        <w:snapToGrid w:val="0"/>
        <w:spacing w:line="360" w:lineRule="exact"/>
        <w:ind w:firstLine="420" w:firstLineChars="200"/>
        <w:rPr>
          <w:rFonts w:ascii="宋体" w:hAnsi="宋体"/>
          <w:sz w:val="21"/>
          <w:szCs w:val="21"/>
        </w:rPr>
      </w:pPr>
      <w:r>
        <w:rPr>
          <w:rFonts w:hint="eastAsia" w:ascii="宋体" w:hAnsi="宋体"/>
          <w:sz w:val="21"/>
          <w:szCs w:val="21"/>
        </w:rPr>
        <w:t>5）散装水泥、粉煤灰、磷矿渣粉应由封闭系统从罐车卸载到储存罐，所有出口应配有袋式过滤器；</w:t>
      </w:r>
    </w:p>
    <w:p>
      <w:pPr>
        <w:snapToGrid w:val="0"/>
        <w:spacing w:line="360" w:lineRule="exact"/>
        <w:ind w:firstLine="420" w:firstLineChars="200"/>
        <w:rPr>
          <w:rFonts w:ascii="宋体" w:hAnsi="宋体"/>
          <w:sz w:val="21"/>
          <w:szCs w:val="21"/>
        </w:rPr>
      </w:pPr>
      <w:r>
        <w:rPr>
          <w:rFonts w:hint="eastAsia" w:ascii="宋体" w:hAnsi="宋体"/>
          <w:sz w:val="21"/>
          <w:szCs w:val="21"/>
        </w:rPr>
        <w:t>6）承包人应经常清扫施工场地和道路，向多尘工地和路面充分洒水；</w:t>
      </w:r>
    </w:p>
    <w:p>
      <w:pPr>
        <w:snapToGrid w:val="0"/>
        <w:spacing w:line="360" w:lineRule="exact"/>
        <w:ind w:firstLine="420" w:firstLineChars="200"/>
        <w:rPr>
          <w:rFonts w:ascii="宋体" w:hAnsi="宋体"/>
          <w:sz w:val="21"/>
          <w:szCs w:val="21"/>
        </w:rPr>
      </w:pPr>
      <w:r>
        <w:rPr>
          <w:rFonts w:hint="eastAsia" w:ascii="宋体" w:hAnsi="宋体"/>
          <w:sz w:val="21"/>
          <w:szCs w:val="21"/>
        </w:rPr>
        <w:t>7）施工场地内应限制卡车、推土机等的车速以减少扬尘；运输可能产生粉尘物料的敞篷运输车，其车厢两侧及尾部均应配备挡板。运输粉尘物料应用干净的雨布加以遮盖；</w:t>
      </w:r>
    </w:p>
    <w:p>
      <w:pPr>
        <w:pStyle w:val="7"/>
        <w:snapToGrid w:val="0"/>
        <w:spacing w:line="360" w:lineRule="exact"/>
        <w:rPr>
          <w:rStyle w:val="47"/>
          <w:rFonts w:ascii="宋体" w:hAnsi="宋体"/>
          <w:color w:val="auto"/>
          <w:sz w:val="21"/>
          <w:szCs w:val="21"/>
        </w:rPr>
      </w:pPr>
      <w:r>
        <w:rPr>
          <w:rStyle w:val="47"/>
          <w:rFonts w:hint="eastAsia" w:ascii="宋体" w:hAnsi="宋体"/>
          <w:color w:val="auto"/>
          <w:sz w:val="21"/>
          <w:szCs w:val="21"/>
        </w:rPr>
        <w:t>4.2.4 施工区噪声污染控制</w:t>
      </w:r>
    </w:p>
    <w:p>
      <w:pPr>
        <w:snapToGrid w:val="0"/>
        <w:spacing w:line="360" w:lineRule="exact"/>
        <w:ind w:firstLine="420" w:firstLineChars="200"/>
        <w:rPr>
          <w:rFonts w:ascii="宋体" w:hAnsi="宋体"/>
          <w:sz w:val="21"/>
          <w:szCs w:val="21"/>
        </w:rPr>
      </w:pPr>
      <w:r>
        <w:rPr>
          <w:rFonts w:hint="eastAsia" w:ascii="宋体" w:hAnsi="宋体"/>
          <w:sz w:val="21"/>
          <w:szCs w:val="21"/>
        </w:rPr>
        <w:t>（1）施工过程中，承包人应会同监理人根据批准的降低噪声的措施，对施工场地进行噪声的检查和监测，检查和监测记录应提交监理人。</w:t>
      </w:r>
    </w:p>
    <w:p>
      <w:pPr>
        <w:snapToGrid w:val="0"/>
        <w:spacing w:line="360" w:lineRule="exact"/>
        <w:ind w:firstLine="420" w:firstLineChars="200"/>
        <w:rPr>
          <w:rFonts w:ascii="宋体" w:hAnsi="宋体"/>
          <w:sz w:val="21"/>
          <w:szCs w:val="21"/>
        </w:rPr>
      </w:pPr>
      <w:r>
        <w:rPr>
          <w:rFonts w:hint="eastAsia" w:ascii="宋体" w:hAnsi="宋体"/>
          <w:sz w:val="21"/>
          <w:szCs w:val="21"/>
        </w:rPr>
        <w:t>（2）施工期间，承包人应按SL 398-2007第3.4.4条的规定，控制生产车间和作业场所地点噪声级卫生限值。</w:t>
      </w:r>
    </w:p>
    <w:p>
      <w:pPr>
        <w:snapToGrid w:val="0"/>
        <w:spacing w:line="360" w:lineRule="exact"/>
        <w:ind w:firstLine="420" w:firstLineChars="200"/>
        <w:rPr>
          <w:rFonts w:ascii="宋体" w:hAnsi="宋体"/>
          <w:sz w:val="21"/>
          <w:szCs w:val="21"/>
        </w:rPr>
      </w:pPr>
      <w:r>
        <w:rPr>
          <w:rFonts w:hint="eastAsia" w:ascii="宋体" w:hAnsi="宋体"/>
          <w:sz w:val="21"/>
          <w:szCs w:val="21"/>
        </w:rPr>
        <w:t>（3）生活区噪声声级的限值应遵守SL 398-2007表3.2.8的规定。</w:t>
      </w:r>
    </w:p>
    <w:p>
      <w:pPr>
        <w:pStyle w:val="7"/>
        <w:snapToGrid w:val="0"/>
        <w:spacing w:line="360" w:lineRule="exact"/>
        <w:rPr>
          <w:rStyle w:val="47"/>
          <w:rFonts w:ascii="宋体" w:hAnsi="宋体"/>
          <w:color w:val="auto"/>
          <w:sz w:val="21"/>
          <w:szCs w:val="21"/>
        </w:rPr>
      </w:pPr>
      <w:r>
        <w:rPr>
          <w:rStyle w:val="47"/>
          <w:rFonts w:hint="eastAsia" w:ascii="宋体" w:hAnsi="宋体"/>
          <w:color w:val="auto"/>
          <w:sz w:val="21"/>
          <w:szCs w:val="21"/>
        </w:rPr>
        <w:t>4.2.5 固体废弃物处理</w:t>
      </w:r>
    </w:p>
    <w:p>
      <w:pPr>
        <w:snapToGrid w:val="0"/>
        <w:spacing w:line="360" w:lineRule="exact"/>
        <w:ind w:firstLine="420" w:firstLineChars="200"/>
        <w:rPr>
          <w:rFonts w:ascii="宋体" w:hAnsi="宋体"/>
          <w:sz w:val="21"/>
          <w:szCs w:val="21"/>
        </w:rPr>
      </w:pPr>
      <w:r>
        <w:rPr>
          <w:rFonts w:hint="eastAsia" w:ascii="宋体" w:hAnsi="宋体"/>
          <w:sz w:val="21"/>
          <w:szCs w:val="21"/>
        </w:rPr>
        <w:t>（1）承包人应负责对其施工场地以及生活区范围内的生产和生活垃圾进行清运填埋，并应设置必要的生活卫生设施，及时清扫生活垃圾，统一运至指定地点。</w:t>
      </w:r>
    </w:p>
    <w:p>
      <w:pPr>
        <w:snapToGrid w:val="0"/>
        <w:spacing w:line="360" w:lineRule="exact"/>
        <w:ind w:firstLine="420" w:firstLineChars="200"/>
        <w:rPr>
          <w:rFonts w:ascii="宋体" w:hAnsi="宋体"/>
          <w:sz w:val="21"/>
          <w:szCs w:val="21"/>
        </w:rPr>
      </w:pPr>
      <w:r>
        <w:rPr>
          <w:rFonts w:hint="eastAsia" w:ascii="宋体" w:hAnsi="宋体"/>
          <w:sz w:val="21"/>
          <w:szCs w:val="21"/>
        </w:rPr>
        <w:t>（2）生产垃圾中的金属类废品，应由承包人负责回收利用。</w:t>
      </w:r>
    </w:p>
    <w:p>
      <w:pPr>
        <w:snapToGrid w:val="0"/>
        <w:spacing w:line="360" w:lineRule="exact"/>
        <w:ind w:firstLine="420" w:firstLineChars="200"/>
        <w:rPr>
          <w:rFonts w:ascii="宋体" w:hAnsi="宋体"/>
          <w:sz w:val="21"/>
          <w:szCs w:val="21"/>
        </w:rPr>
      </w:pPr>
      <w:r>
        <w:rPr>
          <w:rFonts w:hint="eastAsia" w:ascii="宋体" w:hAnsi="宋体"/>
          <w:sz w:val="21"/>
          <w:szCs w:val="21"/>
        </w:rPr>
        <w:t>（3）承包人应按指定的渣场弃渣，弃渣场应采取碾压、挡护或绿化等措施进行处理。</w:t>
      </w:r>
    </w:p>
    <w:p>
      <w:pPr>
        <w:snapToGrid w:val="0"/>
        <w:spacing w:line="360" w:lineRule="exact"/>
        <w:ind w:firstLine="420" w:firstLineChars="200"/>
        <w:rPr>
          <w:rFonts w:ascii="宋体" w:hAnsi="宋体"/>
          <w:sz w:val="21"/>
          <w:szCs w:val="21"/>
        </w:rPr>
      </w:pPr>
      <w:r>
        <w:rPr>
          <w:rFonts w:hint="eastAsia" w:ascii="宋体" w:hAnsi="宋体"/>
          <w:sz w:val="21"/>
          <w:szCs w:val="21"/>
        </w:rPr>
        <w:t>（4）对施工中难以避免滑入河道的渣土、因施工造成的场地塌滑与泥沙漫流等问题，应根据监理人指示和地方环境保护部门要求，采取合理措施进行处理。</w:t>
      </w:r>
    </w:p>
    <w:p>
      <w:pPr>
        <w:snapToGrid w:val="0"/>
        <w:spacing w:line="360" w:lineRule="exact"/>
        <w:ind w:firstLine="420" w:firstLineChars="200"/>
        <w:rPr>
          <w:rFonts w:ascii="宋体" w:hAnsi="宋体"/>
          <w:sz w:val="21"/>
          <w:szCs w:val="21"/>
        </w:rPr>
      </w:pPr>
      <w:r>
        <w:rPr>
          <w:rFonts w:hint="eastAsia" w:ascii="宋体" w:hAnsi="宋体"/>
          <w:sz w:val="21"/>
          <w:szCs w:val="21"/>
        </w:rPr>
        <w:t>（5）废弃混凝土应运至专设的弃料场，不得在施工场地内任意弃置。</w:t>
      </w:r>
    </w:p>
    <w:p>
      <w:pPr>
        <w:pStyle w:val="7"/>
        <w:snapToGrid w:val="0"/>
        <w:spacing w:line="360" w:lineRule="exact"/>
        <w:rPr>
          <w:rStyle w:val="47"/>
          <w:rFonts w:ascii="宋体" w:hAnsi="宋体"/>
          <w:color w:val="auto"/>
          <w:sz w:val="21"/>
          <w:szCs w:val="21"/>
        </w:rPr>
      </w:pPr>
      <w:r>
        <w:rPr>
          <w:rStyle w:val="47"/>
          <w:rFonts w:hint="eastAsia" w:ascii="宋体" w:hAnsi="宋体"/>
          <w:color w:val="auto"/>
          <w:sz w:val="21"/>
          <w:szCs w:val="21"/>
        </w:rPr>
        <w:t>4.2.6 有毒有害物质和危险品的管理</w:t>
      </w:r>
    </w:p>
    <w:p>
      <w:pPr>
        <w:snapToGrid w:val="0"/>
        <w:spacing w:line="360" w:lineRule="exact"/>
        <w:ind w:firstLine="420" w:firstLineChars="200"/>
        <w:rPr>
          <w:rFonts w:ascii="宋体" w:hAnsi="宋体"/>
          <w:sz w:val="21"/>
          <w:szCs w:val="21"/>
        </w:rPr>
      </w:pPr>
      <w:r>
        <w:rPr>
          <w:rFonts w:hint="eastAsia" w:ascii="宋体" w:hAnsi="宋体"/>
          <w:sz w:val="21"/>
          <w:szCs w:val="21"/>
        </w:rPr>
        <w:t>有毒有害物质和危险品的管理应遵守SL 398-2007第11.3.1条、第11.3.2条的规定。</w:t>
      </w:r>
    </w:p>
    <w:p>
      <w:pPr>
        <w:pStyle w:val="6"/>
        <w:snapToGrid w:val="0"/>
        <w:spacing w:line="360" w:lineRule="exact"/>
        <w:rPr>
          <w:rStyle w:val="49"/>
          <w:rFonts w:hAnsi="宋体"/>
          <w:b/>
          <w:sz w:val="21"/>
          <w:szCs w:val="21"/>
        </w:rPr>
      </w:pPr>
      <w:bookmarkStart w:id="600" w:name="_Toc339983423"/>
      <w:bookmarkStart w:id="601" w:name="_Toc339482517"/>
      <w:bookmarkStart w:id="602" w:name="_Toc336325349"/>
      <w:bookmarkStart w:id="603" w:name="_Toc16251"/>
      <w:bookmarkStart w:id="604" w:name="_Toc341965033"/>
      <w:bookmarkStart w:id="605" w:name="_Toc336255236"/>
      <w:bookmarkStart w:id="606" w:name="_Toc339224651"/>
      <w:r>
        <w:rPr>
          <w:rStyle w:val="49"/>
          <w:rFonts w:hint="eastAsia" w:hAnsi="宋体"/>
          <w:b/>
          <w:sz w:val="21"/>
          <w:szCs w:val="21"/>
        </w:rPr>
        <w:t>4.3 生态环境保护</w:t>
      </w:r>
      <w:bookmarkEnd w:id="600"/>
      <w:bookmarkEnd w:id="601"/>
      <w:bookmarkEnd w:id="602"/>
      <w:bookmarkEnd w:id="603"/>
      <w:bookmarkEnd w:id="604"/>
      <w:bookmarkEnd w:id="605"/>
      <w:bookmarkEnd w:id="606"/>
    </w:p>
    <w:p>
      <w:pPr>
        <w:pStyle w:val="7"/>
        <w:snapToGrid w:val="0"/>
        <w:spacing w:line="360" w:lineRule="exact"/>
        <w:rPr>
          <w:rStyle w:val="47"/>
          <w:rFonts w:ascii="宋体" w:hAnsi="宋体"/>
          <w:color w:val="auto"/>
          <w:sz w:val="21"/>
          <w:szCs w:val="21"/>
        </w:rPr>
      </w:pPr>
      <w:r>
        <w:rPr>
          <w:rStyle w:val="47"/>
          <w:rFonts w:hint="eastAsia" w:ascii="宋体" w:hAnsi="宋体"/>
          <w:color w:val="auto"/>
          <w:sz w:val="21"/>
          <w:szCs w:val="21"/>
        </w:rPr>
        <w:t>4.3.1 陆生动植物及资源保护</w:t>
      </w:r>
    </w:p>
    <w:p>
      <w:pPr>
        <w:snapToGrid w:val="0"/>
        <w:spacing w:line="360" w:lineRule="exact"/>
        <w:ind w:firstLine="420" w:firstLineChars="200"/>
        <w:rPr>
          <w:rFonts w:ascii="宋体" w:hAnsi="宋体"/>
          <w:sz w:val="21"/>
          <w:szCs w:val="21"/>
        </w:rPr>
      </w:pPr>
      <w:r>
        <w:rPr>
          <w:rFonts w:hint="eastAsia" w:ascii="宋体" w:hAnsi="宋体"/>
          <w:sz w:val="21"/>
          <w:szCs w:val="21"/>
        </w:rPr>
        <w:t>（1）承包人因工程施工需要在施工场地范围内进行砍树、清除表土和草皮时，必须按环境保护主管部门和监理人批准的环境保护规划要求进行。</w:t>
      </w:r>
    </w:p>
    <w:p>
      <w:pPr>
        <w:snapToGrid w:val="0"/>
        <w:spacing w:line="360" w:lineRule="exact"/>
        <w:ind w:firstLine="420" w:firstLineChars="200"/>
        <w:rPr>
          <w:rFonts w:ascii="宋体" w:hAnsi="宋体"/>
          <w:sz w:val="21"/>
          <w:szCs w:val="21"/>
        </w:rPr>
      </w:pPr>
      <w:r>
        <w:rPr>
          <w:rFonts w:hint="eastAsia" w:ascii="宋体" w:hAnsi="宋体"/>
          <w:sz w:val="21"/>
          <w:szCs w:val="21"/>
        </w:rPr>
        <w:t>（2）承包人在施工场地内发现国家保护级的鸟巢、受保护动物和巢穴，应按国家的有关规定妥善保护。</w:t>
      </w:r>
    </w:p>
    <w:p>
      <w:pPr>
        <w:snapToGrid w:val="0"/>
        <w:spacing w:line="360" w:lineRule="exact"/>
        <w:ind w:firstLine="420" w:firstLineChars="200"/>
        <w:rPr>
          <w:rFonts w:ascii="宋体" w:hAnsi="宋体"/>
          <w:sz w:val="21"/>
          <w:szCs w:val="21"/>
        </w:rPr>
      </w:pPr>
      <w:r>
        <w:rPr>
          <w:rFonts w:hint="eastAsia" w:ascii="宋体" w:hAnsi="宋体"/>
          <w:sz w:val="21"/>
          <w:szCs w:val="21"/>
        </w:rPr>
        <w:t>（3）承包人在施工区附近的水域，发现受保护的鱼类应立即报告监理人，并按国家有关规定处理。严禁在施工区以外的保护林区捕猎野生动物。</w:t>
      </w:r>
    </w:p>
    <w:p>
      <w:pPr>
        <w:pStyle w:val="7"/>
        <w:snapToGrid w:val="0"/>
        <w:spacing w:line="360" w:lineRule="exact"/>
        <w:rPr>
          <w:rStyle w:val="47"/>
          <w:rFonts w:ascii="宋体" w:hAnsi="宋体"/>
          <w:color w:val="auto"/>
          <w:sz w:val="21"/>
          <w:szCs w:val="21"/>
        </w:rPr>
      </w:pPr>
      <w:r>
        <w:rPr>
          <w:rStyle w:val="47"/>
          <w:rFonts w:hint="eastAsia" w:ascii="宋体" w:hAnsi="宋体"/>
          <w:color w:val="auto"/>
          <w:sz w:val="21"/>
          <w:szCs w:val="21"/>
        </w:rPr>
        <w:t>4.3.2 景观与视觉保护</w:t>
      </w:r>
    </w:p>
    <w:p>
      <w:pPr>
        <w:snapToGrid w:val="0"/>
        <w:spacing w:line="360" w:lineRule="exact"/>
        <w:ind w:firstLine="420" w:firstLineChars="200"/>
        <w:rPr>
          <w:rFonts w:ascii="宋体" w:hAnsi="宋体"/>
          <w:sz w:val="21"/>
          <w:szCs w:val="21"/>
        </w:rPr>
      </w:pPr>
      <w:r>
        <w:rPr>
          <w:rFonts w:hint="eastAsia" w:ascii="宋体" w:hAnsi="宋体"/>
          <w:sz w:val="21"/>
          <w:szCs w:val="21"/>
        </w:rPr>
        <w:t>（1）施工期间，承包人应负责保护好施工场地附近的风景区、自然保护区及温泉等的景观免受工程施工的影响。</w:t>
      </w:r>
    </w:p>
    <w:p>
      <w:pPr>
        <w:snapToGrid w:val="0"/>
        <w:spacing w:line="360" w:lineRule="exact"/>
        <w:ind w:firstLine="420" w:firstLineChars="200"/>
        <w:rPr>
          <w:rFonts w:ascii="宋体" w:hAnsi="宋体"/>
          <w:sz w:val="21"/>
          <w:szCs w:val="21"/>
        </w:rPr>
      </w:pPr>
      <w:r>
        <w:rPr>
          <w:rFonts w:hint="eastAsia" w:ascii="宋体" w:hAnsi="宋体"/>
          <w:sz w:val="21"/>
          <w:szCs w:val="21"/>
        </w:rPr>
        <w:t>（2）承包人应做好生活营地周围的绿化和美化工作，保护生态，改善生活环境。修建的各项临时设施应尽可能与周围环境协调。</w:t>
      </w:r>
    </w:p>
    <w:p>
      <w:pPr>
        <w:pStyle w:val="6"/>
        <w:snapToGrid w:val="0"/>
        <w:spacing w:line="360" w:lineRule="exact"/>
        <w:rPr>
          <w:rStyle w:val="49"/>
          <w:rFonts w:hAnsi="宋体"/>
          <w:b/>
          <w:sz w:val="21"/>
          <w:szCs w:val="21"/>
        </w:rPr>
      </w:pPr>
      <w:bookmarkStart w:id="607" w:name="_Toc25119"/>
      <w:bookmarkStart w:id="608" w:name="_Toc339482518"/>
      <w:bookmarkStart w:id="609" w:name="_Toc339983424"/>
      <w:bookmarkStart w:id="610" w:name="_Toc336325350"/>
      <w:bookmarkStart w:id="611" w:name="_Toc336255237"/>
      <w:bookmarkStart w:id="612" w:name="_Toc341965034"/>
      <w:bookmarkStart w:id="613" w:name="_Toc339224652"/>
      <w:r>
        <w:rPr>
          <w:rStyle w:val="49"/>
          <w:rFonts w:hint="eastAsia" w:hAnsi="宋体"/>
          <w:b/>
          <w:sz w:val="21"/>
          <w:szCs w:val="21"/>
        </w:rPr>
        <w:t>4.4 水土保持</w:t>
      </w:r>
      <w:bookmarkEnd w:id="607"/>
      <w:bookmarkEnd w:id="608"/>
      <w:bookmarkEnd w:id="609"/>
      <w:bookmarkEnd w:id="610"/>
      <w:bookmarkEnd w:id="611"/>
      <w:bookmarkEnd w:id="612"/>
      <w:bookmarkEnd w:id="613"/>
    </w:p>
    <w:p>
      <w:pPr>
        <w:pStyle w:val="7"/>
        <w:snapToGrid w:val="0"/>
        <w:spacing w:line="360" w:lineRule="exact"/>
        <w:rPr>
          <w:rStyle w:val="47"/>
          <w:rFonts w:ascii="宋体" w:hAnsi="宋体"/>
          <w:color w:val="auto"/>
          <w:sz w:val="21"/>
          <w:szCs w:val="21"/>
        </w:rPr>
      </w:pPr>
      <w:r>
        <w:rPr>
          <w:rStyle w:val="47"/>
          <w:rFonts w:hint="eastAsia" w:ascii="宋体" w:hAnsi="宋体"/>
          <w:color w:val="auto"/>
          <w:sz w:val="21"/>
          <w:szCs w:val="21"/>
        </w:rPr>
        <w:t>4.4.1 执行水土保持措施计划</w:t>
      </w:r>
    </w:p>
    <w:p>
      <w:pPr>
        <w:snapToGrid w:val="0"/>
        <w:spacing w:line="360" w:lineRule="exact"/>
        <w:ind w:firstLine="404" w:firstLineChars="200"/>
        <w:rPr>
          <w:rFonts w:ascii="宋体" w:hAnsi="宋体"/>
          <w:spacing w:val="-4"/>
          <w:sz w:val="21"/>
          <w:szCs w:val="21"/>
        </w:rPr>
      </w:pPr>
      <w:r>
        <w:rPr>
          <w:rFonts w:hint="eastAsia" w:ascii="宋体" w:hAnsi="宋体"/>
          <w:spacing w:val="-4"/>
          <w:sz w:val="21"/>
          <w:szCs w:val="21"/>
        </w:rPr>
        <w:t>承包人应按监理人批准的水土保持措施计划，负责实施本合同责任范围内（包括施工开挖的场地、生活区、施工道路和渣场等）的水土保持措施，并在工程结束后，按合同要求进行场地清理和整治。</w:t>
      </w:r>
    </w:p>
    <w:p>
      <w:pPr>
        <w:pStyle w:val="7"/>
        <w:snapToGrid w:val="0"/>
        <w:spacing w:line="360" w:lineRule="exact"/>
        <w:rPr>
          <w:rStyle w:val="47"/>
          <w:rFonts w:ascii="宋体" w:hAnsi="宋体"/>
          <w:color w:val="auto"/>
          <w:sz w:val="21"/>
          <w:szCs w:val="21"/>
        </w:rPr>
      </w:pPr>
      <w:r>
        <w:rPr>
          <w:rStyle w:val="47"/>
          <w:rFonts w:hint="eastAsia" w:ascii="宋体" w:hAnsi="宋体"/>
          <w:color w:val="auto"/>
          <w:sz w:val="21"/>
          <w:szCs w:val="21"/>
        </w:rPr>
        <w:t>4.4.2 做好水土保持工程措施</w:t>
      </w:r>
    </w:p>
    <w:p>
      <w:pPr>
        <w:snapToGrid w:val="0"/>
        <w:spacing w:line="360" w:lineRule="exact"/>
        <w:ind w:firstLine="420" w:firstLineChars="200"/>
        <w:rPr>
          <w:rFonts w:ascii="宋体" w:hAnsi="宋体"/>
          <w:sz w:val="21"/>
          <w:szCs w:val="21"/>
        </w:rPr>
      </w:pPr>
      <w:r>
        <w:rPr>
          <w:rFonts w:hint="eastAsia" w:ascii="宋体" w:hAnsi="宋体"/>
          <w:sz w:val="21"/>
          <w:szCs w:val="21"/>
        </w:rPr>
        <w:t>（1）承包人应做好场内道路上下边坡水土流失的防治工程措施；施工场地应设置完善的排水系统，防止降雨径流对施工场地和渣场的冲刷。</w:t>
      </w:r>
    </w:p>
    <w:p>
      <w:pPr>
        <w:snapToGrid w:val="0"/>
        <w:spacing w:line="360" w:lineRule="exact"/>
        <w:ind w:firstLine="420" w:firstLineChars="200"/>
        <w:rPr>
          <w:rFonts w:ascii="宋体" w:hAnsi="宋体"/>
          <w:sz w:val="21"/>
          <w:szCs w:val="21"/>
        </w:rPr>
      </w:pPr>
      <w:r>
        <w:rPr>
          <w:rFonts w:hint="eastAsia" w:ascii="宋体" w:hAnsi="宋体"/>
          <w:sz w:val="21"/>
          <w:szCs w:val="21"/>
        </w:rPr>
        <w:t>（2）承包人应按监理人批准的水土保持工程措施，做好料场、渣场的挡护、排水等工程措施和植物种植保护措施，并负责料场和渣场施工期的维护管理工作。</w:t>
      </w:r>
    </w:p>
    <w:p>
      <w:pPr>
        <w:snapToGrid w:val="0"/>
        <w:spacing w:line="360" w:lineRule="exact"/>
        <w:ind w:firstLine="420" w:firstLineChars="200"/>
        <w:rPr>
          <w:rFonts w:ascii="宋体" w:hAnsi="宋体"/>
          <w:sz w:val="21"/>
          <w:szCs w:val="21"/>
        </w:rPr>
      </w:pPr>
      <w:r>
        <w:rPr>
          <w:rFonts w:hint="eastAsia" w:ascii="宋体" w:hAnsi="宋体"/>
          <w:sz w:val="21"/>
          <w:szCs w:val="21"/>
        </w:rPr>
        <w:t>（3）承包人应选择不易受径流冲刷侵蚀的场地堆放开挖料和弃渣，并在其堆放场地周边修建临时排水沟引排周边汇水。</w:t>
      </w:r>
    </w:p>
    <w:p>
      <w:pPr>
        <w:snapToGrid w:val="0"/>
        <w:spacing w:line="360" w:lineRule="exact"/>
        <w:ind w:firstLine="420" w:firstLineChars="200"/>
        <w:rPr>
          <w:rFonts w:ascii="宋体" w:hAnsi="宋体"/>
          <w:sz w:val="21"/>
          <w:szCs w:val="21"/>
        </w:rPr>
      </w:pPr>
      <w:r>
        <w:rPr>
          <w:rFonts w:hint="eastAsia" w:ascii="宋体" w:hAnsi="宋体"/>
          <w:sz w:val="21"/>
          <w:szCs w:val="21"/>
        </w:rPr>
        <w:t>（4）承包人应保护施工场地周边的林草和水土保持设施（包括水库、渠、塘坝、梯田和拦渣坝等），避免或减少由于施工造成的水土流失。</w:t>
      </w:r>
    </w:p>
    <w:p>
      <w:pPr>
        <w:pStyle w:val="6"/>
        <w:snapToGrid w:val="0"/>
        <w:spacing w:line="360" w:lineRule="exact"/>
        <w:rPr>
          <w:rStyle w:val="49"/>
          <w:rFonts w:hAnsi="宋体"/>
          <w:b/>
          <w:sz w:val="21"/>
          <w:szCs w:val="21"/>
        </w:rPr>
      </w:pPr>
      <w:bookmarkStart w:id="614" w:name="_Toc339482519"/>
      <w:bookmarkStart w:id="615" w:name="_Toc341965035"/>
      <w:bookmarkStart w:id="616" w:name="_Toc339983425"/>
      <w:bookmarkStart w:id="617" w:name="_Toc336255238"/>
      <w:bookmarkStart w:id="618" w:name="_Toc336325351"/>
      <w:bookmarkStart w:id="619" w:name="_Toc3423"/>
      <w:bookmarkStart w:id="620" w:name="_Toc339224653"/>
      <w:r>
        <w:rPr>
          <w:rStyle w:val="49"/>
          <w:rFonts w:hint="eastAsia" w:hAnsi="宋体"/>
          <w:b/>
          <w:sz w:val="21"/>
          <w:szCs w:val="21"/>
        </w:rPr>
        <w:t>4.5 环境清理</w:t>
      </w:r>
      <w:bookmarkEnd w:id="614"/>
      <w:bookmarkEnd w:id="615"/>
      <w:bookmarkEnd w:id="616"/>
      <w:bookmarkEnd w:id="617"/>
      <w:bookmarkEnd w:id="618"/>
      <w:bookmarkEnd w:id="619"/>
      <w:bookmarkEnd w:id="620"/>
    </w:p>
    <w:p>
      <w:pPr>
        <w:pStyle w:val="7"/>
        <w:snapToGrid w:val="0"/>
        <w:spacing w:line="360" w:lineRule="exact"/>
        <w:rPr>
          <w:rStyle w:val="47"/>
          <w:rFonts w:ascii="宋体" w:hAnsi="宋体"/>
          <w:color w:val="auto"/>
          <w:sz w:val="21"/>
          <w:szCs w:val="21"/>
        </w:rPr>
      </w:pPr>
      <w:r>
        <w:rPr>
          <w:rStyle w:val="47"/>
          <w:rFonts w:hint="eastAsia" w:ascii="宋体" w:hAnsi="宋体"/>
          <w:color w:val="auto"/>
          <w:sz w:val="21"/>
          <w:szCs w:val="21"/>
        </w:rPr>
        <w:t>4.5.1 环境清理措施计划</w:t>
      </w:r>
    </w:p>
    <w:p>
      <w:pPr>
        <w:snapToGrid w:val="0"/>
        <w:spacing w:line="360" w:lineRule="exact"/>
        <w:ind w:firstLine="420" w:firstLineChars="200"/>
        <w:rPr>
          <w:rFonts w:ascii="宋体" w:hAnsi="宋体"/>
          <w:sz w:val="21"/>
          <w:szCs w:val="21"/>
        </w:rPr>
      </w:pPr>
      <w:r>
        <w:rPr>
          <w:rFonts w:hint="eastAsia" w:ascii="宋体" w:hAnsi="宋体"/>
          <w:sz w:val="21"/>
          <w:szCs w:val="21"/>
        </w:rPr>
        <w:t>承包人应按监理人指示，在工程基本完工后，制定一份环境清理措施计划，提交监理人批准，其内容应包括：</w:t>
      </w:r>
    </w:p>
    <w:p>
      <w:pPr>
        <w:snapToGrid w:val="0"/>
        <w:spacing w:line="360" w:lineRule="exact"/>
        <w:ind w:firstLine="420" w:firstLineChars="200"/>
        <w:rPr>
          <w:rFonts w:ascii="宋体" w:hAnsi="宋体"/>
          <w:sz w:val="21"/>
          <w:szCs w:val="21"/>
        </w:rPr>
      </w:pPr>
      <w:r>
        <w:rPr>
          <w:rFonts w:hint="eastAsia" w:ascii="宋体" w:hAnsi="宋体"/>
          <w:sz w:val="21"/>
          <w:szCs w:val="21"/>
        </w:rPr>
        <w:t>（1）环境清理范围（包括本合同施工场地及施工场地以外遭受施工损坏的地区）；</w:t>
      </w:r>
    </w:p>
    <w:p>
      <w:pPr>
        <w:snapToGrid w:val="0"/>
        <w:spacing w:line="360" w:lineRule="exact"/>
        <w:ind w:firstLine="420" w:firstLineChars="200"/>
        <w:rPr>
          <w:rFonts w:ascii="宋体" w:hAnsi="宋体"/>
          <w:sz w:val="21"/>
          <w:szCs w:val="21"/>
        </w:rPr>
      </w:pPr>
      <w:r>
        <w:rPr>
          <w:rFonts w:hint="eastAsia" w:ascii="宋体" w:hAnsi="宋体"/>
          <w:sz w:val="21"/>
          <w:szCs w:val="21"/>
        </w:rPr>
        <w:t>（2）环境保护辅助工程设施；</w:t>
      </w:r>
    </w:p>
    <w:p>
      <w:pPr>
        <w:snapToGrid w:val="0"/>
        <w:spacing w:line="360" w:lineRule="exact"/>
        <w:ind w:firstLine="420" w:firstLineChars="200"/>
        <w:rPr>
          <w:rFonts w:ascii="宋体" w:hAnsi="宋体"/>
          <w:sz w:val="21"/>
          <w:szCs w:val="21"/>
        </w:rPr>
      </w:pPr>
      <w:r>
        <w:rPr>
          <w:rFonts w:hint="eastAsia" w:ascii="宋体" w:hAnsi="宋体"/>
          <w:sz w:val="21"/>
          <w:szCs w:val="21"/>
        </w:rPr>
        <w:t>（3）植被种植措施。</w:t>
      </w:r>
    </w:p>
    <w:p>
      <w:pPr>
        <w:pStyle w:val="7"/>
        <w:snapToGrid w:val="0"/>
        <w:spacing w:line="360" w:lineRule="exact"/>
        <w:rPr>
          <w:rStyle w:val="47"/>
          <w:rFonts w:ascii="宋体" w:hAnsi="宋体"/>
          <w:color w:val="auto"/>
          <w:sz w:val="21"/>
          <w:szCs w:val="21"/>
        </w:rPr>
      </w:pPr>
      <w:r>
        <w:rPr>
          <w:rStyle w:val="47"/>
          <w:rFonts w:hint="eastAsia" w:ascii="宋体" w:hAnsi="宋体"/>
          <w:color w:val="auto"/>
          <w:sz w:val="21"/>
          <w:szCs w:val="21"/>
        </w:rPr>
        <w:t>4.5.2 环境清理</w:t>
      </w:r>
    </w:p>
    <w:p>
      <w:pPr>
        <w:snapToGrid w:val="0"/>
        <w:spacing w:line="360" w:lineRule="exact"/>
        <w:ind w:firstLine="420" w:firstLineChars="200"/>
        <w:rPr>
          <w:rFonts w:ascii="宋体" w:hAnsi="宋体"/>
          <w:sz w:val="21"/>
          <w:szCs w:val="21"/>
        </w:rPr>
      </w:pPr>
      <w:r>
        <w:rPr>
          <w:rFonts w:hint="eastAsia" w:ascii="宋体" w:hAnsi="宋体"/>
          <w:sz w:val="21"/>
          <w:szCs w:val="21"/>
        </w:rPr>
        <w:t>（1）在每一施工作业区施工结束后，承包人应及时拆除各种临时建筑结构和各种临时设施（包括已废弃的沉淀池和临时挡洪设施等）。</w:t>
      </w:r>
    </w:p>
    <w:p>
      <w:pPr>
        <w:snapToGrid w:val="0"/>
        <w:spacing w:line="360" w:lineRule="exact"/>
        <w:ind w:firstLine="420" w:firstLineChars="200"/>
        <w:rPr>
          <w:rFonts w:ascii="宋体" w:hAnsi="宋体"/>
          <w:sz w:val="21"/>
          <w:szCs w:val="21"/>
        </w:rPr>
      </w:pPr>
      <w:r>
        <w:rPr>
          <w:rFonts w:hint="eastAsia" w:ascii="宋体" w:hAnsi="宋体"/>
          <w:sz w:val="21"/>
          <w:szCs w:val="21"/>
        </w:rPr>
        <w:t>（2）完工后，承包人应按计划将所有材料和设备撤离现场，工地范围内废弃的材料、设备及其它生产垃圾应按环境规划要求和（或）监理人指示的方式处理。</w:t>
      </w:r>
    </w:p>
    <w:p>
      <w:pPr>
        <w:snapToGrid w:val="0"/>
        <w:spacing w:line="360" w:lineRule="exact"/>
        <w:ind w:firstLine="420" w:firstLineChars="200"/>
        <w:rPr>
          <w:rFonts w:ascii="宋体" w:hAnsi="宋体"/>
          <w:sz w:val="21"/>
          <w:szCs w:val="21"/>
        </w:rPr>
      </w:pPr>
      <w:r>
        <w:rPr>
          <w:rFonts w:hint="eastAsia" w:ascii="宋体" w:hAnsi="宋体"/>
          <w:sz w:val="21"/>
          <w:szCs w:val="21"/>
        </w:rPr>
        <w:t>（3）对防治范围内的排水沟道、挡护措施等永久性水土保持设施，应在撤离前进行疏通和修整。按合同要求拆除和撤离的其它设施和结构应及时清理出场。</w:t>
      </w:r>
    </w:p>
    <w:p>
      <w:pPr>
        <w:snapToGrid w:val="0"/>
        <w:spacing w:line="360" w:lineRule="exact"/>
        <w:ind w:firstLine="420" w:firstLineChars="200"/>
        <w:rPr>
          <w:rFonts w:ascii="宋体" w:hAnsi="宋体"/>
          <w:sz w:val="21"/>
          <w:szCs w:val="21"/>
        </w:rPr>
      </w:pPr>
      <w:r>
        <w:rPr>
          <w:rFonts w:hint="eastAsia" w:ascii="宋体" w:hAnsi="宋体"/>
          <w:sz w:val="21"/>
          <w:szCs w:val="21"/>
        </w:rPr>
        <w:t>（4）承包人应有责任保证其种植的林草按SL 277-2002第7.2.2条第2款规定的“林草恢复期”内成活。</w:t>
      </w:r>
    </w:p>
    <w:p>
      <w:pPr>
        <w:snapToGrid w:val="0"/>
        <w:spacing w:line="360" w:lineRule="exact"/>
        <w:ind w:firstLine="420" w:firstLineChars="200"/>
        <w:rPr>
          <w:rFonts w:ascii="宋体" w:hAnsi="宋体"/>
          <w:sz w:val="21"/>
          <w:szCs w:val="21"/>
        </w:rPr>
      </w:pPr>
      <w:r>
        <w:rPr>
          <w:rFonts w:hint="eastAsia" w:ascii="宋体" w:hAnsi="宋体"/>
          <w:sz w:val="21"/>
          <w:szCs w:val="21"/>
        </w:rPr>
        <w:t>（5）占用耕地的料场，应在开采前将剥离的耕植土妥善堆存保管，完工后将其返还摊铺，还田复耕。</w:t>
      </w:r>
    </w:p>
    <w:p>
      <w:pPr>
        <w:pStyle w:val="6"/>
        <w:snapToGrid w:val="0"/>
        <w:spacing w:line="360" w:lineRule="exact"/>
        <w:rPr>
          <w:rStyle w:val="49"/>
          <w:rFonts w:hAnsi="宋体"/>
          <w:b/>
          <w:sz w:val="21"/>
          <w:szCs w:val="21"/>
        </w:rPr>
      </w:pPr>
      <w:bookmarkStart w:id="621" w:name="_Toc336325352"/>
      <w:bookmarkStart w:id="622" w:name="_Toc341965036"/>
      <w:bookmarkStart w:id="623" w:name="_Toc25290"/>
      <w:bookmarkStart w:id="624" w:name="_Toc336255239"/>
      <w:bookmarkStart w:id="625" w:name="_Toc339224654"/>
      <w:bookmarkStart w:id="626" w:name="_Toc339983426"/>
      <w:bookmarkStart w:id="627" w:name="_Toc339482520"/>
      <w:r>
        <w:rPr>
          <w:rStyle w:val="49"/>
          <w:rFonts w:hint="eastAsia" w:hAnsi="宋体"/>
          <w:b/>
          <w:sz w:val="21"/>
          <w:szCs w:val="21"/>
        </w:rPr>
        <w:t>4.6 环境保护工程的验收</w:t>
      </w:r>
      <w:bookmarkEnd w:id="621"/>
      <w:bookmarkEnd w:id="622"/>
      <w:bookmarkEnd w:id="623"/>
      <w:bookmarkEnd w:id="624"/>
      <w:bookmarkEnd w:id="625"/>
      <w:bookmarkEnd w:id="626"/>
      <w:bookmarkEnd w:id="627"/>
    </w:p>
    <w:p>
      <w:pPr>
        <w:pStyle w:val="7"/>
        <w:snapToGrid w:val="0"/>
        <w:spacing w:line="360" w:lineRule="exact"/>
        <w:rPr>
          <w:rStyle w:val="47"/>
          <w:rFonts w:ascii="宋体" w:hAnsi="宋体"/>
          <w:color w:val="auto"/>
          <w:sz w:val="21"/>
          <w:szCs w:val="21"/>
        </w:rPr>
      </w:pPr>
      <w:r>
        <w:rPr>
          <w:rStyle w:val="47"/>
          <w:rFonts w:hint="eastAsia" w:ascii="宋体" w:hAnsi="宋体"/>
          <w:color w:val="auto"/>
          <w:sz w:val="21"/>
          <w:szCs w:val="21"/>
        </w:rPr>
        <w:t>4.6.1 施工期环境保护临时设施的检查和验收</w:t>
      </w:r>
    </w:p>
    <w:p>
      <w:pPr>
        <w:snapToGrid w:val="0"/>
        <w:spacing w:line="360" w:lineRule="exact"/>
        <w:ind w:firstLine="420" w:firstLineChars="200"/>
        <w:rPr>
          <w:rFonts w:ascii="宋体" w:hAnsi="宋体"/>
          <w:sz w:val="21"/>
          <w:szCs w:val="21"/>
        </w:rPr>
      </w:pPr>
      <w:r>
        <w:rPr>
          <w:rFonts w:hint="eastAsia" w:ascii="宋体" w:hAnsi="宋体"/>
          <w:sz w:val="21"/>
          <w:szCs w:val="21"/>
        </w:rPr>
        <w:t>各项施工期环境保护临时设施投入使用前，应由监理人会同环保部门代表与承包人共同进行环境保护临时设施的质量检查和验收。承包人应为上述检查和验收提供以下资料：</w:t>
      </w:r>
    </w:p>
    <w:p>
      <w:pPr>
        <w:snapToGrid w:val="0"/>
        <w:spacing w:line="360" w:lineRule="exact"/>
        <w:ind w:firstLine="420" w:firstLineChars="200"/>
        <w:rPr>
          <w:rFonts w:ascii="宋体" w:hAnsi="宋体"/>
          <w:sz w:val="21"/>
          <w:szCs w:val="21"/>
        </w:rPr>
      </w:pPr>
      <w:r>
        <w:rPr>
          <w:rFonts w:hint="eastAsia" w:ascii="宋体" w:hAnsi="宋体"/>
          <w:sz w:val="21"/>
          <w:szCs w:val="21"/>
        </w:rPr>
        <w:t>（1）监理人批准的“环境保护及水土保持工程”的施工措施计划；</w:t>
      </w:r>
    </w:p>
    <w:p>
      <w:pPr>
        <w:snapToGrid w:val="0"/>
        <w:spacing w:line="360" w:lineRule="exact"/>
        <w:ind w:firstLine="420" w:firstLineChars="200"/>
        <w:rPr>
          <w:rFonts w:ascii="宋体" w:hAnsi="宋体"/>
          <w:sz w:val="21"/>
          <w:szCs w:val="21"/>
        </w:rPr>
      </w:pPr>
      <w:r>
        <w:rPr>
          <w:rFonts w:hint="eastAsia" w:ascii="宋体" w:hAnsi="宋体"/>
          <w:sz w:val="21"/>
          <w:szCs w:val="21"/>
        </w:rPr>
        <w:t>（2）各项环境保护临时设施布置图；</w:t>
      </w:r>
    </w:p>
    <w:p>
      <w:pPr>
        <w:snapToGrid w:val="0"/>
        <w:spacing w:line="360" w:lineRule="exact"/>
        <w:ind w:firstLine="420" w:firstLineChars="200"/>
        <w:rPr>
          <w:rFonts w:ascii="宋体" w:hAnsi="宋体"/>
          <w:sz w:val="21"/>
          <w:szCs w:val="21"/>
        </w:rPr>
      </w:pPr>
      <w:r>
        <w:rPr>
          <w:rFonts w:hint="eastAsia" w:ascii="宋体" w:hAnsi="宋体"/>
          <w:sz w:val="21"/>
          <w:szCs w:val="21"/>
        </w:rPr>
        <w:t>（3）施工质量检查记录；</w:t>
      </w:r>
    </w:p>
    <w:p>
      <w:pPr>
        <w:snapToGrid w:val="0"/>
        <w:spacing w:line="360" w:lineRule="exact"/>
        <w:ind w:firstLine="420" w:firstLineChars="200"/>
        <w:rPr>
          <w:rFonts w:ascii="宋体" w:hAnsi="宋体"/>
          <w:sz w:val="21"/>
          <w:szCs w:val="21"/>
        </w:rPr>
      </w:pPr>
      <w:r>
        <w:rPr>
          <w:rFonts w:hint="eastAsia" w:ascii="宋体" w:hAnsi="宋体"/>
          <w:sz w:val="21"/>
          <w:szCs w:val="21"/>
        </w:rPr>
        <w:t>（4）生活和生产供水水质、污水和废水处理水质，以及固体废弃物处理效果等的检验和实测资料。</w:t>
      </w:r>
    </w:p>
    <w:p>
      <w:pPr>
        <w:pStyle w:val="7"/>
        <w:snapToGrid w:val="0"/>
        <w:spacing w:line="360" w:lineRule="exact"/>
        <w:rPr>
          <w:rStyle w:val="47"/>
          <w:rFonts w:ascii="宋体" w:hAnsi="宋体"/>
          <w:color w:val="auto"/>
          <w:sz w:val="21"/>
          <w:szCs w:val="21"/>
        </w:rPr>
      </w:pPr>
      <w:r>
        <w:rPr>
          <w:rStyle w:val="47"/>
          <w:rFonts w:hint="eastAsia" w:ascii="宋体" w:hAnsi="宋体"/>
          <w:color w:val="auto"/>
          <w:sz w:val="21"/>
          <w:szCs w:val="21"/>
        </w:rPr>
        <w:t>4.6.2 环境保护和水土保持工程的质量检查和验收</w:t>
      </w:r>
    </w:p>
    <w:p>
      <w:pPr>
        <w:snapToGrid w:val="0"/>
        <w:spacing w:line="360" w:lineRule="exact"/>
        <w:ind w:firstLine="420" w:firstLineChars="200"/>
        <w:rPr>
          <w:rFonts w:ascii="宋体" w:hAnsi="宋体"/>
          <w:sz w:val="21"/>
          <w:szCs w:val="21"/>
        </w:rPr>
      </w:pPr>
      <w:r>
        <w:rPr>
          <w:rFonts w:hint="eastAsia" w:ascii="宋体" w:hAnsi="宋体"/>
          <w:sz w:val="21"/>
          <w:szCs w:val="21"/>
        </w:rPr>
        <w:t>本章第4.2~4.5节所涉及的本工程环境保护和水土保持设施，包括为环境清理修建的永久性设施，均应由监理人会同环境保护部门代表与承包人共同按国家的环境保护法规和本合同技术条款的有关规定进行质量检查和验收。</w:t>
      </w:r>
    </w:p>
    <w:p>
      <w:pPr>
        <w:snapToGrid w:val="0"/>
        <w:spacing w:line="360" w:lineRule="exact"/>
        <w:ind w:firstLine="420" w:firstLineChars="200"/>
        <w:rPr>
          <w:rFonts w:ascii="宋体" w:hAnsi="宋体"/>
          <w:sz w:val="21"/>
          <w:szCs w:val="21"/>
        </w:rPr>
      </w:pPr>
      <w:r>
        <w:rPr>
          <w:rFonts w:hint="eastAsia" w:ascii="宋体" w:hAnsi="宋体"/>
          <w:sz w:val="21"/>
          <w:szCs w:val="21"/>
        </w:rPr>
        <w:t>承包人应为上述永久性环境保护设施的检查和验收提供以下资料：</w:t>
      </w:r>
    </w:p>
    <w:p>
      <w:pPr>
        <w:snapToGrid w:val="0"/>
        <w:spacing w:line="360" w:lineRule="exact"/>
        <w:ind w:firstLine="420" w:firstLineChars="200"/>
        <w:rPr>
          <w:rFonts w:ascii="宋体" w:hAnsi="宋体"/>
          <w:sz w:val="21"/>
          <w:szCs w:val="21"/>
        </w:rPr>
      </w:pPr>
      <w:r>
        <w:rPr>
          <w:rFonts w:hint="eastAsia" w:ascii="宋体" w:hAnsi="宋体"/>
          <w:sz w:val="21"/>
          <w:szCs w:val="21"/>
        </w:rPr>
        <w:t>（1）永久性环境保护工程和设施的各项工程布置图；</w:t>
      </w:r>
    </w:p>
    <w:p>
      <w:pPr>
        <w:snapToGrid w:val="0"/>
        <w:spacing w:line="360" w:lineRule="exact"/>
        <w:ind w:firstLine="420" w:firstLineChars="200"/>
        <w:rPr>
          <w:rFonts w:ascii="宋体" w:hAnsi="宋体"/>
          <w:sz w:val="21"/>
          <w:szCs w:val="21"/>
        </w:rPr>
      </w:pPr>
      <w:r>
        <w:rPr>
          <w:rFonts w:hint="eastAsia" w:ascii="宋体" w:hAnsi="宋体"/>
          <w:sz w:val="21"/>
          <w:szCs w:val="21"/>
        </w:rPr>
        <w:t>（2）永久性环境保护工程和设施的工程质量检查验收记录；</w:t>
      </w:r>
    </w:p>
    <w:p>
      <w:pPr>
        <w:snapToGrid w:val="0"/>
        <w:spacing w:line="360" w:lineRule="exact"/>
        <w:ind w:firstLine="420" w:firstLineChars="200"/>
        <w:rPr>
          <w:rFonts w:ascii="宋体" w:hAnsi="宋体"/>
          <w:sz w:val="21"/>
          <w:szCs w:val="21"/>
        </w:rPr>
      </w:pPr>
      <w:r>
        <w:rPr>
          <w:rFonts w:hint="eastAsia" w:ascii="宋体" w:hAnsi="宋体"/>
          <w:sz w:val="21"/>
          <w:szCs w:val="21"/>
        </w:rPr>
        <w:t>（3）植被种植计划的完成情况和检查验收记录；</w:t>
      </w:r>
    </w:p>
    <w:p>
      <w:pPr>
        <w:snapToGrid w:val="0"/>
        <w:spacing w:line="360" w:lineRule="exact"/>
        <w:ind w:firstLine="420" w:firstLineChars="200"/>
        <w:rPr>
          <w:rFonts w:ascii="宋体" w:hAnsi="宋体"/>
          <w:sz w:val="21"/>
          <w:szCs w:val="21"/>
        </w:rPr>
      </w:pPr>
      <w:r>
        <w:rPr>
          <w:rFonts w:hint="eastAsia" w:ascii="宋体" w:hAnsi="宋体"/>
          <w:sz w:val="21"/>
          <w:szCs w:val="21"/>
        </w:rPr>
        <w:t>（4）“林草恢复期”内，各区植被的维护管理措施。</w:t>
      </w:r>
    </w:p>
    <w:p>
      <w:pPr>
        <w:pStyle w:val="7"/>
        <w:snapToGrid w:val="0"/>
        <w:spacing w:line="360" w:lineRule="exact"/>
        <w:rPr>
          <w:rStyle w:val="47"/>
          <w:rFonts w:ascii="宋体" w:hAnsi="宋体"/>
          <w:color w:val="auto"/>
          <w:sz w:val="21"/>
          <w:szCs w:val="21"/>
        </w:rPr>
      </w:pPr>
      <w:r>
        <w:rPr>
          <w:rStyle w:val="47"/>
          <w:rFonts w:hint="eastAsia" w:ascii="宋体" w:hAnsi="宋体"/>
          <w:color w:val="auto"/>
          <w:sz w:val="21"/>
          <w:szCs w:val="21"/>
        </w:rPr>
        <w:t>4.6.3 永久性环境保护工程的完工验收</w:t>
      </w:r>
    </w:p>
    <w:p>
      <w:pPr>
        <w:snapToGrid w:val="0"/>
        <w:spacing w:line="360" w:lineRule="exact"/>
        <w:ind w:firstLine="420" w:firstLineChars="200"/>
        <w:rPr>
          <w:rFonts w:ascii="宋体" w:hAnsi="宋体"/>
          <w:sz w:val="21"/>
          <w:szCs w:val="21"/>
        </w:rPr>
      </w:pPr>
      <w:r>
        <w:rPr>
          <w:rFonts w:hint="eastAsia" w:ascii="宋体" w:hAnsi="宋体"/>
          <w:sz w:val="21"/>
          <w:szCs w:val="21"/>
        </w:rPr>
        <w:t>上述条款所列的全部永久性环境保护和水土保持设施项目验收合格后，承包人应按监理人的指示，向发包人提交要求对全部永久性环境保护工程和设施进行完工验收的申请报告。经发包人同意后，由监理人会同承包人和环境保护部门代表共同进行完工验收。承包人应为永久性环境保护工程的完工验收提供以下资料：</w:t>
      </w:r>
    </w:p>
    <w:p>
      <w:pPr>
        <w:snapToGrid w:val="0"/>
        <w:spacing w:line="360" w:lineRule="exact"/>
        <w:ind w:firstLine="420" w:firstLineChars="200"/>
        <w:rPr>
          <w:rFonts w:ascii="宋体" w:hAnsi="宋体"/>
          <w:sz w:val="21"/>
          <w:szCs w:val="21"/>
        </w:rPr>
      </w:pPr>
      <w:r>
        <w:rPr>
          <w:rFonts w:hint="eastAsia" w:ascii="宋体" w:hAnsi="宋体"/>
          <w:sz w:val="21"/>
          <w:szCs w:val="21"/>
        </w:rPr>
        <w:t>（1）各项永久性环境保护工程的竣工图及其有关的竣工资料；</w:t>
      </w:r>
    </w:p>
    <w:p>
      <w:pPr>
        <w:snapToGrid w:val="0"/>
        <w:spacing w:line="360" w:lineRule="exact"/>
        <w:ind w:firstLine="420" w:firstLineChars="200"/>
        <w:rPr>
          <w:rFonts w:ascii="宋体" w:hAnsi="宋体"/>
          <w:sz w:val="21"/>
          <w:szCs w:val="21"/>
        </w:rPr>
      </w:pPr>
      <w:r>
        <w:rPr>
          <w:rFonts w:hint="eastAsia" w:ascii="宋体" w:hAnsi="宋体"/>
          <w:sz w:val="21"/>
          <w:szCs w:val="21"/>
        </w:rPr>
        <w:t>（2）各项永久性环境保护工程的质量检查记录和质量鉴定成果；</w:t>
      </w:r>
    </w:p>
    <w:p>
      <w:pPr>
        <w:snapToGrid w:val="0"/>
        <w:spacing w:line="360" w:lineRule="exact"/>
        <w:ind w:firstLine="420" w:firstLineChars="200"/>
        <w:rPr>
          <w:rFonts w:ascii="宋体" w:hAnsi="宋体"/>
          <w:sz w:val="21"/>
          <w:szCs w:val="21"/>
        </w:rPr>
      </w:pPr>
      <w:r>
        <w:rPr>
          <w:rFonts w:hint="eastAsia" w:ascii="宋体" w:hAnsi="宋体"/>
          <w:sz w:val="21"/>
          <w:szCs w:val="21"/>
        </w:rPr>
        <w:t>（3）监理人要求提交的其它完工验收资料。</w:t>
      </w:r>
    </w:p>
    <w:p>
      <w:pPr>
        <w:pStyle w:val="7"/>
        <w:snapToGrid w:val="0"/>
        <w:spacing w:line="360" w:lineRule="exact"/>
        <w:rPr>
          <w:rFonts w:ascii="宋体" w:hAnsi="宋体" w:eastAsia="宋体"/>
          <w:sz w:val="21"/>
          <w:szCs w:val="21"/>
        </w:rPr>
      </w:pPr>
      <w:r>
        <w:rPr>
          <w:rFonts w:hint="eastAsia" w:ascii="宋体" w:hAnsi="宋体" w:eastAsia="宋体"/>
          <w:sz w:val="21"/>
          <w:szCs w:val="21"/>
        </w:rPr>
        <w:t>4.7 计量和支付</w:t>
      </w:r>
      <w:bookmarkEnd w:id="592"/>
    </w:p>
    <w:p>
      <w:pPr>
        <w:snapToGrid w:val="0"/>
        <w:spacing w:line="360" w:lineRule="exact"/>
        <w:ind w:firstLine="420" w:firstLineChars="200"/>
        <w:rPr>
          <w:rFonts w:ascii="宋体" w:hAnsi="宋体"/>
          <w:sz w:val="21"/>
          <w:szCs w:val="21"/>
        </w:rPr>
      </w:pPr>
      <w:r>
        <w:rPr>
          <w:rFonts w:hint="eastAsia" w:ascii="宋体" w:hAnsi="宋体"/>
          <w:sz w:val="21"/>
          <w:szCs w:val="21"/>
        </w:rPr>
        <w:t>（</w:t>
      </w:r>
      <w:r>
        <w:rPr>
          <w:rFonts w:ascii="宋体" w:hAnsi="宋体"/>
          <w:sz w:val="21"/>
          <w:szCs w:val="21"/>
        </w:rPr>
        <w:t>1</w:t>
      </w:r>
      <w:r>
        <w:rPr>
          <w:rFonts w:hint="eastAsia" w:ascii="宋体" w:hAnsi="宋体"/>
          <w:sz w:val="21"/>
          <w:szCs w:val="21"/>
        </w:rPr>
        <w:t>）施工临时设施（包括混凝土生产系统、机修车间、施工现场和生活区临时设施等）的废、</w:t>
      </w:r>
    </w:p>
    <w:p>
      <w:pPr>
        <w:snapToGrid w:val="0"/>
        <w:spacing w:line="360" w:lineRule="exact"/>
        <w:rPr>
          <w:rFonts w:ascii="宋体" w:hAnsi="宋体"/>
          <w:sz w:val="21"/>
          <w:szCs w:val="21"/>
        </w:rPr>
      </w:pPr>
      <w:r>
        <w:rPr>
          <w:rFonts w:hint="eastAsia" w:ascii="宋体" w:hAnsi="宋体"/>
          <w:sz w:val="21"/>
          <w:szCs w:val="21"/>
        </w:rPr>
        <w:t>污水（或废油）处理设施，应分别包含在与本技术条款第</w:t>
      </w:r>
      <w:r>
        <w:rPr>
          <w:rFonts w:ascii="宋体" w:hAnsi="宋体"/>
          <w:sz w:val="21"/>
          <w:szCs w:val="21"/>
        </w:rPr>
        <w:t>2</w:t>
      </w:r>
      <w:r>
        <w:rPr>
          <w:rFonts w:hint="eastAsia" w:ascii="宋体" w:hAnsi="宋体"/>
          <w:sz w:val="21"/>
          <w:szCs w:val="21"/>
        </w:rPr>
        <w:t>章“施工临时设施”各自相关的施工临时设施项目中。承包人根据合同要求完成各废、污（或废油）处理设施的建设、移设和拆除工作所需的费用，由发包人按《工程量清单》相应“施工临时设施”的各项总价支付，发包人不另行支付。</w:t>
      </w:r>
    </w:p>
    <w:p>
      <w:pPr>
        <w:snapToGrid w:val="0"/>
        <w:spacing w:line="360" w:lineRule="exact"/>
        <w:ind w:firstLine="420" w:firstLineChars="200"/>
        <w:rPr>
          <w:rFonts w:ascii="宋体" w:hAnsi="宋体"/>
          <w:sz w:val="21"/>
          <w:szCs w:val="21"/>
        </w:rPr>
      </w:pPr>
      <w:r>
        <w:rPr>
          <w:rFonts w:hint="eastAsia" w:ascii="宋体" w:hAnsi="宋体"/>
          <w:sz w:val="21"/>
          <w:szCs w:val="21"/>
        </w:rPr>
        <w:t>（</w:t>
      </w:r>
      <w:r>
        <w:rPr>
          <w:rFonts w:ascii="宋体" w:hAnsi="宋体"/>
          <w:sz w:val="21"/>
          <w:szCs w:val="21"/>
        </w:rPr>
        <w:t>2</w:t>
      </w:r>
      <w:r>
        <w:rPr>
          <w:rFonts w:hint="eastAsia" w:ascii="宋体" w:hAnsi="宋体"/>
          <w:sz w:val="21"/>
          <w:szCs w:val="21"/>
        </w:rPr>
        <w:t>）除合同另有约定外，施工场地和生活区的其它零星污水、零星废弃物和生活垃圾处理费用，大气环境保护措施费用和声环境保护措施费用，包含在《工程量清单》相应项目工程单价或总价中，发包人不另行支付。</w:t>
      </w:r>
    </w:p>
    <w:p>
      <w:pPr>
        <w:snapToGrid w:val="0"/>
        <w:spacing w:line="360" w:lineRule="exact"/>
        <w:ind w:firstLine="420" w:firstLineChars="200"/>
        <w:rPr>
          <w:rFonts w:ascii="宋体" w:hAnsi="宋体"/>
          <w:sz w:val="21"/>
          <w:szCs w:val="21"/>
        </w:rPr>
      </w:pPr>
      <w:r>
        <w:rPr>
          <w:rFonts w:hint="eastAsia" w:ascii="宋体" w:hAnsi="宋体"/>
          <w:sz w:val="21"/>
          <w:szCs w:val="21"/>
        </w:rPr>
        <w:t>（</w:t>
      </w:r>
      <w:r>
        <w:rPr>
          <w:rFonts w:ascii="宋体" w:hAnsi="宋体"/>
          <w:sz w:val="21"/>
          <w:szCs w:val="21"/>
        </w:rPr>
        <w:t>3</w:t>
      </w:r>
      <w:r>
        <w:rPr>
          <w:rFonts w:hint="eastAsia" w:ascii="宋体" w:hAnsi="宋体"/>
          <w:sz w:val="21"/>
          <w:szCs w:val="21"/>
        </w:rPr>
        <w:t>）未列入《工程量清单》的其它环境保护和水土保持措施，承包人完成这些措施的建设、运行、维护管理和施工期监测等工作所需费用，包含在《工程量清单》相应项目工程单价或总价中，</w:t>
      </w:r>
    </w:p>
    <w:p>
      <w:pPr>
        <w:snapToGrid w:val="0"/>
        <w:spacing w:line="360" w:lineRule="exact"/>
        <w:rPr>
          <w:rFonts w:ascii="宋体" w:hAnsi="宋体"/>
          <w:sz w:val="21"/>
          <w:szCs w:val="21"/>
        </w:rPr>
      </w:pPr>
      <w:r>
        <w:rPr>
          <w:rFonts w:hint="eastAsia" w:ascii="宋体" w:hAnsi="宋体"/>
          <w:sz w:val="21"/>
          <w:szCs w:val="21"/>
        </w:rPr>
        <w:t>发包人不另行支付。</w:t>
      </w:r>
    </w:p>
    <w:p>
      <w:pPr>
        <w:pStyle w:val="5"/>
        <w:spacing w:line="360" w:lineRule="auto"/>
        <w:jc w:val="center"/>
        <w:rPr>
          <w:szCs w:val="30"/>
        </w:rPr>
      </w:pPr>
      <w:bookmarkStart w:id="628" w:name="_Toc311407730"/>
      <w:bookmarkStart w:id="629" w:name="_Toc27385"/>
      <w:bookmarkStart w:id="630" w:name="_Toc336325360"/>
      <w:r>
        <w:rPr>
          <w:rFonts w:hint="eastAsia"/>
          <w:szCs w:val="30"/>
        </w:rPr>
        <w:t>第5节土方明挖</w:t>
      </w:r>
      <w:bookmarkEnd w:id="628"/>
      <w:bookmarkEnd w:id="629"/>
      <w:bookmarkEnd w:id="630"/>
    </w:p>
    <w:p>
      <w:pPr>
        <w:pStyle w:val="6"/>
        <w:snapToGrid w:val="0"/>
        <w:spacing w:line="360" w:lineRule="exact"/>
        <w:rPr>
          <w:rStyle w:val="49"/>
          <w:rFonts w:hAnsi="宋体"/>
          <w:b/>
          <w:sz w:val="21"/>
          <w:szCs w:val="21"/>
        </w:rPr>
      </w:pPr>
      <w:bookmarkStart w:id="631" w:name="_Toc339224663"/>
      <w:bookmarkStart w:id="632" w:name="_Toc339482529"/>
      <w:bookmarkStart w:id="633" w:name="_Toc339983435"/>
      <w:bookmarkStart w:id="634" w:name="_Toc336325361"/>
      <w:bookmarkStart w:id="635" w:name="_Toc341965038"/>
      <w:bookmarkStart w:id="636" w:name="_Toc336255248"/>
      <w:bookmarkStart w:id="637" w:name="_Toc20300"/>
      <w:bookmarkStart w:id="638" w:name="_Toc282782379"/>
      <w:r>
        <w:rPr>
          <w:rStyle w:val="49"/>
          <w:rFonts w:hAnsi="宋体"/>
          <w:b/>
          <w:sz w:val="21"/>
          <w:szCs w:val="21"/>
        </w:rPr>
        <w:t>5.1 一般规定</w:t>
      </w:r>
      <w:bookmarkEnd w:id="631"/>
      <w:bookmarkEnd w:id="632"/>
      <w:bookmarkEnd w:id="633"/>
      <w:bookmarkEnd w:id="634"/>
      <w:bookmarkEnd w:id="635"/>
      <w:bookmarkEnd w:id="636"/>
      <w:bookmarkEnd w:id="637"/>
    </w:p>
    <w:p>
      <w:pPr>
        <w:pStyle w:val="7"/>
        <w:snapToGrid w:val="0"/>
        <w:spacing w:line="360" w:lineRule="exact"/>
        <w:rPr>
          <w:rStyle w:val="47"/>
          <w:rFonts w:ascii="宋体" w:hAnsi="宋体"/>
          <w:color w:val="auto"/>
          <w:sz w:val="21"/>
          <w:szCs w:val="21"/>
        </w:rPr>
      </w:pPr>
      <w:r>
        <w:rPr>
          <w:rStyle w:val="47"/>
          <w:rFonts w:ascii="宋体" w:hAnsi="宋体"/>
          <w:color w:val="auto"/>
          <w:sz w:val="21"/>
          <w:szCs w:val="21"/>
        </w:rPr>
        <w:t>5.1.1 应用范围</w:t>
      </w:r>
    </w:p>
    <w:p>
      <w:pPr>
        <w:snapToGrid w:val="0"/>
        <w:spacing w:line="360" w:lineRule="exact"/>
        <w:ind w:firstLine="420" w:firstLineChars="200"/>
        <w:rPr>
          <w:rFonts w:ascii="宋体" w:hAnsi="宋体"/>
          <w:sz w:val="21"/>
          <w:szCs w:val="21"/>
        </w:rPr>
      </w:pPr>
      <w:r>
        <w:rPr>
          <w:rFonts w:hint="eastAsia" w:ascii="宋体" w:hAnsi="宋体"/>
          <w:sz w:val="21"/>
          <w:szCs w:val="21"/>
        </w:rPr>
        <w:t>（1）</w:t>
      </w:r>
      <w:r>
        <w:rPr>
          <w:rFonts w:ascii="宋体" w:hAnsi="宋体"/>
          <w:sz w:val="21"/>
          <w:szCs w:val="21"/>
        </w:rPr>
        <w:t>本章规定适用于本合同施工图纸所示的永久和临时工程建筑物的基础、边坡、</w:t>
      </w:r>
      <w:r>
        <w:rPr>
          <w:rFonts w:hint="eastAsia" w:ascii="宋体" w:hAnsi="宋体"/>
          <w:sz w:val="21"/>
          <w:szCs w:val="21"/>
        </w:rPr>
        <w:t>土料</w:t>
      </w:r>
      <w:r>
        <w:rPr>
          <w:rFonts w:ascii="宋体" w:hAnsi="宋体"/>
          <w:sz w:val="21"/>
          <w:szCs w:val="21"/>
        </w:rPr>
        <w:t>场和砂石料场及其覆盖层等的明挖工程。</w:t>
      </w:r>
    </w:p>
    <w:p>
      <w:pPr>
        <w:snapToGrid w:val="0"/>
        <w:spacing w:line="360" w:lineRule="exact"/>
        <w:ind w:firstLine="420" w:firstLineChars="200"/>
        <w:rPr>
          <w:rFonts w:ascii="宋体" w:hAnsi="宋体"/>
          <w:sz w:val="21"/>
          <w:szCs w:val="21"/>
        </w:rPr>
      </w:pPr>
      <w:r>
        <w:rPr>
          <w:rFonts w:hint="eastAsia" w:ascii="宋体" w:hAnsi="宋体"/>
          <w:sz w:val="21"/>
          <w:szCs w:val="21"/>
        </w:rPr>
        <w:t>（2）</w:t>
      </w:r>
      <w:r>
        <w:rPr>
          <w:rFonts w:ascii="宋体" w:hAnsi="宋体"/>
          <w:sz w:val="21"/>
          <w:szCs w:val="21"/>
        </w:rPr>
        <w:t>本章不包括膨胀性土、多年冻土等特殊地质条件的土方工程。</w:t>
      </w:r>
    </w:p>
    <w:p>
      <w:pPr>
        <w:pStyle w:val="7"/>
        <w:snapToGrid w:val="0"/>
        <w:spacing w:line="360" w:lineRule="exact"/>
        <w:rPr>
          <w:rStyle w:val="47"/>
          <w:rFonts w:ascii="宋体" w:hAnsi="宋体"/>
          <w:color w:val="auto"/>
          <w:sz w:val="21"/>
          <w:szCs w:val="21"/>
        </w:rPr>
      </w:pPr>
      <w:r>
        <w:rPr>
          <w:rStyle w:val="47"/>
          <w:rFonts w:hint="eastAsia" w:ascii="宋体" w:hAnsi="宋体"/>
          <w:color w:val="auto"/>
          <w:sz w:val="21"/>
          <w:szCs w:val="21"/>
        </w:rPr>
        <w:t xml:space="preserve">5.1.2 </w:t>
      </w:r>
      <w:r>
        <w:rPr>
          <w:rStyle w:val="47"/>
          <w:rFonts w:ascii="宋体" w:hAnsi="宋体"/>
          <w:color w:val="auto"/>
          <w:sz w:val="21"/>
          <w:szCs w:val="21"/>
        </w:rPr>
        <w:t>承包人责任</w:t>
      </w:r>
    </w:p>
    <w:p>
      <w:pPr>
        <w:snapToGrid w:val="0"/>
        <w:spacing w:line="360" w:lineRule="exact"/>
        <w:ind w:firstLine="420" w:firstLineChars="200"/>
        <w:rPr>
          <w:rFonts w:ascii="宋体" w:hAnsi="宋体"/>
          <w:sz w:val="21"/>
          <w:szCs w:val="21"/>
        </w:rPr>
      </w:pPr>
      <w:r>
        <w:rPr>
          <w:rFonts w:hint="eastAsia" w:ascii="宋体" w:hAnsi="宋体"/>
          <w:sz w:val="21"/>
          <w:szCs w:val="21"/>
        </w:rPr>
        <w:t>（1）</w:t>
      </w:r>
      <w:r>
        <w:rPr>
          <w:rFonts w:ascii="宋体" w:hAnsi="宋体"/>
          <w:sz w:val="21"/>
          <w:szCs w:val="21"/>
        </w:rPr>
        <w:t>承包人应根据本合同施工图纸和监理人的指示</w:t>
      </w:r>
      <w:r>
        <w:rPr>
          <w:rFonts w:hint="eastAsia" w:ascii="宋体" w:hAnsi="宋体"/>
          <w:sz w:val="21"/>
          <w:szCs w:val="21"/>
        </w:rPr>
        <w:t>，</w:t>
      </w:r>
      <w:r>
        <w:rPr>
          <w:rFonts w:ascii="宋体" w:hAnsi="宋体"/>
          <w:sz w:val="21"/>
          <w:szCs w:val="21"/>
        </w:rPr>
        <w:t>按建筑物土方明挖工程的开挖</w:t>
      </w:r>
      <w:r>
        <w:rPr>
          <w:rFonts w:hint="eastAsia" w:ascii="宋体" w:hAnsi="宋体"/>
          <w:sz w:val="21"/>
          <w:szCs w:val="21"/>
        </w:rPr>
        <w:t>进</w:t>
      </w:r>
      <w:r>
        <w:rPr>
          <w:rFonts w:ascii="宋体" w:hAnsi="宋体"/>
          <w:sz w:val="21"/>
          <w:szCs w:val="21"/>
        </w:rPr>
        <w:t>行开挖施工。</w:t>
      </w:r>
    </w:p>
    <w:p>
      <w:pPr>
        <w:snapToGrid w:val="0"/>
        <w:spacing w:line="360" w:lineRule="exact"/>
        <w:ind w:firstLine="420" w:firstLineChars="200"/>
        <w:rPr>
          <w:rFonts w:ascii="宋体" w:hAnsi="宋体"/>
          <w:sz w:val="21"/>
          <w:szCs w:val="21"/>
        </w:rPr>
      </w:pPr>
      <w:r>
        <w:rPr>
          <w:rFonts w:hint="eastAsia" w:ascii="宋体" w:hAnsi="宋体"/>
          <w:sz w:val="21"/>
          <w:szCs w:val="21"/>
        </w:rPr>
        <w:t>（</w:t>
      </w:r>
      <w:r>
        <w:rPr>
          <w:rFonts w:ascii="宋体" w:hAnsi="宋体"/>
          <w:sz w:val="21"/>
          <w:szCs w:val="21"/>
        </w:rPr>
        <w:t>2</w:t>
      </w:r>
      <w:r>
        <w:rPr>
          <w:rFonts w:hint="eastAsia" w:ascii="宋体" w:hAnsi="宋体"/>
          <w:sz w:val="21"/>
          <w:szCs w:val="21"/>
        </w:rPr>
        <w:t>）</w:t>
      </w:r>
      <w:r>
        <w:rPr>
          <w:rFonts w:ascii="宋体" w:hAnsi="宋体"/>
          <w:sz w:val="21"/>
          <w:szCs w:val="21"/>
        </w:rPr>
        <w:t>承包人应对开挖过程中可能引起的滑坡和崩塌体，采取有效的预防性保护措施；</w:t>
      </w:r>
      <w:r>
        <w:rPr>
          <w:rFonts w:hint="eastAsia" w:ascii="宋体" w:hAnsi="宋体"/>
          <w:sz w:val="21"/>
          <w:szCs w:val="21"/>
        </w:rPr>
        <w:t>在</w:t>
      </w:r>
      <w:r>
        <w:rPr>
          <w:rFonts w:ascii="宋体" w:hAnsi="宋体"/>
          <w:sz w:val="21"/>
          <w:szCs w:val="21"/>
        </w:rPr>
        <w:t>陡坡下施工，应事先做好安全清理和支护。</w:t>
      </w:r>
    </w:p>
    <w:p>
      <w:pPr>
        <w:snapToGrid w:val="0"/>
        <w:spacing w:line="360" w:lineRule="exact"/>
        <w:ind w:firstLine="420" w:firstLineChars="200"/>
        <w:rPr>
          <w:rFonts w:ascii="宋体" w:hAnsi="宋体"/>
          <w:sz w:val="21"/>
          <w:szCs w:val="21"/>
        </w:rPr>
      </w:pPr>
      <w:r>
        <w:rPr>
          <w:rFonts w:hint="eastAsia" w:ascii="宋体" w:hAnsi="宋体"/>
          <w:sz w:val="21"/>
          <w:szCs w:val="21"/>
        </w:rPr>
        <w:t>（</w:t>
      </w:r>
      <w:r>
        <w:rPr>
          <w:rFonts w:ascii="宋体" w:hAnsi="宋体"/>
          <w:sz w:val="21"/>
          <w:szCs w:val="21"/>
        </w:rPr>
        <w:t>3</w:t>
      </w:r>
      <w:r>
        <w:rPr>
          <w:rFonts w:hint="eastAsia" w:ascii="宋体" w:hAnsi="宋体"/>
          <w:sz w:val="21"/>
          <w:szCs w:val="21"/>
        </w:rPr>
        <w:t>）</w:t>
      </w:r>
      <w:r>
        <w:rPr>
          <w:rFonts w:ascii="宋体" w:hAnsi="宋体"/>
          <w:sz w:val="21"/>
          <w:szCs w:val="21"/>
        </w:rPr>
        <w:t>在已有建筑物附近进行开挖时，承包人必须采取可靠的施工措施，保证其原有建物的稳定和安全，并尽可能做到不影响其正常使用</w:t>
      </w:r>
      <w:r>
        <w:rPr>
          <w:rFonts w:hint="eastAsia" w:ascii="宋体" w:hAnsi="宋体"/>
          <w:sz w:val="21"/>
          <w:szCs w:val="21"/>
        </w:rPr>
        <w:t>。</w:t>
      </w:r>
    </w:p>
    <w:p>
      <w:pPr>
        <w:snapToGrid w:val="0"/>
        <w:spacing w:line="360" w:lineRule="exact"/>
        <w:ind w:firstLine="420" w:firstLineChars="200"/>
        <w:rPr>
          <w:rFonts w:ascii="宋体" w:hAnsi="宋体"/>
          <w:sz w:val="21"/>
          <w:szCs w:val="21"/>
        </w:rPr>
      </w:pPr>
      <w:r>
        <w:rPr>
          <w:rFonts w:hint="eastAsia" w:ascii="宋体" w:hAnsi="宋体"/>
          <w:sz w:val="21"/>
          <w:szCs w:val="21"/>
        </w:rPr>
        <w:t>（</w:t>
      </w:r>
      <w:r>
        <w:rPr>
          <w:rFonts w:ascii="宋体" w:hAnsi="宋体"/>
          <w:sz w:val="21"/>
          <w:szCs w:val="21"/>
        </w:rPr>
        <w:t>4</w:t>
      </w:r>
      <w:r>
        <w:rPr>
          <w:rFonts w:hint="eastAsia" w:ascii="宋体" w:hAnsi="宋体"/>
          <w:sz w:val="21"/>
          <w:szCs w:val="21"/>
        </w:rPr>
        <w:t>）</w:t>
      </w:r>
      <w:r>
        <w:rPr>
          <w:rFonts w:ascii="宋体" w:hAnsi="宋体"/>
          <w:sz w:val="21"/>
          <w:szCs w:val="21"/>
        </w:rPr>
        <w:t>承包人应在开挖的危险作业地带设置安全防护设施和明显的安全警示标志。</w:t>
      </w:r>
    </w:p>
    <w:p>
      <w:pPr>
        <w:pStyle w:val="7"/>
        <w:snapToGrid w:val="0"/>
        <w:spacing w:line="360" w:lineRule="exact"/>
        <w:rPr>
          <w:rStyle w:val="47"/>
          <w:rFonts w:ascii="宋体" w:hAnsi="宋体"/>
          <w:color w:val="auto"/>
          <w:sz w:val="21"/>
          <w:szCs w:val="21"/>
        </w:rPr>
      </w:pPr>
      <w:r>
        <w:rPr>
          <w:rStyle w:val="47"/>
          <w:rFonts w:hint="eastAsia" w:ascii="宋体" w:hAnsi="宋体"/>
          <w:color w:val="auto"/>
          <w:sz w:val="21"/>
          <w:szCs w:val="21"/>
        </w:rPr>
        <w:t xml:space="preserve">5.1.3 </w:t>
      </w:r>
      <w:r>
        <w:rPr>
          <w:rStyle w:val="47"/>
          <w:rFonts w:ascii="宋体" w:hAnsi="宋体"/>
          <w:color w:val="auto"/>
          <w:sz w:val="21"/>
          <w:szCs w:val="21"/>
        </w:rPr>
        <w:t>主要提交件</w:t>
      </w:r>
    </w:p>
    <w:p>
      <w:pPr>
        <w:snapToGrid w:val="0"/>
        <w:spacing w:line="360" w:lineRule="exact"/>
        <w:ind w:firstLine="420" w:firstLineChars="200"/>
        <w:rPr>
          <w:rFonts w:ascii="宋体" w:hAnsi="宋体"/>
          <w:sz w:val="21"/>
          <w:szCs w:val="21"/>
        </w:rPr>
      </w:pPr>
      <w:r>
        <w:rPr>
          <w:rFonts w:hint="eastAsia" w:ascii="宋体" w:hAnsi="宋体"/>
          <w:sz w:val="21"/>
          <w:szCs w:val="21"/>
        </w:rPr>
        <w:t>（1）</w:t>
      </w:r>
      <w:r>
        <w:rPr>
          <w:rFonts w:ascii="宋体" w:hAnsi="宋体"/>
          <w:sz w:val="21"/>
          <w:szCs w:val="21"/>
        </w:rPr>
        <w:t>开挖放样资料</w:t>
      </w:r>
    </w:p>
    <w:p>
      <w:pPr>
        <w:snapToGrid w:val="0"/>
        <w:spacing w:line="360" w:lineRule="exact"/>
        <w:ind w:firstLine="420" w:firstLineChars="200"/>
        <w:rPr>
          <w:rFonts w:ascii="宋体" w:hAnsi="宋体"/>
          <w:sz w:val="21"/>
          <w:szCs w:val="21"/>
        </w:rPr>
      </w:pPr>
      <w:r>
        <w:rPr>
          <w:rFonts w:ascii="宋体" w:hAnsi="宋体"/>
          <w:sz w:val="21"/>
          <w:szCs w:val="21"/>
        </w:rPr>
        <w:t>每项单位工程开工前</w:t>
      </w:r>
      <w:r>
        <w:rPr>
          <w:rFonts w:hint="eastAsia" w:ascii="宋体" w:hAnsi="宋体"/>
          <w:sz w:val="21"/>
          <w:szCs w:val="21"/>
          <w:u w:val="single"/>
        </w:rPr>
        <w:t>_14_</w:t>
      </w:r>
      <w:r>
        <w:rPr>
          <w:rFonts w:ascii="宋体" w:hAnsi="宋体"/>
          <w:sz w:val="21"/>
          <w:szCs w:val="21"/>
        </w:rPr>
        <w:t>天</w:t>
      </w:r>
      <w:r>
        <w:rPr>
          <w:rFonts w:hint="eastAsia" w:ascii="宋体" w:hAnsi="宋体"/>
          <w:sz w:val="21"/>
          <w:szCs w:val="21"/>
        </w:rPr>
        <w:t>，</w:t>
      </w:r>
      <w:r>
        <w:rPr>
          <w:rFonts w:ascii="宋体" w:hAnsi="宋体"/>
          <w:sz w:val="21"/>
          <w:szCs w:val="21"/>
        </w:rPr>
        <w:t>承包人应将开挖前实测地形和开挖放样剖面图提交监</w:t>
      </w:r>
      <w:r>
        <w:rPr>
          <w:rFonts w:hint="eastAsia" w:ascii="宋体" w:hAnsi="宋体"/>
          <w:sz w:val="21"/>
          <w:szCs w:val="21"/>
        </w:rPr>
        <w:t>理</w:t>
      </w:r>
      <w:r>
        <w:rPr>
          <w:rFonts w:ascii="宋体" w:hAnsi="宋体"/>
          <w:sz w:val="21"/>
          <w:szCs w:val="21"/>
        </w:rPr>
        <w:t>人批准，批准后方可进行开挖。</w:t>
      </w:r>
    </w:p>
    <w:p>
      <w:pPr>
        <w:snapToGrid w:val="0"/>
        <w:spacing w:line="360" w:lineRule="exact"/>
        <w:ind w:firstLine="420" w:firstLineChars="200"/>
        <w:rPr>
          <w:rFonts w:ascii="宋体" w:hAnsi="宋体"/>
          <w:sz w:val="21"/>
          <w:szCs w:val="21"/>
        </w:rPr>
      </w:pPr>
      <w:r>
        <w:rPr>
          <w:rFonts w:hint="eastAsia" w:ascii="宋体" w:hAnsi="宋体"/>
          <w:sz w:val="21"/>
          <w:szCs w:val="21"/>
        </w:rPr>
        <w:t>（2）</w:t>
      </w:r>
      <w:r>
        <w:rPr>
          <w:rFonts w:ascii="宋体" w:hAnsi="宋体"/>
          <w:sz w:val="21"/>
          <w:szCs w:val="21"/>
        </w:rPr>
        <w:t>施工措施计划</w:t>
      </w:r>
    </w:p>
    <w:p>
      <w:pPr>
        <w:snapToGrid w:val="0"/>
        <w:spacing w:line="360" w:lineRule="exact"/>
        <w:ind w:firstLine="420" w:firstLineChars="200"/>
        <w:rPr>
          <w:rFonts w:ascii="宋体" w:hAnsi="宋体"/>
          <w:sz w:val="21"/>
          <w:szCs w:val="21"/>
        </w:rPr>
      </w:pPr>
      <w:r>
        <w:rPr>
          <w:rFonts w:ascii="宋体" w:hAnsi="宋体"/>
          <w:sz w:val="21"/>
          <w:szCs w:val="21"/>
        </w:rPr>
        <w:t>承包人应在本工程或每项单位工程开工前</w:t>
      </w:r>
      <w:r>
        <w:rPr>
          <w:rFonts w:hint="eastAsia" w:ascii="宋体" w:hAnsi="宋体"/>
          <w:sz w:val="21"/>
          <w:szCs w:val="21"/>
          <w:u w:val="single"/>
        </w:rPr>
        <w:t>_14_</w:t>
      </w:r>
      <w:r>
        <w:rPr>
          <w:rFonts w:ascii="宋体" w:hAnsi="宋体"/>
          <w:sz w:val="21"/>
          <w:szCs w:val="21"/>
        </w:rPr>
        <w:t>天，按施工图纸和监理人指示，编制</w:t>
      </w:r>
      <w:r>
        <w:rPr>
          <w:rFonts w:hint="eastAsia" w:ascii="宋体" w:hAnsi="宋体"/>
          <w:sz w:val="21"/>
          <w:szCs w:val="21"/>
        </w:rPr>
        <w:t>土</w:t>
      </w:r>
      <w:r>
        <w:rPr>
          <w:rFonts w:ascii="宋体" w:hAnsi="宋体"/>
          <w:sz w:val="21"/>
          <w:szCs w:val="21"/>
        </w:rPr>
        <w:t>方明挖工程的施工措施计划，提交监理人批准，其内容包括：</w:t>
      </w:r>
    </w:p>
    <w:p>
      <w:pPr>
        <w:snapToGrid w:val="0"/>
        <w:spacing w:line="360" w:lineRule="exact"/>
        <w:ind w:firstLine="420" w:firstLineChars="200"/>
        <w:rPr>
          <w:rFonts w:ascii="宋体" w:hAnsi="宋体"/>
          <w:sz w:val="21"/>
          <w:szCs w:val="21"/>
        </w:rPr>
      </w:pPr>
      <w:r>
        <w:rPr>
          <w:rFonts w:hint="eastAsia" w:ascii="宋体" w:hAnsi="宋体"/>
          <w:sz w:val="21"/>
          <w:szCs w:val="21"/>
        </w:rPr>
        <w:t>1）</w:t>
      </w:r>
      <w:r>
        <w:rPr>
          <w:rFonts w:ascii="宋体" w:hAnsi="宋体"/>
          <w:sz w:val="21"/>
          <w:szCs w:val="21"/>
        </w:rPr>
        <w:t>开挖施工平面布置图（含施工交通线路布置图）</w:t>
      </w:r>
      <w:r>
        <w:rPr>
          <w:rFonts w:hint="eastAsia" w:ascii="宋体" w:hAnsi="宋体"/>
          <w:sz w:val="21"/>
          <w:szCs w:val="21"/>
        </w:rPr>
        <w:t>；</w:t>
      </w:r>
    </w:p>
    <w:p>
      <w:pPr>
        <w:snapToGrid w:val="0"/>
        <w:spacing w:line="360" w:lineRule="exact"/>
        <w:ind w:firstLine="420" w:firstLineChars="200"/>
        <w:rPr>
          <w:rFonts w:ascii="宋体" w:hAnsi="宋体"/>
          <w:sz w:val="21"/>
          <w:szCs w:val="21"/>
        </w:rPr>
      </w:pPr>
      <w:r>
        <w:rPr>
          <w:rFonts w:hint="eastAsia" w:ascii="宋体" w:hAnsi="宋体"/>
          <w:sz w:val="21"/>
          <w:szCs w:val="21"/>
        </w:rPr>
        <w:t>2）</w:t>
      </w:r>
      <w:r>
        <w:rPr>
          <w:rFonts w:ascii="宋体" w:hAnsi="宋体"/>
          <w:sz w:val="21"/>
          <w:szCs w:val="21"/>
        </w:rPr>
        <w:t>开挖程序与开挖方法；</w:t>
      </w:r>
    </w:p>
    <w:p>
      <w:pPr>
        <w:snapToGrid w:val="0"/>
        <w:spacing w:line="360" w:lineRule="exact"/>
        <w:ind w:firstLine="420" w:firstLineChars="200"/>
        <w:rPr>
          <w:rFonts w:ascii="宋体" w:hAnsi="宋体"/>
          <w:sz w:val="21"/>
          <w:szCs w:val="21"/>
        </w:rPr>
      </w:pPr>
      <w:r>
        <w:rPr>
          <w:rFonts w:hint="eastAsia" w:ascii="宋体" w:hAnsi="宋体"/>
          <w:sz w:val="21"/>
          <w:szCs w:val="21"/>
        </w:rPr>
        <w:t>3）</w:t>
      </w:r>
      <w:r>
        <w:rPr>
          <w:rFonts w:ascii="宋体" w:hAnsi="宋体"/>
          <w:sz w:val="21"/>
          <w:szCs w:val="21"/>
        </w:rPr>
        <w:t>施工设备的配置和劳动力安排；</w:t>
      </w:r>
    </w:p>
    <w:p>
      <w:pPr>
        <w:snapToGrid w:val="0"/>
        <w:spacing w:line="360" w:lineRule="exact"/>
        <w:ind w:firstLine="420" w:firstLineChars="200"/>
        <w:rPr>
          <w:rFonts w:ascii="宋体" w:hAnsi="宋体"/>
          <w:sz w:val="21"/>
          <w:szCs w:val="21"/>
        </w:rPr>
      </w:pPr>
      <w:r>
        <w:rPr>
          <w:rFonts w:hint="eastAsia" w:ascii="宋体" w:hAnsi="宋体"/>
          <w:sz w:val="21"/>
          <w:szCs w:val="21"/>
        </w:rPr>
        <w:t>4）</w:t>
      </w:r>
      <w:r>
        <w:rPr>
          <w:rFonts w:ascii="宋体" w:hAnsi="宋体"/>
          <w:sz w:val="21"/>
          <w:szCs w:val="21"/>
        </w:rPr>
        <w:t>开挖边坡的排水和边坡保护措施；</w:t>
      </w:r>
    </w:p>
    <w:p>
      <w:pPr>
        <w:snapToGrid w:val="0"/>
        <w:spacing w:line="360" w:lineRule="exact"/>
        <w:ind w:firstLine="420" w:firstLineChars="200"/>
        <w:rPr>
          <w:rFonts w:ascii="宋体" w:hAnsi="宋体"/>
          <w:sz w:val="21"/>
          <w:szCs w:val="21"/>
        </w:rPr>
      </w:pPr>
      <w:r>
        <w:rPr>
          <w:rFonts w:ascii="宋体" w:hAnsi="宋体"/>
          <w:sz w:val="21"/>
          <w:szCs w:val="21"/>
        </w:rPr>
        <w:t>5</w:t>
      </w:r>
      <w:r>
        <w:rPr>
          <w:rFonts w:hint="eastAsia" w:ascii="宋体" w:hAnsi="宋体"/>
          <w:sz w:val="21"/>
          <w:szCs w:val="21"/>
        </w:rPr>
        <w:t>）</w:t>
      </w:r>
      <w:r>
        <w:rPr>
          <w:rFonts w:ascii="宋体" w:hAnsi="宋体"/>
          <w:sz w:val="21"/>
          <w:szCs w:val="21"/>
        </w:rPr>
        <w:t>土料利用和弃渣措施；</w:t>
      </w:r>
    </w:p>
    <w:p>
      <w:pPr>
        <w:snapToGrid w:val="0"/>
        <w:spacing w:line="360" w:lineRule="exact"/>
        <w:ind w:firstLine="420" w:firstLineChars="200"/>
        <w:rPr>
          <w:rFonts w:ascii="宋体" w:hAnsi="宋体"/>
          <w:sz w:val="21"/>
          <w:szCs w:val="21"/>
        </w:rPr>
      </w:pPr>
      <w:r>
        <w:rPr>
          <w:rFonts w:hint="eastAsia" w:ascii="宋体" w:hAnsi="宋体"/>
          <w:sz w:val="21"/>
          <w:szCs w:val="21"/>
        </w:rPr>
        <w:t>6）</w:t>
      </w:r>
      <w:r>
        <w:rPr>
          <w:rFonts w:ascii="宋体" w:hAnsi="宋体"/>
          <w:sz w:val="21"/>
          <w:szCs w:val="21"/>
        </w:rPr>
        <w:t>质量与安全保证措施；</w:t>
      </w:r>
    </w:p>
    <w:p>
      <w:pPr>
        <w:snapToGrid w:val="0"/>
        <w:spacing w:line="360" w:lineRule="exact"/>
        <w:ind w:firstLine="420" w:firstLineChars="200"/>
        <w:rPr>
          <w:rFonts w:ascii="宋体" w:hAnsi="宋体"/>
          <w:sz w:val="21"/>
          <w:szCs w:val="21"/>
        </w:rPr>
      </w:pPr>
      <w:r>
        <w:rPr>
          <w:rFonts w:hint="eastAsia" w:ascii="宋体" w:hAnsi="宋体"/>
          <w:sz w:val="21"/>
          <w:szCs w:val="21"/>
        </w:rPr>
        <w:t>7）</w:t>
      </w:r>
      <w:r>
        <w:rPr>
          <w:rFonts w:ascii="宋体" w:hAnsi="宋体"/>
          <w:sz w:val="21"/>
          <w:szCs w:val="21"/>
        </w:rPr>
        <w:t>主要开挖工程施工进度计划等。</w:t>
      </w:r>
    </w:p>
    <w:p>
      <w:pPr>
        <w:pStyle w:val="7"/>
        <w:snapToGrid w:val="0"/>
        <w:spacing w:line="360" w:lineRule="exact"/>
        <w:rPr>
          <w:rStyle w:val="47"/>
          <w:rFonts w:ascii="宋体" w:hAnsi="宋体"/>
          <w:color w:val="auto"/>
          <w:sz w:val="21"/>
          <w:szCs w:val="21"/>
        </w:rPr>
      </w:pPr>
      <w:r>
        <w:rPr>
          <w:rStyle w:val="47"/>
          <w:rFonts w:hint="eastAsia" w:ascii="宋体" w:hAnsi="宋体"/>
          <w:color w:val="auto"/>
          <w:sz w:val="21"/>
          <w:szCs w:val="21"/>
        </w:rPr>
        <w:t xml:space="preserve">5.1.4 </w:t>
      </w:r>
      <w:r>
        <w:rPr>
          <w:rStyle w:val="47"/>
          <w:rFonts w:ascii="宋体" w:hAnsi="宋体"/>
          <w:color w:val="auto"/>
          <w:sz w:val="21"/>
          <w:szCs w:val="21"/>
        </w:rPr>
        <w:t>引用标准</w:t>
      </w:r>
    </w:p>
    <w:p>
      <w:pPr>
        <w:snapToGrid w:val="0"/>
        <w:spacing w:line="360" w:lineRule="exact"/>
        <w:ind w:firstLine="420" w:firstLineChars="200"/>
        <w:rPr>
          <w:rFonts w:ascii="宋体" w:hAnsi="宋体"/>
          <w:sz w:val="21"/>
          <w:szCs w:val="21"/>
        </w:rPr>
      </w:pPr>
      <w:r>
        <w:rPr>
          <w:rFonts w:hint="eastAsia" w:ascii="宋体" w:hAnsi="宋体"/>
          <w:sz w:val="21"/>
          <w:szCs w:val="21"/>
        </w:rPr>
        <w:t>（1）《</w:t>
      </w:r>
      <w:r>
        <w:rPr>
          <w:rFonts w:ascii="宋体" w:hAnsi="宋体"/>
          <w:sz w:val="21"/>
          <w:szCs w:val="21"/>
        </w:rPr>
        <w:t>水利工程工程量清单计价规范》（GB 50501</w:t>
      </w:r>
      <w:r>
        <w:rPr>
          <w:rFonts w:hint="eastAsia" w:ascii="宋体" w:hAnsi="宋体"/>
          <w:sz w:val="21"/>
          <w:szCs w:val="21"/>
        </w:rPr>
        <w:t>-</w:t>
      </w:r>
      <w:r>
        <w:rPr>
          <w:rFonts w:ascii="宋体" w:hAnsi="宋体"/>
          <w:sz w:val="21"/>
          <w:szCs w:val="21"/>
        </w:rPr>
        <w:t>2007)</w:t>
      </w:r>
      <w:r>
        <w:rPr>
          <w:rFonts w:hint="eastAsia" w:ascii="宋体" w:hAnsi="宋体"/>
          <w:sz w:val="21"/>
          <w:szCs w:val="21"/>
        </w:rPr>
        <w:t>；</w:t>
      </w:r>
    </w:p>
    <w:p>
      <w:pPr>
        <w:snapToGrid w:val="0"/>
        <w:spacing w:line="360" w:lineRule="exact"/>
        <w:ind w:firstLine="420" w:firstLineChars="200"/>
        <w:rPr>
          <w:rFonts w:ascii="宋体" w:hAnsi="宋体"/>
          <w:sz w:val="21"/>
          <w:szCs w:val="21"/>
        </w:rPr>
      </w:pPr>
      <w:r>
        <w:rPr>
          <w:rFonts w:hint="eastAsia" w:ascii="宋体" w:hAnsi="宋体"/>
          <w:sz w:val="21"/>
          <w:szCs w:val="21"/>
        </w:rPr>
        <w:t>（2）</w:t>
      </w:r>
      <w:r>
        <w:rPr>
          <w:rFonts w:ascii="宋体" w:hAnsi="宋体"/>
          <w:sz w:val="21"/>
          <w:szCs w:val="21"/>
        </w:rPr>
        <w:t>《水利水电工程施工组织设计规范》（</w:t>
      </w:r>
      <w:r>
        <w:rPr>
          <w:rFonts w:hint="eastAsia" w:ascii="宋体" w:hAnsi="宋体"/>
          <w:sz w:val="21"/>
          <w:szCs w:val="21"/>
        </w:rPr>
        <w:t>S</w:t>
      </w:r>
      <w:r>
        <w:rPr>
          <w:rFonts w:ascii="宋体" w:hAnsi="宋体"/>
          <w:sz w:val="21"/>
          <w:szCs w:val="21"/>
        </w:rPr>
        <w:t>L 303</w:t>
      </w:r>
      <w:r>
        <w:rPr>
          <w:rFonts w:hint="eastAsia" w:ascii="宋体" w:hAnsi="宋体"/>
          <w:sz w:val="21"/>
          <w:szCs w:val="21"/>
        </w:rPr>
        <w:t>-2017</w:t>
      </w:r>
      <w:r>
        <w:rPr>
          <w:rFonts w:ascii="宋体" w:hAnsi="宋体"/>
          <w:sz w:val="21"/>
          <w:szCs w:val="21"/>
        </w:rPr>
        <w:t>）。</w:t>
      </w:r>
    </w:p>
    <w:p>
      <w:pPr>
        <w:pStyle w:val="6"/>
        <w:snapToGrid w:val="0"/>
        <w:spacing w:line="360" w:lineRule="exact"/>
        <w:rPr>
          <w:rStyle w:val="49"/>
          <w:rFonts w:hAnsi="宋体"/>
          <w:b/>
          <w:sz w:val="21"/>
          <w:szCs w:val="21"/>
        </w:rPr>
      </w:pPr>
      <w:bookmarkStart w:id="639" w:name="_Toc341965039"/>
      <w:bookmarkStart w:id="640" w:name="_Toc339983436"/>
      <w:bookmarkStart w:id="641" w:name="_Toc339224664"/>
      <w:bookmarkStart w:id="642" w:name="_Toc336325362"/>
      <w:bookmarkStart w:id="643" w:name="_Toc339482530"/>
      <w:bookmarkStart w:id="644" w:name="_Toc336255249"/>
      <w:bookmarkStart w:id="645" w:name="_Toc10529"/>
      <w:r>
        <w:rPr>
          <w:rStyle w:val="49"/>
          <w:rFonts w:hint="eastAsia" w:hAnsi="宋体"/>
          <w:b/>
          <w:sz w:val="21"/>
          <w:szCs w:val="21"/>
        </w:rPr>
        <w:t xml:space="preserve">5.2 </w:t>
      </w:r>
      <w:r>
        <w:rPr>
          <w:rStyle w:val="49"/>
          <w:rFonts w:hAnsi="宋体"/>
          <w:b/>
          <w:sz w:val="21"/>
          <w:szCs w:val="21"/>
        </w:rPr>
        <w:t>场地清理</w:t>
      </w:r>
      <w:bookmarkEnd w:id="639"/>
      <w:bookmarkEnd w:id="640"/>
      <w:bookmarkEnd w:id="641"/>
      <w:bookmarkEnd w:id="642"/>
      <w:bookmarkEnd w:id="643"/>
      <w:bookmarkEnd w:id="644"/>
      <w:bookmarkEnd w:id="645"/>
    </w:p>
    <w:p>
      <w:pPr>
        <w:snapToGrid w:val="0"/>
        <w:spacing w:line="360" w:lineRule="exact"/>
        <w:ind w:firstLine="420" w:firstLineChars="200"/>
        <w:rPr>
          <w:rFonts w:ascii="宋体" w:hAnsi="宋体"/>
          <w:sz w:val="21"/>
          <w:szCs w:val="21"/>
        </w:rPr>
      </w:pPr>
      <w:r>
        <w:rPr>
          <w:rFonts w:ascii="宋体" w:hAnsi="宋体"/>
          <w:sz w:val="21"/>
          <w:szCs w:val="21"/>
        </w:rPr>
        <w:t>场地清理包括植被清理和表土开挖</w:t>
      </w:r>
      <w:r>
        <w:rPr>
          <w:rFonts w:hint="eastAsia" w:ascii="宋体" w:hAnsi="宋体"/>
          <w:sz w:val="21"/>
          <w:szCs w:val="21"/>
        </w:rPr>
        <w:t>。</w:t>
      </w:r>
      <w:r>
        <w:rPr>
          <w:rFonts w:ascii="宋体" w:hAnsi="宋体"/>
          <w:sz w:val="21"/>
          <w:szCs w:val="21"/>
        </w:rPr>
        <w:t>其范围包括永久和临时工程、料场、存弃渣场等施工用地需要清理的区域地表。</w:t>
      </w:r>
    </w:p>
    <w:p>
      <w:pPr>
        <w:pStyle w:val="7"/>
        <w:snapToGrid w:val="0"/>
        <w:spacing w:line="360" w:lineRule="exact"/>
        <w:rPr>
          <w:rStyle w:val="47"/>
          <w:rFonts w:ascii="宋体" w:hAnsi="宋体"/>
          <w:color w:val="auto"/>
          <w:sz w:val="21"/>
          <w:szCs w:val="21"/>
        </w:rPr>
      </w:pPr>
      <w:r>
        <w:rPr>
          <w:rStyle w:val="47"/>
          <w:rFonts w:ascii="宋体" w:hAnsi="宋体"/>
          <w:color w:val="auto"/>
          <w:sz w:val="21"/>
          <w:szCs w:val="21"/>
        </w:rPr>
        <w:t>5.</w:t>
      </w:r>
      <w:r>
        <w:rPr>
          <w:rStyle w:val="47"/>
          <w:rFonts w:hint="eastAsia" w:ascii="宋体" w:hAnsi="宋体"/>
          <w:color w:val="auto"/>
          <w:sz w:val="21"/>
          <w:szCs w:val="21"/>
        </w:rPr>
        <w:t xml:space="preserve">2.1 </w:t>
      </w:r>
      <w:r>
        <w:rPr>
          <w:rStyle w:val="47"/>
          <w:rFonts w:ascii="宋体" w:hAnsi="宋体"/>
          <w:color w:val="auto"/>
          <w:sz w:val="21"/>
          <w:szCs w:val="21"/>
        </w:rPr>
        <w:t>植被清理</w:t>
      </w:r>
    </w:p>
    <w:p>
      <w:pPr>
        <w:snapToGrid w:val="0"/>
        <w:spacing w:line="360" w:lineRule="exact"/>
        <w:ind w:firstLine="420" w:firstLineChars="200"/>
        <w:rPr>
          <w:rFonts w:ascii="宋体" w:hAnsi="宋体"/>
          <w:sz w:val="21"/>
          <w:szCs w:val="21"/>
        </w:rPr>
      </w:pPr>
      <w:r>
        <w:rPr>
          <w:rFonts w:hint="eastAsia" w:ascii="宋体" w:hAnsi="宋体"/>
          <w:sz w:val="21"/>
          <w:szCs w:val="21"/>
        </w:rPr>
        <w:t>（1）</w:t>
      </w:r>
      <w:r>
        <w:rPr>
          <w:rFonts w:ascii="宋体" w:hAnsi="宋体"/>
          <w:sz w:val="21"/>
          <w:szCs w:val="21"/>
        </w:rPr>
        <w:t>在场地开挖前，承包人应清理开挖区域内的树根、杂草、垃圾、废渣及其它有碍物</w:t>
      </w:r>
      <w:r>
        <w:rPr>
          <w:rFonts w:hint="eastAsia" w:ascii="宋体" w:hAnsi="宋体"/>
          <w:sz w:val="21"/>
          <w:szCs w:val="21"/>
        </w:rPr>
        <w:t>，</w:t>
      </w:r>
      <w:r>
        <w:rPr>
          <w:rFonts w:ascii="宋体" w:hAnsi="宋体"/>
          <w:sz w:val="21"/>
          <w:szCs w:val="21"/>
        </w:rPr>
        <w:t>主体工程植被清理的挖除树根范围应延伸到离施工图纸所示最大开挖边线、填筑线或建筑物基础外侧3m距离。</w:t>
      </w:r>
    </w:p>
    <w:p>
      <w:pPr>
        <w:snapToGrid w:val="0"/>
        <w:spacing w:line="360" w:lineRule="exact"/>
        <w:ind w:firstLine="420" w:firstLineChars="200"/>
        <w:rPr>
          <w:rFonts w:ascii="宋体" w:hAnsi="宋体"/>
          <w:sz w:val="21"/>
          <w:szCs w:val="21"/>
        </w:rPr>
      </w:pPr>
      <w:r>
        <w:rPr>
          <w:rFonts w:hint="eastAsia" w:ascii="宋体" w:hAnsi="宋体"/>
          <w:sz w:val="21"/>
          <w:szCs w:val="21"/>
        </w:rPr>
        <w:t>（2）</w:t>
      </w:r>
      <w:r>
        <w:rPr>
          <w:rFonts w:ascii="宋体" w:hAnsi="宋体"/>
          <w:sz w:val="21"/>
          <w:szCs w:val="21"/>
        </w:rPr>
        <w:t>除合同另有约定外，主体工程施工场地地表的植被清理，必须延伸至离施工图纸所示最大开挖边线或建筑物基础边线（或填筑坡脚线）外侧至少</w:t>
      </w:r>
      <w:r>
        <w:rPr>
          <w:rFonts w:hint="eastAsia" w:ascii="宋体" w:hAnsi="宋体"/>
          <w:sz w:val="21"/>
          <w:szCs w:val="21"/>
        </w:rPr>
        <w:t>5</w:t>
      </w:r>
      <w:r>
        <w:rPr>
          <w:rFonts w:ascii="宋体" w:hAnsi="宋体"/>
          <w:sz w:val="21"/>
          <w:szCs w:val="21"/>
        </w:rPr>
        <w:t>m距离。</w:t>
      </w:r>
    </w:p>
    <w:p>
      <w:pPr>
        <w:snapToGrid w:val="0"/>
        <w:spacing w:line="360" w:lineRule="exact"/>
        <w:ind w:firstLine="420" w:firstLineChars="200"/>
        <w:rPr>
          <w:rFonts w:ascii="宋体" w:hAnsi="宋体"/>
          <w:sz w:val="21"/>
          <w:szCs w:val="21"/>
        </w:rPr>
      </w:pPr>
      <w:r>
        <w:rPr>
          <w:rFonts w:hint="eastAsia" w:ascii="宋体" w:hAnsi="宋体"/>
          <w:sz w:val="21"/>
          <w:szCs w:val="21"/>
        </w:rPr>
        <w:t>（3）</w:t>
      </w:r>
      <w:r>
        <w:rPr>
          <w:rFonts w:ascii="宋体" w:hAnsi="宋体"/>
          <w:sz w:val="21"/>
          <w:szCs w:val="21"/>
        </w:rPr>
        <w:t>承包人应注意保护清理区域附近的天然植被，避免因施工不当造成清理区域附近林</w:t>
      </w:r>
      <w:r>
        <w:rPr>
          <w:rFonts w:hint="eastAsia" w:ascii="宋体" w:hAnsi="宋体"/>
          <w:sz w:val="21"/>
          <w:szCs w:val="21"/>
        </w:rPr>
        <w:t>业</w:t>
      </w:r>
      <w:r>
        <w:rPr>
          <w:rFonts w:ascii="宋体" w:hAnsi="宋体"/>
          <w:sz w:val="21"/>
          <w:szCs w:val="21"/>
        </w:rPr>
        <w:t>和天然植被资源的毁坏，以及对环境保护工作造成的不良后果</w:t>
      </w:r>
      <w:r>
        <w:rPr>
          <w:rFonts w:hint="eastAsia" w:ascii="宋体" w:hAnsi="宋体"/>
          <w:sz w:val="21"/>
          <w:szCs w:val="21"/>
        </w:rPr>
        <w:t>。</w:t>
      </w:r>
    </w:p>
    <w:p>
      <w:pPr>
        <w:snapToGrid w:val="0"/>
        <w:spacing w:line="360" w:lineRule="exact"/>
        <w:ind w:firstLine="420" w:firstLineChars="200"/>
        <w:rPr>
          <w:rFonts w:ascii="宋体" w:hAnsi="宋体"/>
          <w:sz w:val="21"/>
          <w:szCs w:val="21"/>
        </w:rPr>
      </w:pPr>
      <w:r>
        <w:rPr>
          <w:rFonts w:hint="eastAsia" w:ascii="宋体" w:hAnsi="宋体"/>
          <w:sz w:val="21"/>
          <w:szCs w:val="21"/>
        </w:rPr>
        <w:t>（4）</w:t>
      </w:r>
      <w:r>
        <w:rPr>
          <w:rFonts w:ascii="宋体" w:hAnsi="宋体"/>
          <w:sz w:val="21"/>
          <w:szCs w:val="21"/>
        </w:rPr>
        <w:t>场地清理范围内，承包人砍伐的成材或清理获得具有商业价值的材料应归发包人所有，承包人应按监理人指示将其运到指定地点。</w:t>
      </w:r>
    </w:p>
    <w:p>
      <w:pPr>
        <w:snapToGrid w:val="0"/>
        <w:spacing w:line="360" w:lineRule="exact"/>
        <w:ind w:firstLine="420" w:firstLineChars="200"/>
        <w:rPr>
          <w:rFonts w:ascii="宋体" w:hAnsi="宋体"/>
          <w:sz w:val="21"/>
          <w:szCs w:val="21"/>
        </w:rPr>
      </w:pPr>
      <w:r>
        <w:rPr>
          <w:rFonts w:hint="eastAsia" w:ascii="宋体" w:hAnsi="宋体"/>
          <w:sz w:val="21"/>
          <w:szCs w:val="21"/>
        </w:rPr>
        <w:t>（5）</w:t>
      </w:r>
      <w:r>
        <w:rPr>
          <w:rFonts w:ascii="宋体" w:hAnsi="宋体"/>
          <w:sz w:val="21"/>
          <w:szCs w:val="21"/>
        </w:rPr>
        <w:t>凡属无价值的可燃物，承包人应尽快将其焚毁，并按本技术条款第3章规定确保其周边地区的安全。承包人应按指定的地点掩埋废弃物，掩埋物不得妨碍自然排水或污染河川。</w:t>
      </w:r>
    </w:p>
    <w:p>
      <w:pPr>
        <w:snapToGrid w:val="0"/>
        <w:spacing w:line="360" w:lineRule="exact"/>
        <w:ind w:firstLine="420" w:firstLineChars="200"/>
        <w:rPr>
          <w:rFonts w:ascii="宋体" w:hAnsi="宋体"/>
          <w:sz w:val="21"/>
          <w:szCs w:val="21"/>
        </w:rPr>
      </w:pPr>
      <w:r>
        <w:rPr>
          <w:rFonts w:hint="eastAsia" w:ascii="宋体" w:hAnsi="宋体"/>
          <w:sz w:val="21"/>
          <w:szCs w:val="21"/>
        </w:rPr>
        <w:t>（6）</w:t>
      </w:r>
      <w:r>
        <w:rPr>
          <w:rFonts w:ascii="宋体" w:hAnsi="宋体"/>
          <w:sz w:val="21"/>
          <w:szCs w:val="21"/>
        </w:rPr>
        <w:t>场地清理中发现文物古迹，承包人应按本合同通用合同条款第</w:t>
      </w:r>
      <w:r>
        <w:rPr>
          <w:rFonts w:hint="eastAsia" w:ascii="宋体" w:hAnsi="宋体"/>
          <w:sz w:val="21"/>
          <w:szCs w:val="21"/>
        </w:rPr>
        <w:t>1.10</w:t>
      </w:r>
      <w:r>
        <w:rPr>
          <w:rFonts w:ascii="宋体" w:hAnsi="宋体"/>
          <w:sz w:val="21"/>
          <w:szCs w:val="21"/>
        </w:rPr>
        <w:t>款的约定办理。</w:t>
      </w:r>
    </w:p>
    <w:p>
      <w:pPr>
        <w:pStyle w:val="7"/>
        <w:snapToGrid w:val="0"/>
        <w:spacing w:line="360" w:lineRule="exact"/>
        <w:rPr>
          <w:rStyle w:val="47"/>
          <w:rFonts w:ascii="宋体" w:hAnsi="宋体"/>
          <w:color w:val="auto"/>
          <w:sz w:val="21"/>
          <w:szCs w:val="21"/>
        </w:rPr>
      </w:pPr>
      <w:r>
        <w:rPr>
          <w:rStyle w:val="47"/>
          <w:rFonts w:hint="eastAsia" w:ascii="宋体" w:hAnsi="宋体"/>
          <w:color w:val="auto"/>
          <w:sz w:val="21"/>
          <w:szCs w:val="21"/>
        </w:rPr>
        <w:t xml:space="preserve">5.2.2 </w:t>
      </w:r>
      <w:r>
        <w:rPr>
          <w:rStyle w:val="47"/>
          <w:rFonts w:ascii="宋体" w:hAnsi="宋体"/>
          <w:color w:val="auto"/>
          <w:sz w:val="21"/>
          <w:szCs w:val="21"/>
        </w:rPr>
        <w:t>表土的清挖、堆放和有机土壤的使用</w:t>
      </w:r>
    </w:p>
    <w:p>
      <w:pPr>
        <w:snapToGrid w:val="0"/>
        <w:spacing w:line="360" w:lineRule="exact"/>
        <w:ind w:firstLine="420" w:firstLineChars="200"/>
        <w:rPr>
          <w:rFonts w:ascii="宋体" w:hAnsi="宋体"/>
          <w:sz w:val="21"/>
          <w:szCs w:val="21"/>
        </w:rPr>
      </w:pPr>
      <w:r>
        <w:rPr>
          <w:rFonts w:ascii="宋体" w:hAnsi="宋体"/>
          <w:sz w:val="21"/>
          <w:szCs w:val="21"/>
        </w:rPr>
        <w:t>含细根须、草本植物及</w:t>
      </w:r>
      <w:r>
        <w:rPr>
          <w:rFonts w:hint="eastAsia" w:ascii="宋体" w:hAnsi="宋体"/>
          <w:sz w:val="21"/>
          <w:szCs w:val="21"/>
        </w:rPr>
        <w:t>覆</w:t>
      </w:r>
      <w:r>
        <w:rPr>
          <w:rFonts w:ascii="宋体" w:hAnsi="宋体"/>
          <w:sz w:val="21"/>
          <w:szCs w:val="21"/>
        </w:rPr>
        <w:t>盖草等植物的表层有机土壤，承包人应按监理人指示和本技术条款第</w:t>
      </w:r>
      <w:r>
        <w:rPr>
          <w:rFonts w:hint="eastAsia" w:ascii="宋体" w:hAnsi="宋体"/>
          <w:sz w:val="21"/>
          <w:szCs w:val="21"/>
        </w:rPr>
        <w:t>5.5</w:t>
      </w:r>
      <w:r>
        <w:rPr>
          <w:rFonts w:ascii="宋体" w:hAnsi="宋体"/>
          <w:sz w:val="21"/>
          <w:szCs w:val="21"/>
        </w:rPr>
        <w:t>节的规定合理使用有机土壤，并运到指定地点堆放保存，不得任意处置。</w:t>
      </w:r>
    </w:p>
    <w:p>
      <w:pPr>
        <w:pStyle w:val="6"/>
        <w:snapToGrid w:val="0"/>
        <w:spacing w:line="360" w:lineRule="exact"/>
        <w:rPr>
          <w:rStyle w:val="49"/>
          <w:rFonts w:hAnsi="宋体"/>
          <w:b/>
          <w:sz w:val="21"/>
          <w:szCs w:val="21"/>
        </w:rPr>
      </w:pPr>
      <w:bookmarkStart w:id="646" w:name="_Toc336255250"/>
      <w:bookmarkStart w:id="647" w:name="_Toc341965040"/>
      <w:bookmarkStart w:id="648" w:name="_Toc336325363"/>
      <w:bookmarkStart w:id="649" w:name="_Toc339983437"/>
      <w:bookmarkStart w:id="650" w:name="_Toc339482531"/>
      <w:bookmarkStart w:id="651" w:name="_Toc339224665"/>
      <w:bookmarkStart w:id="652" w:name="_Toc20200"/>
      <w:r>
        <w:rPr>
          <w:rStyle w:val="49"/>
          <w:rFonts w:hint="eastAsia" w:hAnsi="宋体"/>
          <w:b/>
          <w:sz w:val="21"/>
          <w:szCs w:val="21"/>
        </w:rPr>
        <w:t xml:space="preserve">5.3 </w:t>
      </w:r>
      <w:r>
        <w:rPr>
          <w:rStyle w:val="49"/>
          <w:rFonts w:hAnsi="宋体"/>
          <w:b/>
          <w:sz w:val="21"/>
          <w:szCs w:val="21"/>
        </w:rPr>
        <w:t>土方开</w:t>
      </w:r>
      <w:bookmarkEnd w:id="646"/>
      <w:r>
        <w:rPr>
          <w:rStyle w:val="49"/>
          <w:rFonts w:hint="eastAsia" w:hAnsi="宋体"/>
          <w:b/>
          <w:sz w:val="21"/>
          <w:szCs w:val="21"/>
        </w:rPr>
        <w:t>挖</w:t>
      </w:r>
      <w:bookmarkEnd w:id="647"/>
      <w:bookmarkEnd w:id="648"/>
      <w:bookmarkEnd w:id="649"/>
      <w:bookmarkEnd w:id="650"/>
      <w:bookmarkEnd w:id="651"/>
      <w:bookmarkEnd w:id="652"/>
    </w:p>
    <w:p>
      <w:pPr>
        <w:pStyle w:val="7"/>
        <w:snapToGrid w:val="0"/>
        <w:spacing w:line="360" w:lineRule="exact"/>
        <w:rPr>
          <w:rStyle w:val="47"/>
          <w:rFonts w:ascii="宋体" w:hAnsi="宋体"/>
          <w:color w:val="auto"/>
          <w:sz w:val="21"/>
          <w:szCs w:val="21"/>
        </w:rPr>
      </w:pPr>
      <w:r>
        <w:rPr>
          <w:rStyle w:val="47"/>
          <w:rFonts w:hint="eastAsia" w:ascii="宋体" w:hAnsi="宋体"/>
          <w:color w:val="auto"/>
          <w:sz w:val="21"/>
          <w:szCs w:val="21"/>
        </w:rPr>
        <w:t xml:space="preserve">5.3.1 </w:t>
      </w:r>
      <w:r>
        <w:rPr>
          <w:rStyle w:val="47"/>
          <w:rFonts w:ascii="宋体" w:hAnsi="宋体"/>
          <w:color w:val="auto"/>
          <w:sz w:val="21"/>
          <w:szCs w:val="21"/>
        </w:rPr>
        <w:t>土方定义</w:t>
      </w:r>
    </w:p>
    <w:p>
      <w:pPr>
        <w:snapToGrid w:val="0"/>
        <w:spacing w:line="360" w:lineRule="exact"/>
        <w:ind w:firstLine="420" w:firstLineChars="200"/>
        <w:rPr>
          <w:rFonts w:ascii="宋体" w:hAnsi="宋体"/>
          <w:sz w:val="21"/>
          <w:szCs w:val="21"/>
        </w:rPr>
      </w:pPr>
      <w:r>
        <w:rPr>
          <w:rFonts w:hint="eastAsia" w:ascii="宋体" w:hAnsi="宋体"/>
          <w:sz w:val="21"/>
          <w:szCs w:val="21"/>
        </w:rPr>
        <w:t>（1）</w:t>
      </w:r>
      <w:r>
        <w:rPr>
          <w:rFonts w:ascii="宋体" w:hAnsi="宋体"/>
          <w:sz w:val="21"/>
          <w:szCs w:val="21"/>
        </w:rPr>
        <w:t>指黄土、粘土、砂土（包括淤沙、粉砂、河砂等）、淤泥、砾质土、砂砾石、松散</w:t>
      </w:r>
      <w:r>
        <w:rPr>
          <w:rFonts w:hint="eastAsia" w:ascii="宋体" w:hAnsi="宋体"/>
          <w:sz w:val="21"/>
          <w:szCs w:val="21"/>
        </w:rPr>
        <w:t>坍</w:t>
      </w:r>
      <w:r>
        <w:rPr>
          <w:rFonts w:ascii="宋体" w:hAnsi="宋体"/>
          <w:sz w:val="21"/>
          <w:szCs w:val="21"/>
        </w:rPr>
        <w:t>塌体、石渣混合料、软弱的全风化岩体，无须采用爆破技术，直接用手工工具或土方开挖机械进行开挖的土方工程。</w:t>
      </w:r>
    </w:p>
    <w:p>
      <w:pPr>
        <w:snapToGrid w:val="0"/>
        <w:spacing w:line="360" w:lineRule="exact"/>
        <w:ind w:firstLine="420" w:firstLineChars="200"/>
        <w:rPr>
          <w:rFonts w:ascii="宋体" w:hAnsi="宋体"/>
          <w:sz w:val="21"/>
          <w:szCs w:val="21"/>
        </w:rPr>
      </w:pPr>
      <w:r>
        <w:rPr>
          <w:rFonts w:hint="eastAsia" w:ascii="宋体" w:hAnsi="宋体"/>
          <w:sz w:val="21"/>
          <w:szCs w:val="21"/>
        </w:rPr>
        <w:t>（2）</w:t>
      </w:r>
      <w:r>
        <w:rPr>
          <w:rFonts w:ascii="宋体" w:hAnsi="宋体"/>
          <w:sz w:val="21"/>
          <w:szCs w:val="21"/>
        </w:rPr>
        <w:t>土类开挖级别划分，应符合SL 303</w:t>
      </w:r>
      <w:r>
        <w:rPr>
          <w:rFonts w:hint="eastAsia" w:ascii="宋体" w:hAnsi="宋体"/>
          <w:sz w:val="21"/>
          <w:szCs w:val="21"/>
        </w:rPr>
        <w:t>-2017</w:t>
      </w:r>
      <w:r>
        <w:rPr>
          <w:rFonts w:ascii="宋体" w:hAnsi="宋体"/>
          <w:sz w:val="21"/>
          <w:szCs w:val="21"/>
        </w:rPr>
        <w:t>表C</w:t>
      </w:r>
      <w:r>
        <w:rPr>
          <w:rFonts w:hint="eastAsia" w:ascii="宋体" w:hAnsi="宋体"/>
          <w:sz w:val="21"/>
          <w:szCs w:val="21"/>
        </w:rPr>
        <w:t>.</w:t>
      </w:r>
      <w:r>
        <w:rPr>
          <w:rFonts w:ascii="宋体" w:hAnsi="宋体"/>
          <w:sz w:val="21"/>
          <w:szCs w:val="21"/>
        </w:rPr>
        <w:t>1</w:t>
      </w:r>
      <w:r>
        <w:rPr>
          <w:rFonts w:hint="eastAsia" w:ascii="宋体" w:hAnsi="宋体"/>
          <w:sz w:val="21"/>
          <w:szCs w:val="21"/>
        </w:rPr>
        <w:t>.</w:t>
      </w:r>
      <w:r>
        <w:rPr>
          <w:rFonts w:ascii="宋体" w:hAnsi="宋体"/>
          <w:sz w:val="21"/>
          <w:szCs w:val="21"/>
        </w:rPr>
        <w:t>1的规定。</w:t>
      </w:r>
    </w:p>
    <w:p>
      <w:pPr>
        <w:pStyle w:val="7"/>
        <w:snapToGrid w:val="0"/>
        <w:spacing w:line="360" w:lineRule="exact"/>
        <w:rPr>
          <w:rStyle w:val="47"/>
          <w:rFonts w:ascii="宋体" w:hAnsi="宋体"/>
          <w:color w:val="auto"/>
          <w:sz w:val="21"/>
          <w:szCs w:val="21"/>
        </w:rPr>
      </w:pPr>
      <w:r>
        <w:rPr>
          <w:rStyle w:val="47"/>
          <w:rFonts w:hint="eastAsia" w:ascii="宋体" w:hAnsi="宋体"/>
          <w:color w:val="auto"/>
          <w:sz w:val="21"/>
          <w:szCs w:val="21"/>
        </w:rPr>
        <w:t xml:space="preserve">5.3.2 </w:t>
      </w:r>
      <w:r>
        <w:rPr>
          <w:rStyle w:val="47"/>
          <w:rFonts w:ascii="宋体" w:hAnsi="宋体"/>
          <w:color w:val="auto"/>
          <w:sz w:val="21"/>
          <w:szCs w:val="21"/>
        </w:rPr>
        <w:t>开挖区临时道路</w:t>
      </w:r>
    </w:p>
    <w:p>
      <w:pPr>
        <w:snapToGrid w:val="0"/>
        <w:spacing w:line="360" w:lineRule="exact"/>
        <w:ind w:firstLine="420" w:firstLineChars="200"/>
        <w:rPr>
          <w:rFonts w:ascii="宋体" w:hAnsi="宋体"/>
          <w:sz w:val="21"/>
          <w:szCs w:val="21"/>
        </w:rPr>
      </w:pPr>
      <w:r>
        <w:rPr>
          <w:rFonts w:ascii="宋体" w:hAnsi="宋体"/>
          <w:sz w:val="21"/>
          <w:szCs w:val="21"/>
        </w:rPr>
        <w:t>承包人应按SL 303</w:t>
      </w:r>
      <w:r>
        <w:rPr>
          <w:rFonts w:hint="eastAsia" w:ascii="宋体" w:hAnsi="宋体"/>
          <w:sz w:val="21"/>
          <w:szCs w:val="21"/>
        </w:rPr>
        <w:t>-2017</w:t>
      </w:r>
      <w:r>
        <w:rPr>
          <w:rFonts w:ascii="宋体" w:hAnsi="宋体"/>
          <w:sz w:val="21"/>
          <w:szCs w:val="21"/>
        </w:rPr>
        <w:t>第5</w:t>
      </w:r>
      <w:r>
        <w:rPr>
          <w:rFonts w:hint="eastAsia" w:ascii="宋体" w:hAnsi="宋体"/>
          <w:sz w:val="21"/>
          <w:szCs w:val="21"/>
        </w:rPr>
        <w:t>.3</w:t>
      </w:r>
      <w:r>
        <w:rPr>
          <w:rFonts w:ascii="宋体" w:hAnsi="宋体"/>
          <w:sz w:val="21"/>
          <w:szCs w:val="21"/>
        </w:rPr>
        <w:t>节的规定，以及监理人批准的施工总布置设计进行场内交通道路布置。</w:t>
      </w:r>
    </w:p>
    <w:p>
      <w:pPr>
        <w:pStyle w:val="7"/>
        <w:snapToGrid w:val="0"/>
        <w:spacing w:line="360" w:lineRule="exact"/>
        <w:rPr>
          <w:rStyle w:val="47"/>
          <w:rFonts w:ascii="宋体" w:hAnsi="宋体"/>
          <w:color w:val="auto"/>
          <w:sz w:val="21"/>
          <w:szCs w:val="21"/>
        </w:rPr>
      </w:pPr>
      <w:r>
        <w:rPr>
          <w:rStyle w:val="47"/>
          <w:rFonts w:ascii="宋体" w:hAnsi="宋体"/>
          <w:color w:val="auto"/>
          <w:sz w:val="21"/>
          <w:szCs w:val="21"/>
        </w:rPr>
        <w:t>5.</w:t>
      </w:r>
      <w:r>
        <w:rPr>
          <w:rStyle w:val="47"/>
          <w:rFonts w:hint="eastAsia" w:ascii="宋体" w:hAnsi="宋体"/>
          <w:color w:val="auto"/>
          <w:sz w:val="21"/>
          <w:szCs w:val="21"/>
        </w:rPr>
        <w:t>3.3</w:t>
      </w:r>
      <w:r>
        <w:rPr>
          <w:rStyle w:val="47"/>
          <w:rFonts w:ascii="宋体" w:hAnsi="宋体"/>
          <w:color w:val="auto"/>
          <w:sz w:val="21"/>
          <w:szCs w:val="21"/>
        </w:rPr>
        <w:t>校核测量</w:t>
      </w:r>
    </w:p>
    <w:p>
      <w:pPr>
        <w:snapToGrid w:val="0"/>
        <w:spacing w:line="360" w:lineRule="exact"/>
        <w:ind w:firstLine="420" w:firstLineChars="200"/>
        <w:rPr>
          <w:rFonts w:ascii="宋体" w:hAnsi="宋体"/>
          <w:sz w:val="21"/>
          <w:szCs w:val="21"/>
        </w:rPr>
      </w:pPr>
      <w:r>
        <w:rPr>
          <w:rFonts w:ascii="宋体" w:hAnsi="宋体"/>
          <w:sz w:val="21"/>
          <w:szCs w:val="21"/>
        </w:rPr>
        <w:t>承包人应按施工图纸的要求，校核测量开挖区域的平面位置、水平标高、控制桩号、水准点和边坡坡度等。监理人有权随时抽验承包人的校核测量成果，有必要时，监理人可与承包人联合进行校核测量。</w:t>
      </w:r>
    </w:p>
    <w:p>
      <w:pPr>
        <w:pStyle w:val="7"/>
        <w:snapToGrid w:val="0"/>
        <w:spacing w:line="360" w:lineRule="exact"/>
        <w:rPr>
          <w:rStyle w:val="47"/>
          <w:rFonts w:ascii="宋体" w:hAnsi="宋体"/>
          <w:color w:val="auto"/>
          <w:sz w:val="21"/>
          <w:szCs w:val="21"/>
        </w:rPr>
      </w:pPr>
      <w:r>
        <w:rPr>
          <w:rStyle w:val="47"/>
          <w:rFonts w:hint="eastAsia" w:ascii="宋体" w:hAnsi="宋体"/>
          <w:color w:val="auto"/>
          <w:sz w:val="21"/>
          <w:szCs w:val="21"/>
        </w:rPr>
        <w:t xml:space="preserve">5.3.4 </w:t>
      </w:r>
      <w:r>
        <w:rPr>
          <w:rStyle w:val="47"/>
          <w:rFonts w:ascii="宋体" w:hAnsi="宋体"/>
          <w:color w:val="auto"/>
          <w:sz w:val="21"/>
          <w:szCs w:val="21"/>
        </w:rPr>
        <w:t>临时边坡的稳定</w:t>
      </w:r>
    </w:p>
    <w:p>
      <w:pPr>
        <w:snapToGrid w:val="0"/>
        <w:spacing w:line="360" w:lineRule="exact"/>
        <w:ind w:firstLine="420" w:firstLineChars="200"/>
        <w:rPr>
          <w:rFonts w:ascii="宋体" w:hAnsi="宋体"/>
          <w:sz w:val="21"/>
          <w:szCs w:val="21"/>
        </w:rPr>
      </w:pPr>
      <w:r>
        <w:rPr>
          <w:rFonts w:ascii="宋体" w:hAnsi="宋体"/>
          <w:sz w:val="21"/>
          <w:szCs w:val="21"/>
        </w:rPr>
        <w:t>主体工程的临时开挖边坡，应按施工图纸所示或监理人指示进行开挖。对于承包人自行确定的开挖边坡，或临时边坡保留时间过长，经监理人检查有不安全因素时，承包人应立即进行补充开挖和采取保护措施。</w:t>
      </w:r>
    </w:p>
    <w:p>
      <w:pPr>
        <w:pStyle w:val="7"/>
        <w:snapToGrid w:val="0"/>
        <w:spacing w:line="360" w:lineRule="exact"/>
        <w:rPr>
          <w:rStyle w:val="47"/>
          <w:rFonts w:ascii="宋体" w:hAnsi="宋体"/>
          <w:color w:val="auto"/>
          <w:sz w:val="21"/>
          <w:szCs w:val="21"/>
        </w:rPr>
      </w:pPr>
      <w:r>
        <w:rPr>
          <w:rStyle w:val="47"/>
          <w:rFonts w:hint="eastAsia" w:ascii="宋体" w:hAnsi="宋体"/>
          <w:color w:val="auto"/>
          <w:sz w:val="21"/>
          <w:szCs w:val="21"/>
        </w:rPr>
        <w:t xml:space="preserve">5.3.5 </w:t>
      </w:r>
      <w:r>
        <w:rPr>
          <w:rStyle w:val="47"/>
          <w:rFonts w:ascii="宋体" w:hAnsi="宋体"/>
          <w:color w:val="auto"/>
          <w:sz w:val="21"/>
          <w:szCs w:val="21"/>
        </w:rPr>
        <w:t>基础和边坡开挖</w:t>
      </w:r>
    </w:p>
    <w:p>
      <w:pPr>
        <w:snapToGrid w:val="0"/>
        <w:spacing w:line="360" w:lineRule="exact"/>
        <w:ind w:firstLine="420" w:firstLineChars="200"/>
        <w:rPr>
          <w:rFonts w:ascii="宋体" w:hAnsi="宋体"/>
          <w:sz w:val="21"/>
          <w:szCs w:val="21"/>
        </w:rPr>
      </w:pPr>
      <w:r>
        <w:rPr>
          <w:rFonts w:ascii="宋体" w:hAnsi="宋体"/>
          <w:sz w:val="21"/>
          <w:szCs w:val="21"/>
        </w:rPr>
        <w:t>基础和边坡开挖的施工方法应符合SL 303</w:t>
      </w:r>
      <w:r>
        <w:rPr>
          <w:rFonts w:hint="eastAsia" w:ascii="宋体" w:hAnsi="宋体"/>
          <w:sz w:val="21"/>
          <w:szCs w:val="21"/>
        </w:rPr>
        <w:t>-2017</w:t>
      </w:r>
      <w:r>
        <w:rPr>
          <w:rFonts w:ascii="宋体" w:hAnsi="宋体"/>
          <w:sz w:val="21"/>
          <w:szCs w:val="21"/>
        </w:rPr>
        <w:t>第4. 2节的规定。</w:t>
      </w:r>
    </w:p>
    <w:p>
      <w:pPr>
        <w:pStyle w:val="7"/>
        <w:snapToGrid w:val="0"/>
        <w:spacing w:line="360" w:lineRule="exact"/>
        <w:rPr>
          <w:rStyle w:val="47"/>
          <w:rFonts w:ascii="宋体" w:hAnsi="宋体"/>
          <w:color w:val="auto"/>
          <w:sz w:val="21"/>
          <w:szCs w:val="21"/>
        </w:rPr>
      </w:pPr>
      <w:r>
        <w:rPr>
          <w:rStyle w:val="47"/>
          <w:rFonts w:hint="eastAsia" w:ascii="宋体" w:hAnsi="宋体"/>
          <w:color w:val="auto"/>
          <w:sz w:val="21"/>
          <w:szCs w:val="21"/>
        </w:rPr>
        <w:t xml:space="preserve">5.3.6 </w:t>
      </w:r>
      <w:r>
        <w:rPr>
          <w:rStyle w:val="47"/>
          <w:rFonts w:ascii="宋体" w:hAnsi="宋体"/>
          <w:color w:val="auto"/>
          <w:sz w:val="21"/>
          <w:szCs w:val="21"/>
        </w:rPr>
        <w:t>边坡的护面和加固</w:t>
      </w:r>
    </w:p>
    <w:p>
      <w:pPr>
        <w:snapToGrid w:val="0"/>
        <w:spacing w:line="360" w:lineRule="exact"/>
        <w:ind w:firstLine="420" w:firstLineChars="200"/>
        <w:rPr>
          <w:rFonts w:ascii="宋体" w:hAnsi="宋体"/>
          <w:sz w:val="21"/>
          <w:szCs w:val="21"/>
        </w:rPr>
      </w:pPr>
      <w:r>
        <w:rPr>
          <w:rFonts w:ascii="宋体" w:hAnsi="宋体"/>
          <w:sz w:val="21"/>
          <w:szCs w:val="21"/>
        </w:rPr>
        <w:t>为防止修整后的开挖边坡遭受雨水冲刷，边坡的护面和加固工作应在雨季前严格按施图纸要求完成。冬季施工的开挖边坡修整及其护面和加固工作，应在解冻后进行。</w:t>
      </w:r>
    </w:p>
    <w:p>
      <w:pPr>
        <w:pStyle w:val="7"/>
        <w:snapToGrid w:val="0"/>
        <w:spacing w:line="360" w:lineRule="exact"/>
        <w:rPr>
          <w:rStyle w:val="47"/>
          <w:rFonts w:ascii="宋体" w:hAnsi="宋体"/>
          <w:color w:val="auto"/>
          <w:sz w:val="21"/>
          <w:szCs w:val="21"/>
        </w:rPr>
      </w:pPr>
      <w:r>
        <w:rPr>
          <w:rStyle w:val="47"/>
          <w:rFonts w:hint="eastAsia" w:ascii="宋体" w:hAnsi="宋体"/>
          <w:color w:val="auto"/>
          <w:sz w:val="21"/>
          <w:szCs w:val="21"/>
        </w:rPr>
        <w:t xml:space="preserve">5.3.7 </w:t>
      </w:r>
      <w:r>
        <w:rPr>
          <w:rStyle w:val="47"/>
          <w:rFonts w:ascii="宋体" w:hAnsi="宋体"/>
          <w:color w:val="auto"/>
          <w:sz w:val="21"/>
          <w:szCs w:val="21"/>
        </w:rPr>
        <w:t>开挖线的变更</w:t>
      </w:r>
    </w:p>
    <w:p>
      <w:pPr>
        <w:snapToGrid w:val="0"/>
        <w:spacing w:line="360" w:lineRule="exact"/>
        <w:ind w:firstLine="420" w:firstLineChars="200"/>
        <w:rPr>
          <w:rFonts w:ascii="宋体" w:hAnsi="宋体"/>
          <w:sz w:val="21"/>
          <w:szCs w:val="21"/>
        </w:rPr>
      </w:pPr>
      <w:r>
        <w:rPr>
          <w:rFonts w:ascii="宋体" w:hAnsi="宋体"/>
          <w:sz w:val="21"/>
          <w:szCs w:val="21"/>
        </w:rPr>
        <w:t>在开挖过程中，经监理人批准，承包人可根据土方明挖边坡和基础揭示的地质特性，</w:t>
      </w:r>
      <w:r>
        <w:rPr>
          <w:rFonts w:hint="eastAsia" w:ascii="宋体" w:hAnsi="宋体"/>
          <w:sz w:val="21"/>
          <w:szCs w:val="21"/>
        </w:rPr>
        <w:t>对</w:t>
      </w:r>
      <w:r>
        <w:rPr>
          <w:rFonts w:ascii="宋体" w:hAnsi="宋体"/>
          <w:sz w:val="21"/>
          <w:szCs w:val="21"/>
        </w:rPr>
        <w:t>施工图纸所示的开挖线作必要修改，涉及合同变更的，应按本合同通用合同条款第15条约定办理。</w:t>
      </w:r>
    </w:p>
    <w:p>
      <w:pPr>
        <w:pStyle w:val="7"/>
        <w:snapToGrid w:val="0"/>
        <w:spacing w:line="360" w:lineRule="exact"/>
        <w:rPr>
          <w:rStyle w:val="47"/>
          <w:rFonts w:ascii="宋体" w:hAnsi="宋体"/>
          <w:color w:val="auto"/>
          <w:sz w:val="21"/>
          <w:szCs w:val="21"/>
        </w:rPr>
      </w:pPr>
      <w:r>
        <w:rPr>
          <w:rStyle w:val="47"/>
          <w:rFonts w:hint="eastAsia" w:ascii="宋体" w:hAnsi="宋体"/>
          <w:color w:val="auto"/>
          <w:sz w:val="21"/>
          <w:szCs w:val="21"/>
        </w:rPr>
        <w:t xml:space="preserve">5.3.8 </w:t>
      </w:r>
      <w:r>
        <w:rPr>
          <w:rStyle w:val="47"/>
          <w:rFonts w:ascii="宋体" w:hAnsi="宋体"/>
          <w:color w:val="auto"/>
          <w:sz w:val="21"/>
          <w:szCs w:val="21"/>
        </w:rPr>
        <w:t>边坡安全的应急措施</w:t>
      </w:r>
    </w:p>
    <w:p>
      <w:pPr>
        <w:snapToGrid w:val="0"/>
        <w:spacing w:line="360" w:lineRule="exact"/>
        <w:ind w:firstLine="420" w:firstLineChars="200"/>
        <w:rPr>
          <w:rFonts w:ascii="宋体" w:hAnsi="宋体"/>
          <w:sz w:val="21"/>
          <w:szCs w:val="21"/>
        </w:rPr>
      </w:pPr>
      <w:r>
        <w:rPr>
          <w:rFonts w:ascii="宋体" w:hAnsi="宋体"/>
          <w:sz w:val="21"/>
          <w:szCs w:val="21"/>
        </w:rPr>
        <w:t>若开挖过程中出现裂缝和滑动迹象时，承包人应立即暂停施工，并通知监理人。必</w:t>
      </w:r>
      <w:r>
        <w:rPr>
          <w:rFonts w:hint="eastAsia" w:ascii="宋体" w:hAnsi="宋体"/>
          <w:sz w:val="21"/>
          <w:szCs w:val="21"/>
        </w:rPr>
        <w:t>要时</w:t>
      </w:r>
      <w:r>
        <w:rPr>
          <w:rFonts w:ascii="宋体" w:hAnsi="宋体"/>
          <w:sz w:val="21"/>
          <w:szCs w:val="21"/>
        </w:rPr>
        <w:t>承包人应按监理人的指示设置观测点，及时观测边坡变化情况，并做好记录。</w:t>
      </w:r>
    </w:p>
    <w:p>
      <w:pPr>
        <w:pStyle w:val="6"/>
        <w:snapToGrid w:val="0"/>
        <w:spacing w:line="360" w:lineRule="exact"/>
        <w:rPr>
          <w:rStyle w:val="49"/>
          <w:rFonts w:hAnsi="宋体"/>
          <w:b/>
          <w:sz w:val="21"/>
          <w:szCs w:val="21"/>
        </w:rPr>
      </w:pPr>
      <w:bookmarkStart w:id="653" w:name="_Toc339983438"/>
      <w:bookmarkStart w:id="654" w:name="_Toc339224666"/>
      <w:bookmarkStart w:id="655" w:name="_Toc11442"/>
      <w:bookmarkStart w:id="656" w:name="_Toc336255251"/>
      <w:bookmarkStart w:id="657" w:name="_Toc341965041"/>
      <w:bookmarkStart w:id="658" w:name="_Toc336325364"/>
      <w:bookmarkStart w:id="659" w:name="_Toc339482532"/>
      <w:r>
        <w:rPr>
          <w:rStyle w:val="49"/>
          <w:rFonts w:hint="eastAsia" w:hAnsi="宋体"/>
          <w:b/>
          <w:sz w:val="21"/>
          <w:szCs w:val="21"/>
        </w:rPr>
        <w:t xml:space="preserve">5.4 </w:t>
      </w:r>
      <w:r>
        <w:rPr>
          <w:rStyle w:val="49"/>
          <w:rFonts w:hAnsi="宋体"/>
          <w:b/>
          <w:sz w:val="21"/>
          <w:szCs w:val="21"/>
        </w:rPr>
        <w:t>施工期临时排水</w:t>
      </w:r>
      <w:bookmarkEnd w:id="653"/>
      <w:bookmarkEnd w:id="654"/>
      <w:bookmarkEnd w:id="655"/>
      <w:bookmarkEnd w:id="656"/>
      <w:bookmarkEnd w:id="657"/>
      <w:bookmarkEnd w:id="658"/>
      <w:bookmarkEnd w:id="659"/>
    </w:p>
    <w:p>
      <w:pPr>
        <w:pStyle w:val="7"/>
        <w:snapToGrid w:val="0"/>
        <w:spacing w:line="360" w:lineRule="exact"/>
        <w:rPr>
          <w:rStyle w:val="47"/>
          <w:rFonts w:ascii="宋体" w:hAnsi="宋体"/>
          <w:color w:val="auto"/>
          <w:sz w:val="21"/>
          <w:szCs w:val="21"/>
        </w:rPr>
      </w:pPr>
      <w:r>
        <w:rPr>
          <w:rStyle w:val="47"/>
          <w:rFonts w:hint="eastAsia" w:ascii="宋体" w:hAnsi="宋体"/>
          <w:color w:val="auto"/>
          <w:sz w:val="21"/>
          <w:szCs w:val="21"/>
        </w:rPr>
        <w:t xml:space="preserve">5.4.1 </w:t>
      </w:r>
      <w:r>
        <w:rPr>
          <w:rStyle w:val="47"/>
          <w:rFonts w:ascii="宋体" w:hAnsi="宋体"/>
          <w:color w:val="auto"/>
          <w:sz w:val="21"/>
          <w:szCs w:val="21"/>
        </w:rPr>
        <w:t>排水措施</w:t>
      </w:r>
    </w:p>
    <w:p>
      <w:pPr>
        <w:snapToGrid w:val="0"/>
        <w:spacing w:line="360" w:lineRule="exact"/>
        <w:ind w:firstLine="420" w:firstLineChars="200"/>
        <w:rPr>
          <w:rFonts w:ascii="宋体" w:hAnsi="宋体"/>
          <w:sz w:val="21"/>
          <w:szCs w:val="21"/>
        </w:rPr>
      </w:pPr>
      <w:r>
        <w:rPr>
          <w:rFonts w:hint="eastAsia" w:ascii="宋体" w:hAnsi="宋体"/>
          <w:sz w:val="21"/>
          <w:szCs w:val="21"/>
        </w:rPr>
        <w:t>（1）</w:t>
      </w:r>
      <w:r>
        <w:rPr>
          <w:rFonts w:ascii="宋体" w:hAnsi="宋体"/>
          <w:sz w:val="21"/>
          <w:szCs w:val="21"/>
        </w:rPr>
        <w:t>承包人应在每项开挖工程开始前，结合永久性排水设施的布置，规划好开挖区域</w:t>
      </w:r>
      <w:r>
        <w:rPr>
          <w:rFonts w:hint="eastAsia" w:ascii="宋体" w:hAnsi="宋体"/>
          <w:sz w:val="21"/>
          <w:szCs w:val="21"/>
        </w:rPr>
        <w:t>内</w:t>
      </w:r>
      <w:r>
        <w:rPr>
          <w:rFonts w:ascii="宋体" w:hAnsi="宋体"/>
          <w:sz w:val="21"/>
          <w:szCs w:val="21"/>
        </w:rPr>
        <w:t>的临时性排水措施，保证主体工程建筑物的基础开挖在干地施工。</w:t>
      </w:r>
    </w:p>
    <w:p>
      <w:pPr>
        <w:snapToGrid w:val="0"/>
        <w:spacing w:line="360" w:lineRule="exact"/>
        <w:ind w:firstLine="420" w:firstLineChars="200"/>
        <w:rPr>
          <w:rFonts w:ascii="宋体" w:hAnsi="宋体"/>
          <w:sz w:val="21"/>
          <w:szCs w:val="21"/>
        </w:rPr>
      </w:pPr>
      <w:r>
        <w:rPr>
          <w:rFonts w:hint="eastAsia" w:ascii="宋体" w:hAnsi="宋体"/>
          <w:sz w:val="21"/>
          <w:szCs w:val="21"/>
        </w:rPr>
        <w:t>（2）</w:t>
      </w:r>
      <w:r>
        <w:rPr>
          <w:rFonts w:ascii="宋体" w:hAnsi="宋体"/>
          <w:sz w:val="21"/>
          <w:szCs w:val="21"/>
        </w:rPr>
        <w:t>承包人应在边坡开挖前，按施工图纸要求完成边坡上部永久性山坡截水沟的开挖</w:t>
      </w:r>
      <w:r>
        <w:rPr>
          <w:rFonts w:hint="eastAsia" w:ascii="宋体" w:hAnsi="宋体"/>
          <w:sz w:val="21"/>
          <w:szCs w:val="21"/>
        </w:rPr>
        <w:t>和</w:t>
      </w:r>
      <w:r>
        <w:rPr>
          <w:rFonts w:ascii="宋体" w:hAnsi="宋体"/>
          <w:sz w:val="21"/>
          <w:szCs w:val="21"/>
        </w:rPr>
        <w:t>衬护。对其上部未设置永久性山坡截水沟的边坡面，应由承包人自行加设</w:t>
      </w:r>
      <w:r>
        <w:rPr>
          <w:rFonts w:hint="eastAsia" w:ascii="宋体" w:hAnsi="宋体"/>
          <w:sz w:val="21"/>
          <w:szCs w:val="21"/>
        </w:rPr>
        <w:t>临</w:t>
      </w:r>
      <w:r>
        <w:rPr>
          <w:rFonts w:ascii="宋体" w:hAnsi="宋体"/>
          <w:sz w:val="21"/>
          <w:szCs w:val="21"/>
        </w:rPr>
        <w:t>时性山</w:t>
      </w:r>
      <w:r>
        <w:rPr>
          <w:rFonts w:hint="eastAsia" w:ascii="宋体" w:hAnsi="宋体"/>
          <w:sz w:val="21"/>
          <w:szCs w:val="21"/>
        </w:rPr>
        <w:t>坡截</w:t>
      </w:r>
      <w:r>
        <w:rPr>
          <w:rFonts w:ascii="宋体" w:hAnsi="宋体"/>
          <w:sz w:val="21"/>
          <w:szCs w:val="21"/>
        </w:rPr>
        <w:t>水沟。</w:t>
      </w:r>
    </w:p>
    <w:p>
      <w:pPr>
        <w:snapToGrid w:val="0"/>
        <w:spacing w:line="360" w:lineRule="exact"/>
        <w:ind w:firstLine="420" w:firstLineChars="200"/>
        <w:rPr>
          <w:rFonts w:ascii="宋体" w:hAnsi="宋体"/>
          <w:sz w:val="21"/>
          <w:szCs w:val="21"/>
        </w:rPr>
      </w:pPr>
      <w:r>
        <w:rPr>
          <w:rFonts w:hint="eastAsia" w:ascii="宋体" w:hAnsi="宋体"/>
          <w:sz w:val="21"/>
          <w:szCs w:val="21"/>
        </w:rPr>
        <w:t>（3）</w:t>
      </w:r>
      <w:r>
        <w:rPr>
          <w:rFonts w:ascii="宋体" w:hAnsi="宋体"/>
          <w:sz w:val="21"/>
          <w:szCs w:val="21"/>
        </w:rPr>
        <w:t>在开挖过程中，承包人应做好地面排水设施，包括保持必要的地面排水坡度、设</w:t>
      </w:r>
      <w:r>
        <w:rPr>
          <w:rFonts w:hint="eastAsia" w:ascii="宋体" w:hAnsi="宋体"/>
          <w:sz w:val="21"/>
          <w:szCs w:val="21"/>
        </w:rPr>
        <w:t>置</w:t>
      </w:r>
      <w:r>
        <w:rPr>
          <w:rFonts w:ascii="宋体" w:hAnsi="宋体"/>
          <w:sz w:val="21"/>
          <w:szCs w:val="21"/>
        </w:rPr>
        <w:t>临时坑槽、使用机械排除积水，以及开挖排水沟道排走雨水和地面积水等。</w:t>
      </w:r>
    </w:p>
    <w:p>
      <w:pPr>
        <w:snapToGrid w:val="0"/>
        <w:spacing w:line="360" w:lineRule="exact"/>
        <w:ind w:firstLine="420" w:firstLineChars="200"/>
        <w:rPr>
          <w:rFonts w:ascii="宋体" w:hAnsi="宋体"/>
          <w:sz w:val="21"/>
          <w:szCs w:val="21"/>
        </w:rPr>
      </w:pPr>
      <w:r>
        <w:rPr>
          <w:rFonts w:hint="eastAsia" w:ascii="宋体" w:hAnsi="宋体"/>
          <w:sz w:val="21"/>
          <w:szCs w:val="21"/>
        </w:rPr>
        <w:t>（4）</w:t>
      </w:r>
      <w:r>
        <w:rPr>
          <w:rFonts w:ascii="宋体" w:hAnsi="宋体"/>
          <w:sz w:val="21"/>
          <w:szCs w:val="21"/>
        </w:rPr>
        <w:t>在平地或凹地进行开挖时，承包人应在开挖区周围设置挡水堤和开挖周边排水</w:t>
      </w:r>
      <w:r>
        <w:rPr>
          <w:rFonts w:hint="eastAsia" w:ascii="宋体" w:hAnsi="宋体"/>
          <w:sz w:val="21"/>
          <w:szCs w:val="21"/>
        </w:rPr>
        <w:t>沟，</w:t>
      </w:r>
      <w:r>
        <w:rPr>
          <w:rFonts w:ascii="宋体" w:hAnsi="宋体"/>
          <w:sz w:val="21"/>
          <w:szCs w:val="21"/>
        </w:rPr>
        <w:t>以及采取集水坑抽水等措施，阻止场外水流进</w:t>
      </w:r>
      <w:r>
        <w:rPr>
          <w:rFonts w:hint="eastAsia" w:ascii="宋体" w:hAnsi="宋体"/>
          <w:sz w:val="21"/>
          <w:szCs w:val="21"/>
        </w:rPr>
        <w:t>入</w:t>
      </w:r>
      <w:r>
        <w:rPr>
          <w:rFonts w:ascii="宋体" w:hAnsi="宋体"/>
          <w:sz w:val="21"/>
          <w:szCs w:val="21"/>
        </w:rPr>
        <w:t>场地，并有效排除积水。</w:t>
      </w:r>
    </w:p>
    <w:p>
      <w:pPr>
        <w:pStyle w:val="7"/>
        <w:snapToGrid w:val="0"/>
        <w:spacing w:line="360" w:lineRule="exact"/>
        <w:rPr>
          <w:rStyle w:val="47"/>
          <w:rFonts w:ascii="宋体" w:hAnsi="宋体"/>
          <w:color w:val="auto"/>
          <w:sz w:val="21"/>
          <w:szCs w:val="21"/>
        </w:rPr>
      </w:pPr>
      <w:r>
        <w:rPr>
          <w:rStyle w:val="47"/>
          <w:rFonts w:hint="eastAsia" w:ascii="宋体" w:hAnsi="宋体"/>
          <w:color w:val="auto"/>
          <w:sz w:val="21"/>
          <w:szCs w:val="21"/>
        </w:rPr>
        <w:t xml:space="preserve">5.4.2 </w:t>
      </w:r>
      <w:r>
        <w:rPr>
          <w:rStyle w:val="47"/>
          <w:rFonts w:ascii="宋体" w:hAnsi="宋体"/>
          <w:color w:val="auto"/>
          <w:sz w:val="21"/>
          <w:szCs w:val="21"/>
        </w:rPr>
        <w:t>保护永久建筑物和永久边坡免受冲刷</w:t>
      </w:r>
    </w:p>
    <w:p>
      <w:pPr>
        <w:snapToGrid w:val="0"/>
        <w:spacing w:line="360" w:lineRule="exact"/>
        <w:ind w:firstLine="420" w:firstLineChars="200"/>
        <w:rPr>
          <w:rFonts w:ascii="宋体" w:hAnsi="宋体"/>
          <w:sz w:val="21"/>
          <w:szCs w:val="21"/>
        </w:rPr>
      </w:pPr>
      <w:r>
        <w:rPr>
          <w:rFonts w:ascii="宋体" w:hAnsi="宋体"/>
          <w:sz w:val="21"/>
          <w:szCs w:val="21"/>
        </w:rPr>
        <w:t>承包人的临时排水措施，应注意保护已开挖的永久边坡面及附近建筑物及其基础免受</w:t>
      </w:r>
      <w:r>
        <w:rPr>
          <w:rFonts w:hint="eastAsia" w:ascii="宋体" w:hAnsi="宋体"/>
          <w:sz w:val="21"/>
          <w:szCs w:val="21"/>
        </w:rPr>
        <w:t>冲</w:t>
      </w:r>
      <w:r>
        <w:rPr>
          <w:rFonts w:ascii="宋体" w:hAnsi="宋体"/>
          <w:sz w:val="21"/>
          <w:szCs w:val="21"/>
        </w:rPr>
        <w:t>刷和侵蚀破坏。</w:t>
      </w:r>
    </w:p>
    <w:p>
      <w:pPr>
        <w:pStyle w:val="6"/>
        <w:snapToGrid w:val="0"/>
        <w:spacing w:line="360" w:lineRule="exact"/>
        <w:rPr>
          <w:rStyle w:val="49"/>
          <w:rFonts w:hAnsi="宋体"/>
          <w:b/>
          <w:sz w:val="21"/>
          <w:szCs w:val="21"/>
        </w:rPr>
      </w:pPr>
      <w:bookmarkStart w:id="660" w:name="_Toc339482533"/>
      <w:bookmarkStart w:id="661" w:name="_Toc339224667"/>
      <w:bookmarkStart w:id="662" w:name="_Toc336255252"/>
      <w:bookmarkStart w:id="663" w:name="_Toc341965042"/>
      <w:bookmarkStart w:id="664" w:name="_Toc11046"/>
      <w:bookmarkStart w:id="665" w:name="_Toc336325365"/>
      <w:bookmarkStart w:id="666" w:name="_Toc339983439"/>
      <w:r>
        <w:rPr>
          <w:rStyle w:val="49"/>
          <w:rFonts w:hint="eastAsia" w:hAnsi="宋体"/>
          <w:b/>
          <w:sz w:val="21"/>
          <w:szCs w:val="21"/>
        </w:rPr>
        <w:t xml:space="preserve">5.5 </w:t>
      </w:r>
      <w:r>
        <w:rPr>
          <w:rStyle w:val="49"/>
          <w:rFonts w:hAnsi="宋体"/>
          <w:b/>
          <w:sz w:val="21"/>
          <w:szCs w:val="21"/>
        </w:rPr>
        <w:t>土料场</w:t>
      </w:r>
      <w:bookmarkEnd w:id="660"/>
      <w:bookmarkEnd w:id="661"/>
      <w:bookmarkEnd w:id="662"/>
      <w:bookmarkEnd w:id="663"/>
      <w:bookmarkEnd w:id="664"/>
      <w:bookmarkEnd w:id="665"/>
      <w:bookmarkEnd w:id="666"/>
    </w:p>
    <w:p>
      <w:pPr>
        <w:pStyle w:val="7"/>
        <w:snapToGrid w:val="0"/>
        <w:spacing w:line="360" w:lineRule="exact"/>
        <w:rPr>
          <w:rStyle w:val="47"/>
          <w:rFonts w:ascii="宋体" w:hAnsi="宋体"/>
          <w:color w:val="auto"/>
          <w:sz w:val="21"/>
          <w:szCs w:val="21"/>
        </w:rPr>
      </w:pPr>
      <w:r>
        <w:rPr>
          <w:rStyle w:val="47"/>
          <w:rFonts w:hint="eastAsia" w:ascii="宋体" w:hAnsi="宋体"/>
          <w:color w:val="auto"/>
          <w:sz w:val="21"/>
          <w:szCs w:val="21"/>
        </w:rPr>
        <w:t xml:space="preserve">5.5.1 </w:t>
      </w:r>
      <w:r>
        <w:rPr>
          <w:rStyle w:val="47"/>
          <w:rFonts w:ascii="宋体" w:hAnsi="宋体"/>
          <w:color w:val="auto"/>
          <w:sz w:val="21"/>
          <w:szCs w:val="21"/>
        </w:rPr>
        <w:t>料场开采</w:t>
      </w:r>
    </w:p>
    <w:p>
      <w:pPr>
        <w:snapToGrid w:val="0"/>
        <w:spacing w:line="360" w:lineRule="exact"/>
        <w:ind w:firstLine="420" w:firstLineChars="200"/>
        <w:rPr>
          <w:rFonts w:ascii="宋体" w:hAnsi="宋体"/>
          <w:sz w:val="21"/>
          <w:szCs w:val="21"/>
        </w:rPr>
      </w:pPr>
      <w:r>
        <w:rPr>
          <w:rFonts w:hint="eastAsia" w:ascii="宋体" w:hAnsi="宋体"/>
          <w:sz w:val="21"/>
          <w:szCs w:val="21"/>
        </w:rPr>
        <w:t>（1）</w:t>
      </w:r>
      <w:r>
        <w:rPr>
          <w:rFonts w:ascii="宋体" w:hAnsi="宋体"/>
          <w:sz w:val="21"/>
          <w:szCs w:val="21"/>
        </w:rPr>
        <w:t>土料场周围及开采区内，应按本章第5.</w:t>
      </w:r>
      <w:r>
        <w:rPr>
          <w:rFonts w:hint="eastAsia" w:ascii="宋体" w:hAnsi="宋体"/>
          <w:sz w:val="21"/>
          <w:szCs w:val="21"/>
        </w:rPr>
        <w:t>4</w:t>
      </w:r>
      <w:r>
        <w:rPr>
          <w:rFonts w:ascii="宋体" w:hAnsi="宋体"/>
          <w:sz w:val="21"/>
          <w:szCs w:val="21"/>
        </w:rPr>
        <w:t>节的规定设置有效的排水系统和采取必要的防洪措施，以保证土料质量和开挖工作的顺利进行。</w:t>
      </w:r>
    </w:p>
    <w:p>
      <w:pPr>
        <w:snapToGrid w:val="0"/>
        <w:spacing w:line="360" w:lineRule="exact"/>
        <w:ind w:firstLine="420" w:firstLineChars="200"/>
        <w:rPr>
          <w:rFonts w:ascii="宋体" w:hAnsi="宋体"/>
          <w:sz w:val="21"/>
          <w:szCs w:val="21"/>
        </w:rPr>
      </w:pPr>
      <w:r>
        <w:rPr>
          <w:rFonts w:hint="eastAsia" w:ascii="宋体" w:hAnsi="宋体"/>
          <w:sz w:val="21"/>
          <w:szCs w:val="21"/>
        </w:rPr>
        <w:t>（2）</w:t>
      </w:r>
      <w:r>
        <w:rPr>
          <w:rFonts w:ascii="宋体" w:hAnsi="宋体"/>
          <w:sz w:val="21"/>
          <w:szCs w:val="21"/>
        </w:rPr>
        <w:t>土料的开采和加工处理应符合SL 303</w:t>
      </w:r>
      <w:r>
        <w:rPr>
          <w:rFonts w:hint="eastAsia" w:ascii="宋体" w:hAnsi="宋体"/>
          <w:sz w:val="21"/>
          <w:szCs w:val="21"/>
        </w:rPr>
        <w:t>-2017</w:t>
      </w:r>
      <w:r>
        <w:rPr>
          <w:rFonts w:ascii="宋体" w:hAnsi="宋体"/>
          <w:sz w:val="21"/>
          <w:szCs w:val="21"/>
        </w:rPr>
        <w:t>第4</w:t>
      </w:r>
      <w:r>
        <w:rPr>
          <w:rFonts w:hint="eastAsia" w:ascii="宋体" w:hAnsi="宋体"/>
          <w:sz w:val="21"/>
          <w:szCs w:val="21"/>
        </w:rPr>
        <w:t>.4.9</w:t>
      </w:r>
      <w:r>
        <w:rPr>
          <w:rFonts w:ascii="宋体" w:hAnsi="宋体"/>
          <w:sz w:val="21"/>
          <w:szCs w:val="21"/>
        </w:rPr>
        <w:t>条、第</w:t>
      </w:r>
      <w:r>
        <w:rPr>
          <w:rFonts w:hint="eastAsia" w:ascii="宋体" w:hAnsi="宋体"/>
          <w:sz w:val="21"/>
          <w:szCs w:val="21"/>
        </w:rPr>
        <w:t>4.4.10</w:t>
      </w:r>
      <w:r>
        <w:rPr>
          <w:rFonts w:ascii="宋体" w:hAnsi="宋体"/>
          <w:sz w:val="21"/>
          <w:szCs w:val="21"/>
        </w:rPr>
        <w:t>条的规定。</w:t>
      </w:r>
    </w:p>
    <w:p>
      <w:pPr>
        <w:pStyle w:val="7"/>
        <w:snapToGrid w:val="0"/>
        <w:spacing w:line="360" w:lineRule="exact"/>
        <w:rPr>
          <w:rStyle w:val="47"/>
          <w:rFonts w:ascii="宋体" w:hAnsi="宋体"/>
          <w:color w:val="auto"/>
          <w:sz w:val="21"/>
          <w:szCs w:val="21"/>
        </w:rPr>
      </w:pPr>
      <w:r>
        <w:rPr>
          <w:rStyle w:val="47"/>
          <w:rFonts w:hint="eastAsia" w:ascii="宋体" w:hAnsi="宋体"/>
          <w:color w:val="auto"/>
          <w:sz w:val="21"/>
          <w:szCs w:val="21"/>
        </w:rPr>
        <w:t xml:space="preserve">5.5.2 </w:t>
      </w:r>
      <w:r>
        <w:rPr>
          <w:rStyle w:val="47"/>
          <w:rFonts w:ascii="宋体" w:hAnsi="宋体"/>
          <w:color w:val="auto"/>
          <w:sz w:val="21"/>
          <w:szCs w:val="21"/>
        </w:rPr>
        <w:t>开采结束后的料场整治</w:t>
      </w:r>
    </w:p>
    <w:p>
      <w:pPr>
        <w:snapToGrid w:val="0"/>
        <w:spacing w:line="360" w:lineRule="exact"/>
        <w:ind w:firstLine="420" w:firstLineChars="200"/>
        <w:rPr>
          <w:rFonts w:ascii="宋体" w:hAnsi="宋体"/>
          <w:sz w:val="21"/>
          <w:szCs w:val="21"/>
        </w:rPr>
      </w:pPr>
      <w:r>
        <w:rPr>
          <w:rFonts w:ascii="宋体" w:hAnsi="宋体"/>
          <w:sz w:val="21"/>
          <w:szCs w:val="21"/>
        </w:rPr>
        <w:t>料场取料结束后，承包人应按发包人的环境恢复设计及其施工措施计划，以及监理人指示，进行以下料场整治和环境恢复工作。包括：</w:t>
      </w:r>
    </w:p>
    <w:p>
      <w:pPr>
        <w:snapToGrid w:val="0"/>
        <w:spacing w:line="360" w:lineRule="exact"/>
        <w:ind w:firstLine="420" w:firstLineChars="200"/>
        <w:rPr>
          <w:rFonts w:ascii="宋体" w:hAnsi="宋体"/>
          <w:sz w:val="21"/>
          <w:szCs w:val="21"/>
        </w:rPr>
      </w:pPr>
      <w:r>
        <w:rPr>
          <w:rFonts w:hint="eastAsia" w:ascii="宋体" w:hAnsi="宋体"/>
          <w:sz w:val="21"/>
          <w:szCs w:val="21"/>
        </w:rPr>
        <w:t>（1）</w:t>
      </w:r>
      <w:r>
        <w:rPr>
          <w:rFonts w:ascii="宋体" w:hAnsi="宋体"/>
          <w:sz w:val="21"/>
          <w:szCs w:val="21"/>
        </w:rPr>
        <w:t>开挖边坡面的整治。</w:t>
      </w:r>
    </w:p>
    <w:p>
      <w:pPr>
        <w:snapToGrid w:val="0"/>
        <w:spacing w:line="360" w:lineRule="exact"/>
        <w:ind w:firstLine="420" w:firstLineChars="200"/>
        <w:rPr>
          <w:rFonts w:ascii="宋体" w:hAnsi="宋体"/>
          <w:sz w:val="21"/>
          <w:szCs w:val="21"/>
        </w:rPr>
      </w:pPr>
      <w:r>
        <w:rPr>
          <w:rFonts w:hint="eastAsia" w:ascii="宋体" w:hAnsi="宋体"/>
          <w:sz w:val="21"/>
          <w:szCs w:val="21"/>
        </w:rPr>
        <w:t>（2）</w:t>
      </w:r>
      <w:r>
        <w:rPr>
          <w:rFonts w:ascii="宋体" w:hAnsi="宋体"/>
          <w:sz w:val="21"/>
          <w:szCs w:val="21"/>
        </w:rPr>
        <w:t>修建环境保护的辅助工程设施。</w:t>
      </w:r>
    </w:p>
    <w:p>
      <w:pPr>
        <w:snapToGrid w:val="0"/>
        <w:spacing w:line="360" w:lineRule="exact"/>
        <w:ind w:firstLine="420" w:firstLineChars="200"/>
        <w:rPr>
          <w:rFonts w:ascii="宋体" w:hAnsi="宋体"/>
          <w:sz w:val="21"/>
          <w:szCs w:val="21"/>
        </w:rPr>
      </w:pPr>
      <w:r>
        <w:rPr>
          <w:rFonts w:hint="eastAsia" w:ascii="宋体" w:hAnsi="宋体"/>
          <w:sz w:val="21"/>
          <w:szCs w:val="21"/>
        </w:rPr>
        <w:t>（3）</w:t>
      </w:r>
      <w:r>
        <w:rPr>
          <w:rFonts w:ascii="宋体" w:hAnsi="宋体"/>
          <w:sz w:val="21"/>
          <w:szCs w:val="21"/>
        </w:rPr>
        <w:t>按批准的环境恢复要求恢复植被和农田。</w:t>
      </w:r>
    </w:p>
    <w:p>
      <w:pPr>
        <w:pStyle w:val="6"/>
        <w:snapToGrid w:val="0"/>
        <w:spacing w:line="360" w:lineRule="exact"/>
        <w:rPr>
          <w:rStyle w:val="49"/>
          <w:rFonts w:hAnsi="宋体"/>
          <w:b/>
          <w:sz w:val="21"/>
          <w:szCs w:val="21"/>
        </w:rPr>
      </w:pPr>
      <w:bookmarkStart w:id="667" w:name="_Toc341965043"/>
      <w:bookmarkStart w:id="668" w:name="_Toc339482534"/>
      <w:bookmarkStart w:id="669" w:name="_Toc336255253"/>
      <w:bookmarkStart w:id="670" w:name="_Toc6341"/>
      <w:bookmarkStart w:id="671" w:name="_Toc339983440"/>
      <w:bookmarkStart w:id="672" w:name="_Toc339224668"/>
      <w:bookmarkStart w:id="673" w:name="_Toc336325366"/>
      <w:r>
        <w:rPr>
          <w:rStyle w:val="49"/>
          <w:rFonts w:hint="eastAsia" w:hAnsi="宋体"/>
          <w:b/>
          <w:sz w:val="21"/>
          <w:szCs w:val="21"/>
        </w:rPr>
        <w:t>5.6 开挖渣料</w:t>
      </w:r>
      <w:r>
        <w:rPr>
          <w:rStyle w:val="49"/>
          <w:rFonts w:hAnsi="宋体"/>
          <w:b/>
          <w:sz w:val="21"/>
          <w:szCs w:val="21"/>
        </w:rPr>
        <w:t>的利用</w:t>
      </w:r>
      <w:r>
        <w:rPr>
          <w:rStyle w:val="49"/>
          <w:rFonts w:hint="eastAsia" w:hAnsi="宋体"/>
          <w:b/>
          <w:sz w:val="21"/>
          <w:szCs w:val="21"/>
        </w:rPr>
        <w:t>和弃渣处理</w:t>
      </w:r>
      <w:bookmarkEnd w:id="667"/>
      <w:bookmarkEnd w:id="668"/>
      <w:bookmarkEnd w:id="669"/>
      <w:bookmarkEnd w:id="670"/>
      <w:bookmarkEnd w:id="671"/>
      <w:bookmarkEnd w:id="672"/>
      <w:bookmarkEnd w:id="673"/>
    </w:p>
    <w:p>
      <w:pPr>
        <w:pStyle w:val="7"/>
        <w:snapToGrid w:val="0"/>
        <w:spacing w:line="360" w:lineRule="exact"/>
        <w:rPr>
          <w:rStyle w:val="47"/>
          <w:rFonts w:ascii="宋体" w:hAnsi="宋体"/>
          <w:color w:val="auto"/>
          <w:sz w:val="21"/>
          <w:szCs w:val="21"/>
        </w:rPr>
      </w:pPr>
      <w:r>
        <w:rPr>
          <w:rStyle w:val="47"/>
          <w:rFonts w:hint="eastAsia" w:ascii="宋体" w:hAnsi="宋体"/>
          <w:color w:val="auto"/>
          <w:sz w:val="21"/>
          <w:szCs w:val="21"/>
        </w:rPr>
        <w:t>5.5.1 可利用渣料的利用</w:t>
      </w:r>
    </w:p>
    <w:p>
      <w:pPr>
        <w:snapToGrid w:val="0"/>
        <w:spacing w:line="360" w:lineRule="exact"/>
        <w:ind w:firstLine="420" w:firstLineChars="200"/>
        <w:rPr>
          <w:rFonts w:ascii="宋体" w:hAnsi="宋体"/>
          <w:sz w:val="21"/>
          <w:szCs w:val="21"/>
        </w:rPr>
      </w:pPr>
      <w:r>
        <w:rPr>
          <w:rFonts w:hint="eastAsia" w:ascii="宋体" w:hAnsi="宋体"/>
          <w:sz w:val="21"/>
          <w:szCs w:val="21"/>
        </w:rPr>
        <w:t>（1）</w:t>
      </w:r>
      <w:r>
        <w:rPr>
          <w:rFonts w:ascii="宋体" w:hAnsi="宋体"/>
          <w:sz w:val="21"/>
          <w:szCs w:val="21"/>
        </w:rPr>
        <w:t>承包人提交的土方开挖施工措施计划中，应对开挖获得的可利用渣料进行统一规划，渣料应首先专用于本工程永久和临时工程的填筑及场地平整等。</w:t>
      </w:r>
    </w:p>
    <w:p>
      <w:pPr>
        <w:snapToGrid w:val="0"/>
        <w:spacing w:line="360" w:lineRule="exact"/>
        <w:ind w:firstLine="420" w:firstLineChars="200"/>
        <w:rPr>
          <w:rFonts w:ascii="宋体" w:hAnsi="宋体"/>
          <w:sz w:val="21"/>
          <w:szCs w:val="21"/>
        </w:rPr>
      </w:pPr>
      <w:r>
        <w:rPr>
          <w:rFonts w:hint="eastAsia" w:ascii="宋体" w:hAnsi="宋体"/>
          <w:sz w:val="21"/>
          <w:szCs w:val="21"/>
        </w:rPr>
        <w:t>（2）</w:t>
      </w:r>
      <w:r>
        <w:rPr>
          <w:rFonts w:ascii="宋体" w:hAnsi="宋体"/>
          <w:sz w:val="21"/>
          <w:szCs w:val="21"/>
        </w:rPr>
        <w:t>承包人应按批准的堆渣地点和堆渣方式，将可利用渣料运至指定地点分类堆存。渣料堆体应保持边坡稳定，并设有良好的自由排水措施。</w:t>
      </w:r>
    </w:p>
    <w:p>
      <w:pPr>
        <w:snapToGrid w:val="0"/>
        <w:spacing w:line="360" w:lineRule="exact"/>
        <w:ind w:firstLine="420" w:firstLineChars="200"/>
        <w:rPr>
          <w:rFonts w:ascii="宋体" w:hAnsi="宋体"/>
          <w:sz w:val="21"/>
          <w:szCs w:val="21"/>
        </w:rPr>
      </w:pPr>
      <w:r>
        <w:rPr>
          <w:rFonts w:hint="eastAsia" w:ascii="宋体" w:hAnsi="宋体"/>
          <w:sz w:val="21"/>
          <w:szCs w:val="21"/>
        </w:rPr>
        <w:t>（3）</w:t>
      </w:r>
      <w:r>
        <w:rPr>
          <w:rFonts w:ascii="宋体" w:hAnsi="宋体"/>
          <w:sz w:val="21"/>
          <w:szCs w:val="21"/>
        </w:rPr>
        <w:t>对监理人确认的可用料，承包人应在开挖、装运、堆存和其它作业时，采取有效的保质措施，保护可利用渣料免受污染和侵蚀。</w:t>
      </w:r>
    </w:p>
    <w:p>
      <w:pPr>
        <w:pStyle w:val="7"/>
        <w:snapToGrid w:val="0"/>
        <w:spacing w:line="360" w:lineRule="exact"/>
        <w:rPr>
          <w:rStyle w:val="47"/>
          <w:rFonts w:ascii="宋体" w:hAnsi="宋体"/>
          <w:color w:val="auto"/>
          <w:sz w:val="21"/>
          <w:szCs w:val="21"/>
        </w:rPr>
      </w:pPr>
      <w:r>
        <w:rPr>
          <w:rStyle w:val="47"/>
          <w:rFonts w:hint="eastAsia" w:ascii="宋体" w:hAnsi="宋体"/>
          <w:color w:val="auto"/>
          <w:sz w:val="21"/>
          <w:szCs w:val="21"/>
        </w:rPr>
        <w:t xml:space="preserve">5.6.2 </w:t>
      </w:r>
      <w:r>
        <w:rPr>
          <w:rStyle w:val="47"/>
          <w:rFonts w:ascii="宋体" w:hAnsi="宋体"/>
          <w:color w:val="auto"/>
          <w:sz w:val="21"/>
          <w:szCs w:val="21"/>
        </w:rPr>
        <w:t>弃渣处理</w:t>
      </w:r>
    </w:p>
    <w:p>
      <w:pPr>
        <w:snapToGrid w:val="0"/>
        <w:spacing w:line="360" w:lineRule="exact"/>
        <w:ind w:firstLine="420" w:firstLineChars="200"/>
        <w:rPr>
          <w:rFonts w:ascii="宋体" w:hAnsi="宋体"/>
          <w:sz w:val="21"/>
          <w:szCs w:val="21"/>
        </w:rPr>
      </w:pPr>
      <w:r>
        <w:rPr>
          <w:rFonts w:ascii="宋体" w:hAnsi="宋体"/>
          <w:sz w:val="21"/>
          <w:szCs w:val="21"/>
        </w:rPr>
        <w:t>弃渣应按批准的土方开挖施工措施计划指定的地点有序堆存，防止雨水冲刷流失，危及施工区及周边地区安全。</w:t>
      </w:r>
    </w:p>
    <w:p>
      <w:pPr>
        <w:pStyle w:val="6"/>
        <w:snapToGrid w:val="0"/>
        <w:spacing w:line="360" w:lineRule="exact"/>
        <w:rPr>
          <w:rStyle w:val="49"/>
          <w:rFonts w:hAnsi="宋体"/>
          <w:b/>
          <w:sz w:val="21"/>
          <w:szCs w:val="21"/>
        </w:rPr>
      </w:pPr>
      <w:bookmarkStart w:id="674" w:name="_Toc339983441"/>
      <w:bookmarkStart w:id="675" w:name="_Toc17316"/>
      <w:bookmarkStart w:id="676" w:name="_Toc341965044"/>
      <w:bookmarkStart w:id="677" w:name="_Toc339224669"/>
      <w:bookmarkStart w:id="678" w:name="_Toc336255254"/>
      <w:bookmarkStart w:id="679" w:name="_Toc339482535"/>
      <w:bookmarkStart w:id="680" w:name="_Toc336325367"/>
      <w:r>
        <w:rPr>
          <w:rStyle w:val="49"/>
          <w:rFonts w:hint="eastAsia" w:hAnsi="宋体"/>
          <w:b/>
          <w:sz w:val="21"/>
          <w:szCs w:val="21"/>
        </w:rPr>
        <w:t xml:space="preserve">5.7 </w:t>
      </w:r>
      <w:r>
        <w:rPr>
          <w:rStyle w:val="49"/>
          <w:rFonts w:hAnsi="宋体"/>
          <w:b/>
          <w:sz w:val="21"/>
          <w:szCs w:val="21"/>
        </w:rPr>
        <w:t>检查和验收</w:t>
      </w:r>
      <w:bookmarkEnd w:id="674"/>
      <w:bookmarkEnd w:id="675"/>
      <w:bookmarkEnd w:id="676"/>
      <w:bookmarkEnd w:id="677"/>
      <w:bookmarkEnd w:id="678"/>
      <w:bookmarkEnd w:id="679"/>
      <w:bookmarkEnd w:id="680"/>
    </w:p>
    <w:p>
      <w:pPr>
        <w:pStyle w:val="7"/>
        <w:snapToGrid w:val="0"/>
        <w:spacing w:line="360" w:lineRule="exact"/>
        <w:rPr>
          <w:rStyle w:val="47"/>
          <w:rFonts w:ascii="宋体" w:hAnsi="宋体"/>
          <w:color w:val="auto"/>
          <w:sz w:val="21"/>
          <w:szCs w:val="21"/>
        </w:rPr>
      </w:pPr>
      <w:r>
        <w:rPr>
          <w:rStyle w:val="47"/>
          <w:rFonts w:hint="eastAsia" w:ascii="宋体" w:hAnsi="宋体"/>
          <w:color w:val="auto"/>
          <w:sz w:val="21"/>
          <w:szCs w:val="21"/>
        </w:rPr>
        <w:t xml:space="preserve">5.7.1 </w:t>
      </w:r>
      <w:r>
        <w:rPr>
          <w:rStyle w:val="47"/>
          <w:rFonts w:ascii="宋体" w:hAnsi="宋体"/>
          <w:color w:val="auto"/>
          <w:sz w:val="21"/>
          <w:szCs w:val="21"/>
        </w:rPr>
        <w:t>土方开挖前的检查和验收</w:t>
      </w:r>
    </w:p>
    <w:p>
      <w:pPr>
        <w:snapToGrid w:val="0"/>
        <w:spacing w:line="360" w:lineRule="exact"/>
        <w:ind w:firstLine="420" w:firstLineChars="200"/>
        <w:rPr>
          <w:rFonts w:ascii="宋体" w:hAnsi="宋体"/>
          <w:sz w:val="21"/>
          <w:szCs w:val="21"/>
        </w:rPr>
      </w:pPr>
      <w:r>
        <w:rPr>
          <w:rFonts w:ascii="宋体" w:hAnsi="宋体"/>
          <w:sz w:val="21"/>
          <w:szCs w:val="21"/>
        </w:rPr>
        <w:t>土方开挖前，承包人应会同监理人进行以下各项检查：</w:t>
      </w:r>
    </w:p>
    <w:p>
      <w:pPr>
        <w:snapToGrid w:val="0"/>
        <w:spacing w:line="360" w:lineRule="exact"/>
        <w:ind w:firstLine="420" w:firstLineChars="200"/>
        <w:rPr>
          <w:rFonts w:ascii="宋体" w:hAnsi="宋体"/>
          <w:sz w:val="21"/>
          <w:szCs w:val="21"/>
        </w:rPr>
      </w:pPr>
      <w:r>
        <w:rPr>
          <w:rFonts w:hint="eastAsia" w:ascii="宋体" w:hAnsi="宋体"/>
          <w:sz w:val="21"/>
          <w:szCs w:val="21"/>
        </w:rPr>
        <w:t>（1）</w:t>
      </w:r>
      <w:r>
        <w:rPr>
          <w:rFonts w:ascii="宋体" w:hAnsi="宋体"/>
          <w:sz w:val="21"/>
          <w:szCs w:val="21"/>
        </w:rPr>
        <w:t>用于开挖工程量计量的原地形测量剖面的复核检查</w:t>
      </w:r>
      <w:r>
        <w:rPr>
          <w:rFonts w:hint="eastAsia" w:ascii="宋体" w:hAnsi="宋体"/>
          <w:sz w:val="21"/>
          <w:szCs w:val="21"/>
        </w:rPr>
        <w:t>。</w:t>
      </w:r>
    </w:p>
    <w:p>
      <w:pPr>
        <w:snapToGrid w:val="0"/>
        <w:spacing w:line="360" w:lineRule="exact"/>
        <w:ind w:firstLine="420" w:firstLineChars="200"/>
        <w:rPr>
          <w:rFonts w:ascii="宋体" w:hAnsi="宋体"/>
          <w:sz w:val="21"/>
          <w:szCs w:val="21"/>
        </w:rPr>
      </w:pPr>
      <w:r>
        <w:rPr>
          <w:rFonts w:hint="eastAsia" w:ascii="宋体" w:hAnsi="宋体"/>
          <w:sz w:val="21"/>
          <w:szCs w:val="21"/>
        </w:rPr>
        <w:t>（2）</w:t>
      </w:r>
      <w:r>
        <w:rPr>
          <w:rFonts w:ascii="宋体" w:hAnsi="宋体"/>
          <w:sz w:val="21"/>
          <w:szCs w:val="21"/>
        </w:rPr>
        <w:t>按施工图纸所示的工程建筑物开挖尺寸进行开挖剖面测量放样成果的检查。承包人的开挖剖面放样成果作为工程量计量的原始依据。</w:t>
      </w:r>
    </w:p>
    <w:p>
      <w:pPr>
        <w:snapToGrid w:val="0"/>
        <w:spacing w:line="360" w:lineRule="exact"/>
        <w:ind w:firstLine="420" w:firstLineChars="200"/>
        <w:rPr>
          <w:rFonts w:ascii="宋体" w:hAnsi="宋体"/>
          <w:sz w:val="21"/>
          <w:szCs w:val="21"/>
        </w:rPr>
      </w:pPr>
      <w:r>
        <w:rPr>
          <w:rFonts w:hint="eastAsia" w:ascii="宋体" w:hAnsi="宋体"/>
          <w:sz w:val="21"/>
          <w:szCs w:val="21"/>
        </w:rPr>
        <w:t>（3）</w:t>
      </w:r>
      <w:r>
        <w:rPr>
          <w:rFonts w:ascii="宋体" w:hAnsi="宋体"/>
          <w:sz w:val="21"/>
          <w:szCs w:val="21"/>
        </w:rPr>
        <w:t>按施工图纸所示进行开挖区周围排水和防洪保护设施的质量检查和验收。</w:t>
      </w:r>
    </w:p>
    <w:p>
      <w:pPr>
        <w:pStyle w:val="7"/>
        <w:snapToGrid w:val="0"/>
        <w:spacing w:line="360" w:lineRule="exact"/>
        <w:rPr>
          <w:rStyle w:val="47"/>
          <w:rFonts w:ascii="宋体" w:hAnsi="宋体"/>
          <w:color w:val="auto"/>
          <w:sz w:val="21"/>
          <w:szCs w:val="21"/>
        </w:rPr>
      </w:pPr>
      <w:r>
        <w:rPr>
          <w:rStyle w:val="47"/>
          <w:rFonts w:hint="eastAsia" w:ascii="宋体" w:hAnsi="宋体"/>
          <w:color w:val="auto"/>
          <w:sz w:val="21"/>
          <w:szCs w:val="21"/>
        </w:rPr>
        <w:t xml:space="preserve">5.7.2 </w:t>
      </w:r>
      <w:r>
        <w:rPr>
          <w:rStyle w:val="47"/>
          <w:rFonts w:ascii="宋体" w:hAnsi="宋体"/>
          <w:color w:val="auto"/>
          <w:sz w:val="21"/>
          <w:szCs w:val="21"/>
        </w:rPr>
        <w:t>土方明挖工程完成后的质量检查和验收</w:t>
      </w:r>
    </w:p>
    <w:p>
      <w:pPr>
        <w:snapToGrid w:val="0"/>
        <w:spacing w:line="360" w:lineRule="exact"/>
        <w:ind w:firstLine="420" w:firstLineChars="200"/>
        <w:rPr>
          <w:rFonts w:ascii="宋体" w:hAnsi="宋体"/>
          <w:sz w:val="21"/>
          <w:szCs w:val="21"/>
        </w:rPr>
      </w:pPr>
      <w:r>
        <w:rPr>
          <w:rFonts w:hint="eastAsia" w:ascii="宋体" w:hAnsi="宋体"/>
          <w:sz w:val="21"/>
          <w:szCs w:val="21"/>
        </w:rPr>
        <w:t>（1）</w:t>
      </w:r>
      <w:r>
        <w:rPr>
          <w:rFonts w:ascii="宋体" w:hAnsi="宋体"/>
          <w:sz w:val="21"/>
          <w:szCs w:val="21"/>
        </w:rPr>
        <w:t>土方基础明挖工程完成后，承包人应会同监理人进行以下各项质量检查和验收：</w:t>
      </w:r>
    </w:p>
    <w:p>
      <w:pPr>
        <w:snapToGrid w:val="0"/>
        <w:spacing w:line="360" w:lineRule="exact"/>
        <w:ind w:firstLine="420" w:firstLineChars="200"/>
        <w:rPr>
          <w:rFonts w:ascii="宋体" w:hAnsi="宋体"/>
          <w:sz w:val="21"/>
          <w:szCs w:val="21"/>
        </w:rPr>
      </w:pPr>
      <w:r>
        <w:rPr>
          <w:rFonts w:hint="eastAsia" w:ascii="宋体" w:hAnsi="宋体"/>
          <w:sz w:val="21"/>
          <w:szCs w:val="21"/>
        </w:rPr>
        <w:t>1）</w:t>
      </w:r>
      <w:r>
        <w:rPr>
          <w:rFonts w:ascii="宋体" w:hAnsi="宋体"/>
          <w:sz w:val="21"/>
          <w:szCs w:val="21"/>
        </w:rPr>
        <w:t>按施工图纸要求检查工程基础开挖面的平面尺寸、标高和场地平整度；</w:t>
      </w:r>
    </w:p>
    <w:p>
      <w:pPr>
        <w:snapToGrid w:val="0"/>
        <w:spacing w:line="360" w:lineRule="exact"/>
        <w:ind w:firstLine="420" w:firstLineChars="200"/>
        <w:rPr>
          <w:rFonts w:ascii="宋体" w:hAnsi="宋体"/>
          <w:sz w:val="21"/>
          <w:szCs w:val="21"/>
        </w:rPr>
      </w:pPr>
      <w:r>
        <w:rPr>
          <w:rFonts w:ascii="宋体" w:hAnsi="宋体"/>
          <w:sz w:val="21"/>
          <w:szCs w:val="21"/>
        </w:rPr>
        <w:t>2</w:t>
      </w:r>
      <w:r>
        <w:rPr>
          <w:rFonts w:hint="eastAsia" w:ascii="宋体" w:hAnsi="宋体"/>
          <w:sz w:val="21"/>
          <w:szCs w:val="21"/>
        </w:rPr>
        <w:t>）</w:t>
      </w:r>
      <w:r>
        <w:rPr>
          <w:rFonts w:ascii="宋体" w:hAnsi="宋体"/>
          <w:sz w:val="21"/>
          <w:szCs w:val="21"/>
        </w:rPr>
        <w:t>取样检测基础土的物理力学性质指标。</w:t>
      </w:r>
    </w:p>
    <w:p>
      <w:pPr>
        <w:snapToGrid w:val="0"/>
        <w:spacing w:line="360" w:lineRule="exact"/>
        <w:ind w:firstLine="420" w:firstLineChars="200"/>
        <w:rPr>
          <w:rFonts w:ascii="宋体" w:hAnsi="宋体"/>
          <w:sz w:val="21"/>
          <w:szCs w:val="21"/>
        </w:rPr>
      </w:pPr>
      <w:r>
        <w:rPr>
          <w:rFonts w:hint="eastAsia" w:ascii="宋体" w:hAnsi="宋体"/>
          <w:sz w:val="21"/>
          <w:szCs w:val="21"/>
        </w:rPr>
        <w:t>（2）</w:t>
      </w:r>
      <w:r>
        <w:rPr>
          <w:rFonts w:ascii="宋体" w:hAnsi="宋体"/>
          <w:sz w:val="21"/>
          <w:szCs w:val="21"/>
        </w:rPr>
        <w:t>基础面覆盖前的质量检验和验收：</w:t>
      </w:r>
    </w:p>
    <w:p>
      <w:pPr>
        <w:snapToGrid w:val="0"/>
        <w:spacing w:line="360" w:lineRule="exact"/>
        <w:ind w:firstLine="420" w:firstLineChars="200"/>
        <w:rPr>
          <w:rFonts w:ascii="宋体" w:hAnsi="宋体"/>
          <w:sz w:val="21"/>
          <w:szCs w:val="21"/>
        </w:rPr>
      </w:pPr>
      <w:r>
        <w:rPr>
          <w:rFonts w:hint="eastAsia" w:ascii="宋体" w:hAnsi="宋体"/>
          <w:sz w:val="21"/>
          <w:szCs w:val="21"/>
        </w:rPr>
        <w:t>1）</w:t>
      </w:r>
      <w:r>
        <w:rPr>
          <w:rFonts w:ascii="宋体" w:hAnsi="宋体"/>
          <w:sz w:val="21"/>
          <w:szCs w:val="21"/>
        </w:rPr>
        <w:t>基础面</w:t>
      </w:r>
      <w:r>
        <w:rPr>
          <w:rFonts w:hint="eastAsia" w:ascii="宋体" w:hAnsi="宋体"/>
          <w:sz w:val="21"/>
          <w:szCs w:val="21"/>
        </w:rPr>
        <w:t>覆</w:t>
      </w:r>
      <w:r>
        <w:rPr>
          <w:rFonts w:ascii="宋体" w:hAnsi="宋体"/>
          <w:sz w:val="21"/>
          <w:szCs w:val="21"/>
        </w:rPr>
        <w:t>盖前，应复核检查基础面是否满足本章第</w:t>
      </w:r>
      <w:r>
        <w:rPr>
          <w:rFonts w:hint="eastAsia" w:ascii="宋体" w:hAnsi="宋体"/>
          <w:sz w:val="21"/>
          <w:szCs w:val="21"/>
        </w:rPr>
        <w:t>5.7.3</w:t>
      </w:r>
      <w:r>
        <w:rPr>
          <w:rFonts w:ascii="宋体" w:hAnsi="宋体"/>
          <w:sz w:val="21"/>
          <w:szCs w:val="21"/>
        </w:rPr>
        <w:t>条第</w:t>
      </w:r>
      <w:r>
        <w:rPr>
          <w:rFonts w:hint="eastAsia" w:ascii="宋体" w:hAnsi="宋体"/>
          <w:sz w:val="21"/>
          <w:szCs w:val="21"/>
        </w:rPr>
        <w:t>1</w:t>
      </w:r>
      <w:r>
        <w:rPr>
          <w:rFonts w:ascii="宋体" w:hAnsi="宋体"/>
          <w:sz w:val="21"/>
          <w:szCs w:val="21"/>
        </w:rPr>
        <w:t>款的规定；</w:t>
      </w:r>
    </w:p>
    <w:p>
      <w:pPr>
        <w:snapToGrid w:val="0"/>
        <w:spacing w:line="360" w:lineRule="exact"/>
        <w:ind w:firstLine="420" w:firstLineChars="200"/>
        <w:rPr>
          <w:rFonts w:ascii="宋体" w:hAnsi="宋体"/>
          <w:sz w:val="21"/>
          <w:szCs w:val="21"/>
        </w:rPr>
      </w:pPr>
      <w:r>
        <w:rPr>
          <w:rFonts w:hint="eastAsia" w:ascii="宋体" w:hAnsi="宋体"/>
          <w:sz w:val="21"/>
          <w:szCs w:val="21"/>
        </w:rPr>
        <w:t>2）</w:t>
      </w:r>
      <w:r>
        <w:rPr>
          <w:rFonts w:ascii="宋体" w:hAnsi="宋体"/>
          <w:sz w:val="21"/>
          <w:szCs w:val="21"/>
        </w:rPr>
        <w:t>对已开挖完成的土基基础开挖面，应在坝体（或砌体）填筑前清除表面的松土层，并按监理人批准的施工方法进行压实，受积水侵蚀软化的土壤应予清除，并应在监理人检验合格后立即进行覆盖；</w:t>
      </w:r>
    </w:p>
    <w:p>
      <w:pPr>
        <w:snapToGrid w:val="0"/>
        <w:spacing w:line="360" w:lineRule="exact"/>
        <w:ind w:firstLine="420" w:firstLineChars="200"/>
        <w:rPr>
          <w:rFonts w:ascii="宋体" w:hAnsi="宋体"/>
          <w:sz w:val="21"/>
          <w:szCs w:val="21"/>
        </w:rPr>
      </w:pPr>
      <w:r>
        <w:rPr>
          <w:rFonts w:hint="eastAsia" w:ascii="宋体" w:hAnsi="宋体"/>
          <w:sz w:val="21"/>
          <w:szCs w:val="21"/>
        </w:rPr>
        <w:t>3）</w:t>
      </w:r>
      <w:r>
        <w:rPr>
          <w:rFonts w:ascii="宋体" w:hAnsi="宋体"/>
          <w:sz w:val="21"/>
          <w:szCs w:val="21"/>
        </w:rPr>
        <w:t>上述第</w:t>
      </w:r>
      <w:r>
        <w:rPr>
          <w:rFonts w:hint="eastAsia" w:ascii="宋体" w:hAnsi="宋体"/>
          <w:sz w:val="21"/>
          <w:szCs w:val="21"/>
        </w:rPr>
        <w:t>（1）</w:t>
      </w:r>
      <w:r>
        <w:rPr>
          <w:rFonts w:ascii="宋体" w:hAnsi="宋体"/>
          <w:sz w:val="21"/>
          <w:szCs w:val="21"/>
        </w:rPr>
        <w:t>项基础面开挖完成后的检查验收，与本项规定的在基础面覆盖前进行的基础清理作业后的检验验收是检查和检验目的和性质不同的两次作业，未经监理人同意，承包人不得将这两次作业合并为一次完成。</w:t>
      </w:r>
    </w:p>
    <w:p>
      <w:pPr>
        <w:snapToGrid w:val="0"/>
        <w:spacing w:line="360" w:lineRule="exact"/>
        <w:ind w:firstLine="420" w:firstLineChars="200"/>
        <w:rPr>
          <w:rFonts w:ascii="宋体" w:hAnsi="宋体"/>
          <w:sz w:val="21"/>
          <w:szCs w:val="21"/>
        </w:rPr>
      </w:pPr>
      <w:r>
        <w:rPr>
          <w:rFonts w:hint="eastAsia" w:ascii="宋体" w:hAnsi="宋体"/>
          <w:sz w:val="21"/>
          <w:szCs w:val="21"/>
        </w:rPr>
        <w:t>（3）</w:t>
      </w:r>
      <w:r>
        <w:rPr>
          <w:rFonts w:ascii="宋体" w:hAnsi="宋体"/>
          <w:sz w:val="21"/>
          <w:szCs w:val="21"/>
        </w:rPr>
        <w:t>永久边坡的检查和验收：</w:t>
      </w:r>
    </w:p>
    <w:p>
      <w:pPr>
        <w:snapToGrid w:val="0"/>
        <w:spacing w:line="360" w:lineRule="exact"/>
        <w:ind w:firstLine="420" w:firstLineChars="200"/>
        <w:rPr>
          <w:rFonts w:ascii="宋体" w:hAnsi="宋体"/>
          <w:sz w:val="21"/>
          <w:szCs w:val="21"/>
        </w:rPr>
      </w:pPr>
      <w:r>
        <w:rPr>
          <w:rFonts w:hint="eastAsia" w:ascii="宋体" w:hAnsi="宋体"/>
          <w:sz w:val="21"/>
          <w:szCs w:val="21"/>
        </w:rPr>
        <w:t>1）</w:t>
      </w:r>
      <w:r>
        <w:rPr>
          <w:rFonts w:ascii="宋体" w:hAnsi="宋体"/>
          <w:sz w:val="21"/>
          <w:szCs w:val="21"/>
        </w:rPr>
        <w:t>永久边坡的坡度和平整度的复</w:t>
      </w:r>
      <w:r>
        <w:rPr>
          <w:rFonts w:hint="eastAsia" w:ascii="宋体" w:hAnsi="宋体"/>
          <w:sz w:val="21"/>
          <w:szCs w:val="21"/>
        </w:rPr>
        <w:t>测</w:t>
      </w:r>
      <w:r>
        <w:rPr>
          <w:rFonts w:ascii="宋体" w:hAnsi="宋体"/>
          <w:sz w:val="21"/>
          <w:szCs w:val="21"/>
        </w:rPr>
        <w:t>检查；</w:t>
      </w:r>
    </w:p>
    <w:p>
      <w:pPr>
        <w:snapToGrid w:val="0"/>
        <w:spacing w:line="360" w:lineRule="exact"/>
        <w:ind w:firstLine="420" w:firstLineChars="200"/>
        <w:rPr>
          <w:rFonts w:ascii="宋体" w:hAnsi="宋体"/>
          <w:sz w:val="21"/>
          <w:szCs w:val="21"/>
        </w:rPr>
      </w:pPr>
      <w:r>
        <w:rPr>
          <w:rFonts w:hint="eastAsia" w:ascii="宋体" w:hAnsi="宋体"/>
          <w:sz w:val="21"/>
          <w:szCs w:val="21"/>
        </w:rPr>
        <w:t>2）</w:t>
      </w:r>
      <w:r>
        <w:rPr>
          <w:rFonts w:ascii="宋体" w:hAnsi="宋体"/>
          <w:sz w:val="21"/>
          <w:szCs w:val="21"/>
        </w:rPr>
        <w:t>边坡永久性排水沟道的坡度和尺寸的复测检查。</w:t>
      </w:r>
    </w:p>
    <w:p>
      <w:pPr>
        <w:pStyle w:val="7"/>
        <w:snapToGrid w:val="0"/>
        <w:spacing w:line="360" w:lineRule="exact"/>
        <w:rPr>
          <w:rStyle w:val="47"/>
          <w:rFonts w:ascii="宋体" w:hAnsi="宋体"/>
          <w:color w:val="auto"/>
          <w:sz w:val="21"/>
          <w:szCs w:val="21"/>
        </w:rPr>
      </w:pPr>
      <w:r>
        <w:rPr>
          <w:rStyle w:val="47"/>
          <w:rFonts w:hint="eastAsia" w:ascii="宋体" w:hAnsi="宋体"/>
          <w:color w:val="auto"/>
          <w:sz w:val="21"/>
          <w:szCs w:val="21"/>
        </w:rPr>
        <w:t xml:space="preserve">5.7.3 </w:t>
      </w:r>
      <w:r>
        <w:rPr>
          <w:rStyle w:val="47"/>
          <w:rFonts w:ascii="宋体" w:hAnsi="宋体"/>
          <w:color w:val="auto"/>
          <w:sz w:val="21"/>
          <w:szCs w:val="21"/>
        </w:rPr>
        <w:t>完工验收</w:t>
      </w:r>
    </w:p>
    <w:p>
      <w:pPr>
        <w:snapToGrid w:val="0"/>
        <w:spacing w:line="360" w:lineRule="exact"/>
        <w:ind w:firstLine="420" w:firstLineChars="200"/>
        <w:rPr>
          <w:rFonts w:ascii="宋体" w:hAnsi="宋体"/>
          <w:sz w:val="21"/>
          <w:szCs w:val="21"/>
        </w:rPr>
      </w:pPr>
      <w:r>
        <w:rPr>
          <w:rFonts w:hint="eastAsia" w:ascii="宋体" w:hAnsi="宋体"/>
          <w:sz w:val="21"/>
          <w:szCs w:val="21"/>
        </w:rPr>
        <w:t>各</w:t>
      </w:r>
      <w:r>
        <w:rPr>
          <w:rFonts w:ascii="宋体" w:hAnsi="宋体"/>
          <w:sz w:val="21"/>
          <w:szCs w:val="21"/>
        </w:rPr>
        <w:t>项土方明挖工程完工后，承包人应申请完工验收，并提交以下完工验收资料：</w:t>
      </w:r>
    </w:p>
    <w:p>
      <w:pPr>
        <w:snapToGrid w:val="0"/>
        <w:spacing w:line="360" w:lineRule="exact"/>
        <w:ind w:firstLine="420" w:firstLineChars="200"/>
        <w:rPr>
          <w:rFonts w:ascii="宋体" w:hAnsi="宋体"/>
          <w:sz w:val="21"/>
          <w:szCs w:val="21"/>
        </w:rPr>
      </w:pPr>
      <w:r>
        <w:rPr>
          <w:rFonts w:hint="eastAsia" w:ascii="宋体" w:hAnsi="宋体"/>
          <w:sz w:val="21"/>
          <w:szCs w:val="21"/>
        </w:rPr>
        <w:t>（1）</w:t>
      </w:r>
      <w:r>
        <w:rPr>
          <w:rFonts w:ascii="宋体" w:hAnsi="宋体"/>
          <w:sz w:val="21"/>
          <w:szCs w:val="21"/>
        </w:rPr>
        <w:t>土方明挖工程竣工平面和剖面图；</w:t>
      </w:r>
    </w:p>
    <w:p>
      <w:pPr>
        <w:snapToGrid w:val="0"/>
        <w:spacing w:line="360" w:lineRule="exact"/>
        <w:ind w:firstLine="420" w:firstLineChars="200"/>
        <w:rPr>
          <w:rFonts w:ascii="宋体" w:hAnsi="宋体"/>
          <w:sz w:val="21"/>
          <w:szCs w:val="21"/>
        </w:rPr>
      </w:pPr>
      <w:r>
        <w:rPr>
          <w:rFonts w:hint="eastAsia" w:ascii="宋体" w:hAnsi="宋体"/>
          <w:sz w:val="21"/>
          <w:szCs w:val="21"/>
        </w:rPr>
        <w:t>（2）</w:t>
      </w:r>
      <w:r>
        <w:rPr>
          <w:rFonts w:ascii="宋体" w:hAnsi="宋体"/>
          <w:sz w:val="21"/>
          <w:szCs w:val="21"/>
        </w:rPr>
        <w:t>质量检查和验收记录；</w:t>
      </w:r>
    </w:p>
    <w:p>
      <w:pPr>
        <w:snapToGrid w:val="0"/>
        <w:spacing w:line="360" w:lineRule="exact"/>
        <w:ind w:firstLine="420" w:firstLineChars="200"/>
        <w:rPr>
          <w:rFonts w:ascii="宋体" w:hAnsi="宋体"/>
          <w:sz w:val="21"/>
          <w:szCs w:val="21"/>
        </w:rPr>
      </w:pPr>
      <w:r>
        <w:rPr>
          <w:rFonts w:hint="eastAsia" w:ascii="宋体" w:hAnsi="宋体"/>
          <w:sz w:val="21"/>
          <w:szCs w:val="21"/>
        </w:rPr>
        <w:t>（3）</w:t>
      </w:r>
      <w:r>
        <w:rPr>
          <w:rFonts w:ascii="宋体" w:hAnsi="宋体"/>
          <w:sz w:val="21"/>
          <w:szCs w:val="21"/>
        </w:rPr>
        <w:t>监理人要求提供的其它资料。</w:t>
      </w:r>
    </w:p>
    <w:p>
      <w:pPr>
        <w:pStyle w:val="7"/>
        <w:snapToGrid w:val="0"/>
        <w:spacing w:line="360" w:lineRule="exact"/>
        <w:rPr>
          <w:rFonts w:ascii="宋体" w:hAnsi="宋体" w:eastAsia="宋体"/>
          <w:bCs/>
          <w:sz w:val="21"/>
          <w:szCs w:val="21"/>
        </w:rPr>
      </w:pPr>
      <w:r>
        <w:rPr>
          <w:rFonts w:hint="eastAsia" w:ascii="宋体" w:hAnsi="宋体" w:eastAsia="宋体"/>
          <w:bCs/>
          <w:sz w:val="21"/>
          <w:szCs w:val="21"/>
        </w:rPr>
        <w:t>5.8 计量</w:t>
      </w:r>
      <w:r>
        <w:rPr>
          <w:rFonts w:ascii="宋体" w:hAnsi="宋体" w:eastAsia="宋体"/>
          <w:bCs/>
          <w:sz w:val="21"/>
          <w:szCs w:val="21"/>
        </w:rPr>
        <w:t>和支付</w:t>
      </w:r>
      <w:bookmarkEnd w:id="638"/>
    </w:p>
    <w:p>
      <w:pPr>
        <w:snapToGrid w:val="0"/>
        <w:spacing w:line="360" w:lineRule="exact"/>
        <w:ind w:firstLine="420" w:firstLineChars="200"/>
        <w:rPr>
          <w:rFonts w:ascii="宋体" w:hAnsi="宋体"/>
          <w:sz w:val="21"/>
          <w:szCs w:val="21"/>
        </w:rPr>
      </w:pPr>
      <w:r>
        <w:rPr>
          <w:rFonts w:hint="eastAsia" w:ascii="宋体" w:hAnsi="宋体"/>
          <w:sz w:val="21"/>
          <w:szCs w:val="21"/>
        </w:rPr>
        <w:t>(1) 土方明挖的计量和支付应按不同工程项目以及施工图纸所示的不同区域分别列项，以自然方体积立方米（m3）为单位计量，并按《工程量清单》中各相应项目有效工程的每立方米单价进行支付。</w:t>
      </w:r>
    </w:p>
    <w:p>
      <w:pPr>
        <w:snapToGrid w:val="0"/>
        <w:spacing w:line="360" w:lineRule="exact"/>
        <w:ind w:firstLine="420" w:firstLineChars="200"/>
        <w:rPr>
          <w:rFonts w:ascii="宋体" w:hAnsi="宋体"/>
          <w:sz w:val="21"/>
          <w:szCs w:val="21"/>
        </w:rPr>
      </w:pPr>
      <w:r>
        <w:rPr>
          <w:rFonts w:hint="eastAsia" w:ascii="宋体" w:hAnsi="宋体"/>
          <w:sz w:val="21"/>
          <w:szCs w:val="21"/>
        </w:rPr>
        <w:t>(2) 本章有关所列的植被清理和表土清理工作内容，其所需的全部清理费用应分摊在《工程量清单》相应的土方明挖项目的每立方米单价中，不再单独进行计量和支付。</w:t>
      </w:r>
    </w:p>
    <w:p>
      <w:pPr>
        <w:snapToGrid w:val="0"/>
        <w:spacing w:line="360" w:lineRule="exact"/>
        <w:ind w:firstLine="420" w:firstLineChars="200"/>
        <w:rPr>
          <w:rFonts w:ascii="宋体" w:hAnsi="宋体"/>
          <w:sz w:val="21"/>
          <w:szCs w:val="21"/>
        </w:rPr>
      </w:pPr>
      <w:r>
        <w:rPr>
          <w:rFonts w:hint="eastAsia" w:ascii="宋体" w:hAnsi="宋体"/>
          <w:sz w:val="21"/>
          <w:szCs w:val="21"/>
        </w:rPr>
        <w:t>(3) 上述土方明挖的单价应包括土方的开挖（含人工辅助开挖）、装卸、运输及其表土开挖、植被清理、边坡整治、基础和边坡面的检查和验收以及地面平整等全部费用。</w:t>
      </w:r>
    </w:p>
    <w:p>
      <w:pPr>
        <w:snapToGrid w:val="0"/>
        <w:spacing w:line="360" w:lineRule="exact"/>
        <w:ind w:firstLine="420" w:firstLineChars="200"/>
        <w:rPr>
          <w:rFonts w:ascii="宋体" w:hAnsi="宋体"/>
          <w:sz w:val="21"/>
          <w:szCs w:val="21"/>
        </w:rPr>
      </w:pPr>
      <w:r>
        <w:rPr>
          <w:rFonts w:hint="eastAsia" w:ascii="宋体" w:hAnsi="宋体"/>
          <w:sz w:val="21"/>
          <w:szCs w:val="21"/>
        </w:rPr>
        <w:t>(4) 土方明挖开始前，承包人应按监理人指示测量开挖区的地形和计量剖面，报监理人复核，并应按施工图纸或监理人批准的开挖线进行有效工程量的计量。承包人所有计量测量成果都必须经监理人签认。超出支付线的任何超挖工程量和施工附加量的费用均应包括在《工程量清单》所列工程量的每立方米单价中，发包人不再另行支付。</w:t>
      </w:r>
    </w:p>
    <w:p>
      <w:pPr>
        <w:snapToGrid w:val="0"/>
        <w:spacing w:line="360" w:lineRule="exact"/>
        <w:ind w:firstLine="420" w:firstLineChars="200"/>
        <w:rPr>
          <w:rFonts w:ascii="宋体" w:hAnsi="宋体"/>
          <w:sz w:val="21"/>
          <w:szCs w:val="21"/>
        </w:rPr>
      </w:pPr>
      <w:r>
        <w:rPr>
          <w:rFonts w:hint="eastAsia" w:ascii="宋体" w:hAnsi="宋体"/>
          <w:sz w:val="21"/>
          <w:szCs w:val="21"/>
        </w:rPr>
        <w:t>(5) 在施工前或在开挖过程中，监理人对施工图纸作出的修改，其相应的工程量应按监理人签发的设计修改图进行计算，属于变更范畴的应按本合同《通用合同条款》第39条规定办理。</w:t>
      </w:r>
    </w:p>
    <w:p>
      <w:pPr>
        <w:snapToGrid w:val="0"/>
        <w:spacing w:line="360" w:lineRule="exact"/>
        <w:ind w:firstLine="420" w:firstLineChars="200"/>
        <w:rPr>
          <w:rFonts w:ascii="宋体" w:hAnsi="宋体"/>
          <w:sz w:val="21"/>
          <w:szCs w:val="21"/>
        </w:rPr>
      </w:pPr>
      <w:r>
        <w:rPr>
          <w:rFonts w:hint="eastAsia" w:ascii="宋体" w:hAnsi="宋体"/>
          <w:sz w:val="21"/>
          <w:szCs w:val="21"/>
        </w:rPr>
        <w:t>(6) 除施工图纸承包明或监理人指定作为永久性排水工程的设施外，一切为土方明挖所需的临时性排水费用（包括排水设备的采购、安装、运行和维修等），均应包括在《工程量清单》各土方明挖项目的单价中。</w:t>
      </w:r>
    </w:p>
    <w:p>
      <w:pPr>
        <w:pStyle w:val="5"/>
        <w:spacing w:line="360" w:lineRule="auto"/>
        <w:jc w:val="center"/>
        <w:rPr>
          <w:rFonts w:ascii="宋体" w:hAnsi="宋体"/>
          <w:sz w:val="21"/>
          <w:szCs w:val="21"/>
        </w:rPr>
      </w:pPr>
      <w:bookmarkStart w:id="681" w:name="_Toc311407731"/>
      <w:bookmarkStart w:id="682" w:name="_Toc336325376"/>
      <w:bookmarkStart w:id="683" w:name="_Toc7105"/>
      <w:r>
        <w:rPr>
          <w:szCs w:val="30"/>
        </w:rPr>
        <w:t>第</w:t>
      </w:r>
      <w:r>
        <w:rPr>
          <w:rFonts w:hint="eastAsia"/>
          <w:szCs w:val="30"/>
        </w:rPr>
        <w:t>6</w:t>
      </w:r>
      <w:r>
        <w:rPr>
          <w:szCs w:val="30"/>
        </w:rPr>
        <w:t>节</w:t>
      </w:r>
      <w:bookmarkEnd w:id="681"/>
      <w:r>
        <w:rPr>
          <w:rFonts w:hint="eastAsia"/>
          <w:szCs w:val="30"/>
        </w:rPr>
        <w:t>土石方填筑工程</w:t>
      </w:r>
      <w:bookmarkEnd w:id="682"/>
      <w:bookmarkEnd w:id="683"/>
    </w:p>
    <w:p>
      <w:pPr>
        <w:snapToGrid w:val="0"/>
        <w:spacing w:line="360" w:lineRule="exact"/>
        <w:rPr>
          <w:rFonts w:ascii="宋体" w:hAnsi="宋体"/>
          <w:b/>
          <w:snapToGrid w:val="0"/>
          <w:sz w:val="21"/>
          <w:szCs w:val="21"/>
        </w:rPr>
      </w:pPr>
      <w:r>
        <w:rPr>
          <w:rFonts w:hint="eastAsia" w:ascii="宋体" w:hAnsi="宋体"/>
          <w:b/>
          <w:snapToGrid w:val="0"/>
          <w:sz w:val="21"/>
          <w:szCs w:val="21"/>
        </w:rPr>
        <w:t>6.1 说明</w:t>
      </w:r>
    </w:p>
    <w:p>
      <w:pPr>
        <w:snapToGrid w:val="0"/>
        <w:spacing w:line="360" w:lineRule="exact"/>
        <w:rPr>
          <w:rFonts w:ascii="宋体" w:hAnsi="宋体"/>
          <w:b/>
          <w:snapToGrid w:val="0"/>
          <w:sz w:val="21"/>
          <w:szCs w:val="21"/>
        </w:rPr>
      </w:pPr>
      <w:r>
        <w:rPr>
          <w:rFonts w:hint="eastAsia" w:ascii="宋体" w:hAnsi="宋体"/>
          <w:b/>
          <w:snapToGrid w:val="0"/>
          <w:sz w:val="21"/>
          <w:szCs w:val="21"/>
        </w:rPr>
        <w:t>6.1.1 范围</w:t>
      </w:r>
    </w:p>
    <w:p>
      <w:pPr>
        <w:pStyle w:val="4"/>
        <w:snapToGrid w:val="0"/>
        <w:spacing w:line="360" w:lineRule="exact"/>
        <w:ind w:firstLine="476" w:firstLineChars="227"/>
        <w:rPr>
          <w:rFonts w:ascii="宋体" w:hAnsi="宋体"/>
          <w:snapToGrid w:val="0"/>
          <w:sz w:val="21"/>
          <w:szCs w:val="21"/>
        </w:rPr>
      </w:pPr>
      <w:r>
        <w:rPr>
          <w:rFonts w:hint="eastAsia" w:ascii="宋体" w:hAnsi="宋体"/>
          <w:snapToGrid w:val="0"/>
          <w:sz w:val="21"/>
          <w:szCs w:val="21"/>
        </w:rPr>
        <w:t>本章规定适用于本工程施工图纸所示的堤的填筑的施工。其工作内容包括：土方料源平衡；各种土料（含反滤层、垫层、过渡层等）的填筑、碾压和接缝处理；排水设施和护坡以及各项工作内容的质量检查和验收等。</w:t>
      </w:r>
    </w:p>
    <w:p>
      <w:pPr>
        <w:snapToGrid w:val="0"/>
        <w:spacing w:line="360" w:lineRule="exact"/>
        <w:rPr>
          <w:rFonts w:ascii="宋体" w:hAnsi="宋体"/>
          <w:b/>
          <w:snapToGrid w:val="0"/>
          <w:sz w:val="21"/>
          <w:szCs w:val="21"/>
        </w:rPr>
      </w:pPr>
      <w:r>
        <w:rPr>
          <w:rFonts w:hint="eastAsia" w:ascii="宋体" w:hAnsi="宋体"/>
          <w:b/>
          <w:snapToGrid w:val="0"/>
          <w:sz w:val="21"/>
          <w:szCs w:val="21"/>
        </w:rPr>
        <w:t>6.1.2 承包人的责任</w:t>
      </w:r>
    </w:p>
    <w:p>
      <w:pPr>
        <w:snapToGrid w:val="0"/>
        <w:spacing w:line="360" w:lineRule="exact"/>
        <w:ind w:firstLine="420" w:firstLineChars="200"/>
        <w:rPr>
          <w:rFonts w:ascii="宋体" w:hAnsi="宋体"/>
          <w:sz w:val="21"/>
          <w:szCs w:val="21"/>
        </w:rPr>
      </w:pPr>
      <w:r>
        <w:rPr>
          <w:rFonts w:hint="eastAsia" w:ascii="宋体" w:hAnsi="宋体"/>
          <w:sz w:val="21"/>
          <w:szCs w:val="21"/>
        </w:rPr>
        <w:t>(1)承包人应根据本工程土、石料的统一规划，以及工程施工总进度的安排，做好建筑物开挖料、料场开采料和回填填筑料的供求平衡。</w:t>
      </w:r>
    </w:p>
    <w:p>
      <w:pPr>
        <w:snapToGrid w:val="0"/>
        <w:spacing w:line="360" w:lineRule="exact"/>
        <w:ind w:firstLine="420" w:firstLineChars="200"/>
        <w:rPr>
          <w:rFonts w:ascii="宋体" w:hAnsi="宋体"/>
          <w:sz w:val="21"/>
          <w:szCs w:val="21"/>
        </w:rPr>
      </w:pPr>
      <w:r>
        <w:rPr>
          <w:rFonts w:hint="eastAsia" w:ascii="宋体" w:hAnsi="宋体"/>
          <w:sz w:val="21"/>
          <w:szCs w:val="21"/>
        </w:rPr>
        <w:t>(2)在施工过程中，承包人应做到施工的合理安排，填筑面层次分明，作业面平整。填筑竣工后，应修整堤坝坡面平整，颜色均匀。</w:t>
      </w:r>
    </w:p>
    <w:p>
      <w:pPr>
        <w:snapToGrid w:val="0"/>
        <w:spacing w:line="360" w:lineRule="exact"/>
        <w:ind w:firstLine="420" w:firstLineChars="200"/>
        <w:rPr>
          <w:rFonts w:ascii="宋体" w:hAnsi="宋体"/>
          <w:sz w:val="21"/>
          <w:szCs w:val="21"/>
        </w:rPr>
      </w:pPr>
      <w:r>
        <w:rPr>
          <w:rFonts w:hint="eastAsia" w:ascii="宋体" w:hAnsi="宋体"/>
          <w:sz w:val="21"/>
          <w:szCs w:val="21"/>
        </w:rPr>
        <w:t>(3)在填筑过程中，承包人应采取有效措施，保护已埋设仪器和测量标志。</w:t>
      </w:r>
    </w:p>
    <w:p>
      <w:pPr>
        <w:snapToGrid w:val="0"/>
        <w:spacing w:line="360" w:lineRule="exact"/>
        <w:rPr>
          <w:rFonts w:ascii="宋体" w:hAnsi="宋体"/>
          <w:b/>
          <w:snapToGrid w:val="0"/>
          <w:sz w:val="21"/>
          <w:szCs w:val="21"/>
        </w:rPr>
      </w:pPr>
      <w:r>
        <w:rPr>
          <w:rFonts w:hint="eastAsia" w:ascii="宋体" w:hAnsi="宋体"/>
          <w:b/>
          <w:snapToGrid w:val="0"/>
          <w:sz w:val="21"/>
          <w:szCs w:val="21"/>
        </w:rPr>
        <w:t>6.2 主要提交件</w:t>
      </w:r>
    </w:p>
    <w:p>
      <w:pPr>
        <w:snapToGrid w:val="0"/>
        <w:spacing w:line="360" w:lineRule="exact"/>
        <w:rPr>
          <w:rFonts w:ascii="宋体" w:hAnsi="宋体"/>
          <w:b/>
          <w:snapToGrid w:val="0"/>
          <w:sz w:val="21"/>
          <w:szCs w:val="21"/>
        </w:rPr>
      </w:pPr>
      <w:r>
        <w:rPr>
          <w:rFonts w:hint="eastAsia" w:ascii="宋体" w:hAnsi="宋体"/>
          <w:b/>
          <w:snapToGrid w:val="0"/>
          <w:sz w:val="21"/>
          <w:szCs w:val="21"/>
        </w:rPr>
        <w:t>6.2.1 土石方填筑施工措施计划</w:t>
      </w:r>
    </w:p>
    <w:p>
      <w:pPr>
        <w:pStyle w:val="4"/>
        <w:snapToGrid w:val="0"/>
        <w:spacing w:line="360" w:lineRule="exact"/>
        <w:ind w:firstLine="476" w:firstLineChars="227"/>
        <w:rPr>
          <w:rFonts w:ascii="宋体" w:hAnsi="宋体"/>
          <w:snapToGrid w:val="0"/>
          <w:sz w:val="21"/>
          <w:szCs w:val="21"/>
        </w:rPr>
      </w:pPr>
      <w:r>
        <w:rPr>
          <w:rFonts w:hint="eastAsia" w:ascii="宋体" w:hAnsi="宋体"/>
          <w:snapToGrid w:val="0"/>
          <w:sz w:val="21"/>
          <w:szCs w:val="21"/>
        </w:rPr>
        <w:t>在土石料填筑工程开工前28天，承包人应按施工图纸要求和监理人指示，提交一份包括下列内容的施工措施计划，报送监理人审批。</w:t>
      </w:r>
    </w:p>
    <w:p>
      <w:pPr>
        <w:pStyle w:val="4"/>
        <w:snapToGrid w:val="0"/>
        <w:spacing w:line="360" w:lineRule="exact"/>
        <w:ind w:firstLine="476" w:firstLineChars="227"/>
        <w:rPr>
          <w:rFonts w:ascii="宋体" w:hAnsi="宋体"/>
          <w:snapToGrid w:val="0"/>
          <w:sz w:val="21"/>
          <w:szCs w:val="21"/>
        </w:rPr>
      </w:pPr>
      <w:r>
        <w:rPr>
          <w:rFonts w:hint="eastAsia" w:ascii="宋体" w:hAnsi="宋体"/>
          <w:snapToGrid w:val="0"/>
          <w:sz w:val="21"/>
          <w:szCs w:val="21"/>
        </w:rPr>
        <w:t>（1）施工布置图；</w:t>
      </w:r>
    </w:p>
    <w:p>
      <w:pPr>
        <w:pStyle w:val="4"/>
        <w:snapToGrid w:val="0"/>
        <w:spacing w:line="360" w:lineRule="exact"/>
        <w:ind w:firstLine="476" w:firstLineChars="227"/>
        <w:rPr>
          <w:rFonts w:ascii="宋体" w:hAnsi="宋体"/>
          <w:snapToGrid w:val="0"/>
          <w:sz w:val="21"/>
          <w:szCs w:val="21"/>
        </w:rPr>
      </w:pPr>
      <w:r>
        <w:rPr>
          <w:rFonts w:hint="eastAsia" w:ascii="宋体" w:hAnsi="宋体"/>
          <w:snapToGrid w:val="0"/>
          <w:sz w:val="21"/>
          <w:szCs w:val="21"/>
        </w:rPr>
        <w:t>（2）土石方填筑程序和方法；</w:t>
      </w:r>
    </w:p>
    <w:p>
      <w:pPr>
        <w:pStyle w:val="4"/>
        <w:snapToGrid w:val="0"/>
        <w:spacing w:line="360" w:lineRule="exact"/>
        <w:ind w:firstLine="476" w:firstLineChars="227"/>
        <w:rPr>
          <w:rFonts w:ascii="宋体" w:hAnsi="宋体"/>
          <w:snapToGrid w:val="0"/>
          <w:sz w:val="21"/>
          <w:szCs w:val="21"/>
        </w:rPr>
      </w:pPr>
      <w:r>
        <w:rPr>
          <w:rFonts w:hint="eastAsia" w:ascii="宋体" w:hAnsi="宋体"/>
          <w:snapToGrid w:val="0"/>
          <w:sz w:val="21"/>
          <w:szCs w:val="21"/>
        </w:rPr>
        <w:t>（3）填料加工的要求和料物供应；</w:t>
      </w:r>
    </w:p>
    <w:p>
      <w:pPr>
        <w:pStyle w:val="4"/>
        <w:snapToGrid w:val="0"/>
        <w:spacing w:line="360" w:lineRule="exact"/>
        <w:ind w:firstLine="476" w:firstLineChars="227"/>
        <w:rPr>
          <w:rFonts w:ascii="宋体" w:hAnsi="宋体"/>
          <w:snapToGrid w:val="0"/>
          <w:sz w:val="21"/>
          <w:szCs w:val="21"/>
        </w:rPr>
      </w:pPr>
      <w:r>
        <w:rPr>
          <w:rFonts w:hint="eastAsia" w:ascii="宋体" w:hAnsi="宋体"/>
          <w:snapToGrid w:val="0"/>
          <w:sz w:val="21"/>
          <w:szCs w:val="21"/>
        </w:rPr>
        <w:t>（4）土石方平衡计划；</w:t>
      </w:r>
    </w:p>
    <w:p>
      <w:pPr>
        <w:pStyle w:val="4"/>
        <w:snapToGrid w:val="0"/>
        <w:spacing w:line="360" w:lineRule="exact"/>
        <w:ind w:firstLine="476" w:firstLineChars="227"/>
        <w:rPr>
          <w:rFonts w:ascii="宋体" w:hAnsi="宋体"/>
          <w:snapToGrid w:val="0"/>
          <w:sz w:val="21"/>
          <w:szCs w:val="21"/>
        </w:rPr>
      </w:pPr>
      <w:r>
        <w:rPr>
          <w:rFonts w:hint="eastAsia" w:ascii="宋体" w:hAnsi="宋体"/>
          <w:snapToGrid w:val="0"/>
          <w:sz w:val="21"/>
          <w:szCs w:val="21"/>
        </w:rPr>
        <w:t>（5）防渗结构的施工措施和方法；</w:t>
      </w:r>
    </w:p>
    <w:p>
      <w:pPr>
        <w:pStyle w:val="4"/>
        <w:snapToGrid w:val="0"/>
        <w:spacing w:line="360" w:lineRule="exact"/>
        <w:ind w:firstLine="476" w:firstLineChars="227"/>
        <w:rPr>
          <w:rFonts w:ascii="宋体" w:hAnsi="宋体"/>
          <w:snapToGrid w:val="0"/>
          <w:sz w:val="21"/>
          <w:szCs w:val="21"/>
        </w:rPr>
      </w:pPr>
      <w:r>
        <w:rPr>
          <w:rFonts w:hint="eastAsia" w:ascii="宋体" w:hAnsi="宋体"/>
          <w:snapToGrid w:val="0"/>
          <w:sz w:val="21"/>
          <w:szCs w:val="21"/>
        </w:rPr>
        <w:t>（6）施工设备和设施的配置；</w:t>
      </w:r>
    </w:p>
    <w:p>
      <w:pPr>
        <w:pStyle w:val="4"/>
        <w:snapToGrid w:val="0"/>
        <w:spacing w:line="360" w:lineRule="exact"/>
        <w:ind w:firstLine="476" w:firstLineChars="227"/>
        <w:rPr>
          <w:rFonts w:ascii="宋体" w:hAnsi="宋体"/>
          <w:snapToGrid w:val="0"/>
          <w:sz w:val="21"/>
          <w:szCs w:val="21"/>
        </w:rPr>
      </w:pPr>
      <w:r>
        <w:rPr>
          <w:rFonts w:hint="eastAsia" w:ascii="宋体" w:hAnsi="宋体"/>
          <w:snapToGrid w:val="0"/>
          <w:sz w:val="21"/>
          <w:szCs w:val="21"/>
        </w:rPr>
        <w:t>（7）质量与安全保证措施；</w:t>
      </w:r>
    </w:p>
    <w:p>
      <w:pPr>
        <w:pStyle w:val="4"/>
        <w:snapToGrid w:val="0"/>
        <w:spacing w:line="360" w:lineRule="exact"/>
        <w:ind w:firstLine="476" w:firstLineChars="227"/>
        <w:rPr>
          <w:rFonts w:ascii="宋体" w:hAnsi="宋体"/>
          <w:snapToGrid w:val="0"/>
          <w:sz w:val="21"/>
          <w:szCs w:val="21"/>
        </w:rPr>
      </w:pPr>
      <w:r>
        <w:rPr>
          <w:rFonts w:hint="eastAsia" w:ascii="宋体" w:hAnsi="宋体"/>
          <w:snapToGrid w:val="0"/>
          <w:sz w:val="21"/>
          <w:szCs w:val="21"/>
        </w:rPr>
        <w:t>（8）施工进度计划。</w:t>
      </w:r>
    </w:p>
    <w:p>
      <w:pPr>
        <w:snapToGrid w:val="0"/>
        <w:spacing w:line="360" w:lineRule="exact"/>
        <w:rPr>
          <w:rFonts w:ascii="宋体" w:hAnsi="宋体"/>
          <w:sz w:val="21"/>
          <w:szCs w:val="21"/>
        </w:rPr>
      </w:pPr>
      <w:r>
        <w:rPr>
          <w:rFonts w:hint="eastAsia" w:ascii="宋体" w:hAnsi="宋体"/>
          <w:b/>
          <w:snapToGrid w:val="0"/>
          <w:sz w:val="21"/>
          <w:szCs w:val="21"/>
        </w:rPr>
        <w:t>6.2.2 地形测量资料</w:t>
      </w:r>
    </w:p>
    <w:p>
      <w:pPr>
        <w:pStyle w:val="4"/>
        <w:snapToGrid w:val="0"/>
        <w:spacing w:line="360" w:lineRule="exact"/>
        <w:ind w:firstLine="476" w:firstLineChars="227"/>
        <w:rPr>
          <w:rFonts w:ascii="宋体" w:hAnsi="宋体"/>
          <w:snapToGrid w:val="0"/>
          <w:sz w:val="21"/>
          <w:szCs w:val="21"/>
        </w:rPr>
      </w:pPr>
      <w:r>
        <w:rPr>
          <w:rFonts w:hint="eastAsia" w:ascii="宋体" w:hAnsi="宋体"/>
          <w:snapToGrid w:val="0"/>
          <w:sz w:val="21"/>
          <w:szCs w:val="21"/>
        </w:rPr>
        <w:t>土石方填筑工程开工前</w:t>
      </w:r>
      <w:r>
        <w:rPr>
          <w:rFonts w:hint="eastAsia" w:ascii="宋体" w:hAnsi="宋体"/>
          <w:snapToGrid w:val="0"/>
          <w:sz w:val="21"/>
          <w:szCs w:val="21"/>
          <w:u w:val="single"/>
        </w:rPr>
        <w:t>28</w:t>
      </w:r>
      <w:r>
        <w:rPr>
          <w:rFonts w:hint="eastAsia" w:ascii="宋体" w:hAnsi="宋体"/>
          <w:snapToGrid w:val="0"/>
          <w:sz w:val="21"/>
          <w:szCs w:val="21"/>
        </w:rPr>
        <w:t>天，承包人应将填筑区基础开挖验收后实测的平、剖面地形测量资料报送监理人，经监理人签认的地形测量资料作为填筑工程量计量的原始依据。</w:t>
      </w:r>
    </w:p>
    <w:p>
      <w:pPr>
        <w:snapToGrid w:val="0"/>
        <w:spacing w:line="360" w:lineRule="exact"/>
        <w:rPr>
          <w:rFonts w:ascii="宋体" w:hAnsi="宋体"/>
          <w:b/>
          <w:snapToGrid w:val="0"/>
          <w:sz w:val="21"/>
          <w:szCs w:val="21"/>
        </w:rPr>
      </w:pPr>
      <w:r>
        <w:rPr>
          <w:rFonts w:hint="eastAsia" w:ascii="宋体" w:hAnsi="宋体"/>
          <w:b/>
          <w:snapToGrid w:val="0"/>
          <w:sz w:val="21"/>
          <w:szCs w:val="21"/>
        </w:rPr>
        <w:t>6.2.3 现场生产性试验计划和试验成果报告</w:t>
      </w:r>
    </w:p>
    <w:p>
      <w:pPr>
        <w:pStyle w:val="4"/>
        <w:snapToGrid w:val="0"/>
        <w:spacing w:line="360" w:lineRule="exact"/>
        <w:ind w:firstLine="476" w:firstLineChars="227"/>
        <w:rPr>
          <w:rFonts w:ascii="宋体" w:hAnsi="宋体"/>
          <w:snapToGrid w:val="0"/>
          <w:sz w:val="21"/>
          <w:szCs w:val="21"/>
        </w:rPr>
      </w:pPr>
      <w:r>
        <w:rPr>
          <w:rFonts w:hint="eastAsia" w:ascii="宋体" w:hAnsi="宋体"/>
          <w:snapToGrid w:val="0"/>
          <w:sz w:val="21"/>
          <w:szCs w:val="21"/>
        </w:rPr>
        <w:t>土石方填筑工程开工前42天，承包人应根据本技术条款有关规定获得的料场复查资料，以及根据本技术条款有关料场规划中提供的各种土石方填筑料源，提交一份包括本章有关所列工作内容的现场生产性试验计划，报送监理人审批，试验成果应报送监理人。</w:t>
      </w:r>
    </w:p>
    <w:p>
      <w:pPr>
        <w:snapToGrid w:val="0"/>
        <w:spacing w:line="360" w:lineRule="exact"/>
        <w:rPr>
          <w:rFonts w:ascii="宋体" w:hAnsi="宋体"/>
          <w:b/>
          <w:snapToGrid w:val="0"/>
          <w:sz w:val="21"/>
          <w:szCs w:val="21"/>
        </w:rPr>
      </w:pPr>
      <w:r>
        <w:rPr>
          <w:rFonts w:hint="eastAsia" w:ascii="宋体" w:hAnsi="宋体"/>
          <w:b/>
          <w:snapToGrid w:val="0"/>
          <w:sz w:val="21"/>
          <w:szCs w:val="21"/>
        </w:rPr>
        <w:t>6.2.4 完工验收资料</w:t>
      </w:r>
    </w:p>
    <w:p>
      <w:pPr>
        <w:pStyle w:val="4"/>
        <w:snapToGrid w:val="0"/>
        <w:spacing w:line="360" w:lineRule="exact"/>
        <w:ind w:firstLine="476" w:firstLineChars="227"/>
        <w:rPr>
          <w:rFonts w:ascii="宋体" w:hAnsi="宋体"/>
          <w:snapToGrid w:val="0"/>
          <w:sz w:val="21"/>
          <w:szCs w:val="21"/>
        </w:rPr>
      </w:pPr>
      <w:r>
        <w:rPr>
          <w:rFonts w:hint="eastAsia" w:ascii="宋体" w:hAnsi="宋体"/>
          <w:snapToGrid w:val="0"/>
          <w:sz w:val="21"/>
          <w:szCs w:val="21"/>
        </w:rPr>
        <w:t>土石方填筑工程完工后，承包人应按本合同《通用合同条款》的规定，为监理人进行完工验收提交以下完工资料：</w:t>
      </w:r>
    </w:p>
    <w:p>
      <w:pPr>
        <w:pStyle w:val="4"/>
        <w:snapToGrid w:val="0"/>
        <w:spacing w:line="360" w:lineRule="exact"/>
        <w:ind w:firstLine="476" w:firstLineChars="227"/>
        <w:rPr>
          <w:rFonts w:ascii="宋体" w:hAnsi="宋体"/>
          <w:snapToGrid w:val="0"/>
          <w:sz w:val="21"/>
          <w:szCs w:val="21"/>
        </w:rPr>
      </w:pPr>
      <w:r>
        <w:rPr>
          <w:rFonts w:hint="eastAsia" w:ascii="宋体" w:hAnsi="宋体"/>
          <w:snapToGrid w:val="0"/>
          <w:sz w:val="21"/>
          <w:szCs w:val="21"/>
        </w:rPr>
        <w:t>（1）土石方填筑工程（包括填筑体防渗结构）竣工图；</w:t>
      </w:r>
    </w:p>
    <w:p>
      <w:pPr>
        <w:pStyle w:val="4"/>
        <w:snapToGrid w:val="0"/>
        <w:spacing w:line="360" w:lineRule="exact"/>
        <w:ind w:firstLine="476" w:firstLineChars="227"/>
        <w:rPr>
          <w:rFonts w:ascii="宋体" w:hAnsi="宋体"/>
          <w:snapToGrid w:val="0"/>
          <w:sz w:val="21"/>
          <w:szCs w:val="21"/>
        </w:rPr>
      </w:pPr>
      <w:r>
        <w:rPr>
          <w:rFonts w:hint="eastAsia" w:ascii="宋体" w:hAnsi="宋体"/>
          <w:snapToGrid w:val="0"/>
          <w:sz w:val="21"/>
          <w:szCs w:val="21"/>
        </w:rPr>
        <w:t>（2）土石方填筑工程基础地质编录资料；</w:t>
      </w:r>
    </w:p>
    <w:p>
      <w:pPr>
        <w:pStyle w:val="4"/>
        <w:snapToGrid w:val="0"/>
        <w:spacing w:line="360" w:lineRule="exact"/>
        <w:ind w:firstLine="476" w:firstLineChars="227"/>
        <w:rPr>
          <w:rFonts w:ascii="宋体" w:hAnsi="宋体"/>
          <w:snapToGrid w:val="0"/>
          <w:sz w:val="21"/>
          <w:szCs w:val="21"/>
        </w:rPr>
      </w:pPr>
      <w:r>
        <w:rPr>
          <w:rFonts w:hint="eastAsia" w:ascii="宋体" w:hAnsi="宋体"/>
          <w:snapToGrid w:val="0"/>
          <w:sz w:val="21"/>
          <w:szCs w:val="21"/>
        </w:rPr>
        <w:t>（3）土石料填筑现场生产性试验成果；</w:t>
      </w:r>
    </w:p>
    <w:p>
      <w:pPr>
        <w:pStyle w:val="4"/>
        <w:snapToGrid w:val="0"/>
        <w:spacing w:line="360" w:lineRule="exact"/>
        <w:ind w:firstLine="476" w:firstLineChars="227"/>
        <w:rPr>
          <w:rFonts w:ascii="宋体" w:hAnsi="宋体"/>
          <w:snapToGrid w:val="0"/>
          <w:sz w:val="21"/>
          <w:szCs w:val="21"/>
        </w:rPr>
      </w:pPr>
      <w:r>
        <w:rPr>
          <w:rFonts w:hint="eastAsia" w:ascii="宋体" w:hAnsi="宋体"/>
          <w:snapToGrid w:val="0"/>
          <w:sz w:val="21"/>
          <w:szCs w:val="21"/>
        </w:rPr>
        <w:t>（4）各土石方填筑体的材料填筑质量和防渗结构施工质量报告；</w:t>
      </w:r>
    </w:p>
    <w:p>
      <w:pPr>
        <w:pStyle w:val="4"/>
        <w:snapToGrid w:val="0"/>
        <w:spacing w:line="360" w:lineRule="exact"/>
        <w:ind w:firstLine="476" w:firstLineChars="227"/>
        <w:rPr>
          <w:rFonts w:ascii="宋体" w:hAnsi="宋体"/>
          <w:snapToGrid w:val="0"/>
          <w:sz w:val="21"/>
          <w:szCs w:val="21"/>
        </w:rPr>
      </w:pPr>
      <w:r>
        <w:rPr>
          <w:rFonts w:hint="eastAsia" w:ascii="宋体" w:hAnsi="宋体"/>
          <w:snapToGrid w:val="0"/>
          <w:sz w:val="21"/>
          <w:szCs w:val="21"/>
        </w:rPr>
        <w:t>（5）施工期的观测成果；</w:t>
      </w:r>
    </w:p>
    <w:p>
      <w:pPr>
        <w:pStyle w:val="4"/>
        <w:snapToGrid w:val="0"/>
        <w:spacing w:line="360" w:lineRule="exact"/>
        <w:ind w:firstLine="476" w:firstLineChars="227"/>
        <w:rPr>
          <w:rFonts w:ascii="宋体" w:hAnsi="宋体"/>
          <w:snapToGrid w:val="0"/>
          <w:sz w:val="21"/>
          <w:szCs w:val="21"/>
        </w:rPr>
      </w:pPr>
      <w:r>
        <w:rPr>
          <w:rFonts w:hint="eastAsia" w:ascii="宋体" w:hAnsi="宋体"/>
          <w:snapToGrid w:val="0"/>
          <w:sz w:val="21"/>
          <w:szCs w:val="21"/>
        </w:rPr>
        <w:t>（6）质量事故处理报告；</w:t>
      </w:r>
    </w:p>
    <w:p>
      <w:pPr>
        <w:pStyle w:val="4"/>
        <w:snapToGrid w:val="0"/>
        <w:spacing w:line="360" w:lineRule="exact"/>
        <w:ind w:firstLine="476" w:firstLineChars="227"/>
        <w:rPr>
          <w:rFonts w:ascii="宋体" w:hAnsi="宋体"/>
          <w:snapToGrid w:val="0"/>
          <w:sz w:val="21"/>
          <w:szCs w:val="21"/>
        </w:rPr>
      </w:pPr>
      <w:r>
        <w:rPr>
          <w:rFonts w:hint="eastAsia" w:ascii="宋体" w:hAnsi="宋体"/>
          <w:snapToGrid w:val="0"/>
          <w:sz w:val="21"/>
          <w:szCs w:val="21"/>
        </w:rPr>
        <w:t>（7）工程隐蔽部位的检查验收报告；</w:t>
      </w:r>
    </w:p>
    <w:p>
      <w:pPr>
        <w:pStyle w:val="4"/>
        <w:snapToGrid w:val="0"/>
        <w:spacing w:line="360" w:lineRule="exact"/>
        <w:ind w:firstLine="476" w:firstLineChars="227"/>
        <w:rPr>
          <w:rFonts w:ascii="宋体" w:hAnsi="宋体"/>
          <w:snapToGrid w:val="0"/>
          <w:sz w:val="21"/>
          <w:szCs w:val="21"/>
        </w:rPr>
      </w:pPr>
      <w:r>
        <w:rPr>
          <w:rFonts w:hint="eastAsia" w:ascii="宋体" w:hAnsi="宋体"/>
          <w:snapToGrid w:val="0"/>
          <w:sz w:val="21"/>
          <w:szCs w:val="21"/>
        </w:rPr>
        <w:t>（8）监理人要求提供的其他资料。</w:t>
      </w:r>
    </w:p>
    <w:p>
      <w:pPr>
        <w:snapToGrid w:val="0"/>
        <w:spacing w:line="360" w:lineRule="exact"/>
        <w:rPr>
          <w:rFonts w:ascii="宋体" w:hAnsi="宋体"/>
          <w:b/>
          <w:snapToGrid w:val="0"/>
          <w:sz w:val="21"/>
          <w:szCs w:val="21"/>
        </w:rPr>
      </w:pPr>
      <w:r>
        <w:rPr>
          <w:rFonts w:hint="eastAsia" w:ascii="宋体" w:hAnsi="宋体"/>
          <w:b/>
          <w:snapToGrid w:val="0"/>
          <w:sz w:val="21"/>
          <w:szCs w:val="21"/>
        </w:rPr>
        <w:t>6.3 引用标准和规程规范</w:t>
      </w:r>
    </w:p>
    <w:p>
      <w:pPr>
        <w:pStyle w:val="4"/>
        <w:snapToGrid w:val="0"/>
        <w:spacing w:line="360" w:lineRule="exact"/>
        <w:ind w:firstLine="476" w:firstLineChars="227"/>
        <w:rPr>
          <w:rFonts w:ascii="宋体" w:hAnsi="宋体"/>
          <w:snapToGrid w:val="0"/>
          <w:sz w:val="21"/>
          <w:szCs w:val="21"/>
        </w:rPr>
      </w:pPr>
      <w:r>
        <w:rPr>
          <w:rFonts w:hint="eastAsia" w:ascii="宋体" w:hAnsi="宋体"/>
          <w:snapToGrid w:val="0"/>
          <w:sz w:val="21"/>
          <w:szCs w:val="21"/>
        </w:rPr>
        <w:t>⑴《碾压式土石坝施工规范》 DL/T5129－2013；</w:t>
      </w:r>
    </w:p>
    <w:p>
      <w:pPr>
        <w:pStyle w:val="4"/>
        <w:snapToGrid w:val="0"/>
        <w:spacing w:line="360" w:lineRule="exact"/>
        <w:ind w:firstLine="476" w:firstLineChars="227"/>
        <w:rPr>
          <w:rFonts w:ascii="宋体" w:hAnsi="宋体"/>
          <w:snapToGrid w:val="0"/>
          <w:sz w:val="21"/>
          <w:szCs w:val="21"/>
        </w:rPr>
      </w:pPr>
      <w:r>
        <w:rPr>
          <w:rFonts w:hint="eastAsia" w:ascii="宋体" w:hAnsi="宋体"/>
          <w:snapToGrid w:val="0"/>
          <w:sz w:val="21"/>
          <w:szCs w:val="21"/>
        </w:rPr>
        <w:t>⑵《水利水电工程施工组织设计规范》(SL303-2017)；</w:t>
      </w:r>
    </w:p>
    <w:p>
      <w:pPr>
        <w:pStyle w:val="4"/>
        <w:snapToGrid w:val="0"/>
        <w:spacing w:line="360" w:lineRule="exact"/>
        <w:ind w:firstLine="476" w:firstLineChars="227"/>
        <w:rPr>
          <w:rFonts w:ascii="宋体" w:hAnsi="宋体"/>
          <w:snapToGrid w:val="0"/>
          <w:sz w:val="21"/>
          <w:szCs w:val="21"/>
        </w:rPr>
      </w:pPr>
      <w:r>
        <w:rPr>
          <w:rFonts w:hint="eastAsia" w:ascii="宋体" w:hAnsi="宋体"/>
          <w:snapToGrid w:val="0"/>
          <w:sz w:val="21"/>
          <w:szCs w:val="21"/>
        </w:rPr>
        <w:t>⑶《堤防工程施工规范》SL260-2014；</w:t>
      </w:r>
    </w:p>
    <w:p>
      <w:pPr>
        <w:pStyle w:val="4"/>
        <w:snapToGrid w:val="0"/>
        <w:spacing w:line="360" w:lineRule="exact"/>
        <w:ind w:firstLine="476" w:firstLineChars="227"/>
        <w:rPr>
          <w:rFonts w:ascii="宋体" w:hAnsi="宋体"/>
          <w:snapToGrid w:val="0"/>
          <w:sz w:val="21"/>
          <w:szCs w:val="21"/>
        </w:rPr>
      </w:pPr>
      <w:r>
        <w:rPr>
          <w:rFonts w:hint="eastAsia" w:ascii="宋体" w:hAnsi="宋体"/>
          <w:snapToGrid w:val="0"/>
          <w:sz w:val="21"/>
          <w:szCs w:val="21"/>
        </w:rPr>
        <w:t>⑷《土工试验规程》 SL237－1999；</w:t>
      </w:r>
    </w:p>
    <w:p>
      <w:pPr>
        <w:pStyle w:val="4"/>
        <w:snapToGrid w:val="0"/>
        <w:spacing w:line="360" w:lineRule="exact"/>
        <w:ind w:firstLine="476" w:firstLineChars="227"/>
        <w:rPr>
          <w:rFonts w:ascii="宋体" w:hAnsi="宋体"/>
          <w:snapToGrid w:val="0"/>
          <w:sz w:val="21"/>
          <w:szCs w:val="21"/>
        </w:rPr>
      </w:pPr>
      <w:r>
        <w:rPr>
          <w:rFonts w:hint="eastAsia" w:ascii="宋体" w:hAnsi="宋体"/>
          <w:snapToGrid w:val="0"/>
          <w:sz w:val="21"/>
          <w:szCs w:val="21"/>
        </w:rPr>
        <w:t>⑸ 本章各专项施工技术涉及的其它有关标准和规程规范。</w:t>
      </w:r>
    </w:p>
    <w:p>
      <w:pPr>
        <w:snapToGrid w:val="0"/>
        <w:spacing w:line="360" w:lineRule="exact"/>
        <w:rPr>
          <w:rFonts w:ascii="宋体" w:hAnsi="宋体"/>
          <w:b/>
          <w:snapToGrid w:val="0"/>
          <w:sz w:val="21"/>
          <w:szCs w:val="21"/>
        </w:rPr>
      </w:pPr>
      <w:bookmarkStart w:id="684" w:name="_Toc333835511"/>
      <w:r>
        <w:rPr>
          <w:rFonts w:hint="eastAsia" w:ascii="宋体" w:hAnsi="宋体"/>
          <w:b/>
          <w:snapToGrid w:val="0"/>
          <w:sz w:val="21"/>
          <w:szCs w:val="21"/>
        </w:rPr>
        <w:t>6.4　料源要求</w:t>
      </w:r>
      <w:bookmarkEnd w:id="684"/>
    </w:p>
    <w:p>
      <w:pPr>
        <w:pStyle w:val="14"/>
        <w:snapToGrid w:val="0"/>
        <w:spacing w:line="360" w:lineRule="exact"/>
        <w:ind w:firstLine="308" w:firstLineChars="147"/>
        <w:rPr>
          <w:rFonts w:hAnsi="宋体"/>
          <w:snapToGrid w:val="0"/>
          <w:szCs w:val="21"/>
        </w:rPr>
      </w:pPr>
      <w:r>
        <w:rPr>
          <w:rFonts w:hint="eastAsia" w:hAnsi="宋体"/>
          <w:snapToGrid w:val="0"/>
          <w:szCs w:val="21"/>
        </w:rPr>
        <w:t xml:space="preserve"> 本工程填筑</w:t>
      </w:r>
      <w:r>
        <w:rPr>
          <w:rFonts w:hAnsi="宋体"/>
          <w:snapToGrid w:val="0"/>
          <w:szCs w:val="21"/>
        </w:rPr>
        <w:t>料</w:t>
      </w:r>
      <w:r>
        <w:rPr>
          <w:rFonts w:hint="eastAsia" w:hAnsi="宋体"/>
          <w:snapToGrid w:val="0"/>
          <w:szCs w:val="21"/>
        </w:rPr>
        <w:t>利用开挖料</w:t>
      </w:r>
      <w:r>
        <w:rPr>
          <w:rFonts w:hAnsi="宋体"/>
          <w:snapToGrid w:val="0"/>
          <w:szCs w:val="21"/>
        </w:rPr>
        <w:t>，</w:t>
      </w:r>
      <w:r>
        <w:rPr>
          <w:rFonts w:hint="eastAsia" w:hAnsi="宋体"/>
          <w:snapToGrid w:val="0"/>
          <w:szCs w:val="21"/>
        </w:rPr>
        <w:t>若利用开挖料不满足填筑要求，填筑料由承包人自行解决料源，填筑料的各大项性能指标应满足设计及规范要求，只有合格的土料才可运到堤上填筑。</w:t>
      </w:r>
    </w:p>
    <w:p>
      <w:pPr>
        <w:snapToGrid w:val="0"/>
        <w:spacing w:line="360" w:lineRule="exact"/>
        <w:rPr>
          <w:rFonts w:ascii="宋体" w:hAnsi="宋体"/>
          <w:b/>
          <w:snapToGrid w:val="0"/>
          <w:sz w:val="21"/>
          <w:szCs w:val="21"/>
        </w:rPr>
      </w:pPr>
      <w:bookmarkStart w:id="685" w:name="_Toc333835513"/>
      <w:r>
        <w:rPr>
          <w:rFonts w:hint="eastAsia" w:ascii="宋体" w:hAnsi="宋体"/>
          <w:b/>
          <w:snapToGrid w:val="0"/>
          <w:sz w:val="21"/>
          <w:szCs w:val="21"/>
        </w:rPr>
        <w:t>6.5　填筑工程施工</w:t>
      </w:r>
      <w:bookmarkEnd w:id="685"/>
    </w:p>
    <w:p>
      <w:pPr>
        <w:snapToGrid w:val="0"/>
        <w:spacing w:line="360" w:lineRule="exact"/>
        <w:ind w:firstLine="420" w:firstLineChars="200"/>
        <w:rPr>
          <w:rFonts w:ascii="宋体" w:hAnsi="宋体"/>
          <w:sz w:val="21"/>
          <w:szCs w:val="21"/>
        </w:rPr>
      </w:pPr>
      <w:r>
        <w:rPr>
          <w:rFonts w:hint="eastAsia" w:ascii="宋体" w:hAnsi="宋体"/>
          <w:sz w:val="21"/>
          <w:szCs w:val="21"/>
        </w:rPr>
        <w:t>1、一般要求</w:t>
      </w:r>
    </w:p>
    <w:p>
      <w:pPr>
        <w:snapToGrid w:val="0"/>
        <w:spacing w:line="360" w:lineRule="exact"/>
        <w:ind w:firstLine="420" w:firstLineChars="200"/>
        <w:rPr>
          <w:rFonts w:ascii="宋体" w:hAnsi="宋体"/>
          <w:sz w:val="21"/>
          <w:szCs w:val="21"/>
        </w:rPr>
      </w:pPr>
      <w:r>
        <w:rPr>
          <w:rFonts w:hint="eastAsia" w:ascii="宋体" w:hAnsi="宋体"/>
          <w:sz w:val="21"/>
          <w:szCs w:val="21"/>
        </w:rPr>
        <w:t>(1)</w:t>
      </w:r>
      <w:r>
        <w:rPr>
          <w:rFonts w:ascii="宋体" w:hAnsi="宋体"/>
          <w:sz w:val="21"/>
          <w:szCs w:val="21"/>
        </w:rPr>
        <w:t xml:space="preserve"> 清除填筑范围内残留存的朽木、树根、杂草的腐蚀物质，并排除基坑积水；填筑应在基础处理经监理人验收合格进行。</w:t>
      </w:r>
    </w:p>
    <w:p>
      <w:pPr>
        <w:snapToGrid w:val="0"/>
        <w:spacing w:line="360" w:lineRule="exact"/>
        <w:ind w:firstLine="420" w:firstLineChars="200"/>
        <w:rPr>
          <w:rFonts w:ascii="宋体" w:hAnsi="宋体"/>
          <w:sz w:val="21"/>
          <w:szCs w:val="21"/>
        </w:rPr>
      </w:pPr>
      <w:r>
        <w:rPr>
          <w:rFonts w:hint="eastAsia" w:ascii="宋体" w:hAnsi="宋体"/>
          <w:sz w:val="21"/>
          <w:szCs w:val="21"/>
        </w:rPr>
        <w:t>(2)填筑工程的施工测量、放样应遵守SL260-2014第2.2节的规定。</w:t>
      </w:r>
    </w:p>
    <w:p>
      <w:pPr>
        <w:snapToGrid w:val="0"/>
        <w:spacing w:line="360" w:lineRule="exact"/>
        <w:ind w:firstLine="420" w:firstLineChars="200"/>
        <w:rPr>
          <w:rFonts w:ascii="宋体" w:hAnsi="宋体"/>
          <w:sz w:val="21"/>
          <w:szCs w:val="21"/>
        </w:rPr>
      </w:pPr>
      <w:r>
        <w:rPr>
          <w:rFonts w:hint="eastAsia" w:ascii="宋体" w:hAnsi="宋体"/>
          <w:sz w:val="21"/>
          <w:szCs w:val="21"/>
        </w:rPr>
        <w:t>(3)填筑工程的料场核查应遵守SL260-</w:t>
      </w:r>
      <w:bookmarkStart w:id="686" w:name="第13章04"/>
      <w:bookmarkEnd w:id="686"/>
      <w:bookmarkStart w:id="687" w:name="第13章05"/>
      <w:bookmarkEnd w:id="687"/>
      <w:bookmarkStart w:id="688" w:name="_Toc321644452"/>
      <w:bookmarkStart w:id="689" w:name="_Toc311292621"/>
      <w:bookmarkStart w:id="690" w:name="_Toc303001174"/>
      <w:bookmarkStart w:id="691" w:name="_Toc314500843"/>
      <w:bookmarkStart w:id="692" w:name="_Toc314906128"/>
      <w:r>
        <w:rPr>
          <w:rFonts w:hint="eastAsia" w:ascii="宋体" w:hAnsi="宋体"/>
          <w:sz w:val="21"/>
          <w:szCs w:val="21"/>
        </w:rPr>
        <w:t>2014第2.3节的</w:t>
      </w:r>
      <w:bookmarkEnd w:id="688"/>
      <w:bookmarkEnd w:id="689"/>
      <w:bookmarkEnd w:id="690"/>
      <w:bookmarkEnd w:id="691"/>
      <w:bookmarkEnd w:id="692"/>
      <w:r>
        <w:rPr>
          <w:rFonts w:hint="eastAsia" w:ascii="宋体" w:hAnsi="宋体"/>
          <w:sz w:val="21"/>
          <w:szCs w:val="21"/>
        </w:rPr>
        <w:t>规定。</w:t>
      </w:r>
    </w:p>
    <w:p>
      <w:pPr>
        <w:snapToGrid w:val="0"/>
        <w:spacing w:line="360" w:lineRule="exact"/>
        <w:ind w:firstLine="420" w:firstLineChars="200"/>
        <w:rPr>
          <w:rFonts w:ascii="宋体" w:hAnsi="宋体"/>
          <w:sz w:val="21"/>
          <w:szCs w:val="21"/>
        </w:rPr>
      </w:pPr>
      <w:r>
        <w:rPr>
          <w:rFonts w:hint="eastAsia" w:ascii="宋体" w:hAnsi="宋体"/>
          <w:sz w:val="21"/>
          <w:szCs w:val="21"/>
        </w:rPr>
        <w:t>(4)机械设备及材料准备应遵守SL260-2014第2.4节的规定。</w:t>
      </w:r>
    </w:p>
    <w:p>
      <w:pPr>
        <w:snapToGrid w:val="0"/>
        <w:spacing w:line="360" w:lineRule="exact"/>
        <w:ind w:firstLine="420" w:firstLineChars="200"/>
        <w:rPr>
          <w:rFonts w:ascii="宋体" w:hAnsi="宋体"/>
          <w:sz w:val="21"/>
          <w:szCs w:val="21"/>
        </w:rPr>
      </w:pPr>
      <w:r>
        <w:rPr>
          <w:rFonts w:hint="eastAsia" w:ascii="宋体" w:hAnsi="宋体"/>
          <w:sz w:val="21"/>
          <w:szCs w:val="21"/>
        </w:rPr>
        <w:t>(5)度汛、导流的洪水标准应遵守SL260-2014第3章的规定。</w:t>
      </w:r>
    </w:p>
    <w:p>
      <w:pPr>
        <w:snapToGrid w:val="0"/>
        <w:spacing w:line="360" w:lineRule="exact"/>
        <w:ind w:firstLine="420" w:firstLineChars="200"/>
        <w:rPr>
          <w:rFonts w:ascii="宋体" w:hAnsi="宋体"/>
          <w:sz w:val="21"/>
          <w:szCs w:val="21"/>
        </w:rPr>
      </w:pPr>
      <w:r>
        <w:rPr>
          <w:rFonts w:hint="eastAsia" w:ascii="宋体" w:hAnsi="宋体"/>
          <w:sz w:val="21"/>
          <w:szCs w:val="21"/>
        </w:rPr>
        <w:t>2、填筑施工</w:t>
      </w:r>
    </w:p>
    <w:p>
      <w:pPr>
        <w:snapToGrid w:val="0"/>
        <w:spacing w:line="360" w:lineRule="exact"/>
        <w:ind w:firstLine="420" w:firstLineChars="200"/>
        <w:rPr>
          <w:rFonts w:ascii="宋体" w:hAnsi="宋体"/>
          <w:sz w:val="21"/>
          <w:szCs w:val="21"/>
        </w:rPr>
      </w:pPr>
      <w:r>
        <w:rPr>
          <w:rFonts w:hint="eastAsia" w:ascii="宋体" w:hAnsi="宋体"/>
          <w:sz w:val="21"/>
          <w:szCs w:val="21"/>
        </w:rPr>
        <w:t>(1)筑堤材料应遵守SL260-2014第4章的规定。</w:t>
      </w:r>
    </w:p>
    <w:p>
      <w:pPr>
        <w:snapToGrid w:val="0"/>
        <w:spacing w:line="360" w:lineRule="exact"/>
        <w:ind w:firstLine="420" w:firstLineChars="200"/>
        <w:rPr>
          <w:rFonts w:ascii="宋体" w:hAnsi="宋体"/>
          <w:sz w:val="21"/>
          <w:szCs w:val="21"/>
        </w:rPr>
      </w:pPr>
      <w:r>
        <w:rPr>
          <w:rFonts w:hint="eastAsia" w:ascii="宋体" w:hAnsi="宋体"/>
          <w:sz w:val="21"/>
          <w:szCs w:val="21"/>
        </w:rPr>
        <w:t>(2)土方填筑应遵守按SL260-2014第5章、第6章的规定。</w:t>
      </w:r>
    </w:p>
    <w:p>
      <w:pPr>
        <w:snapToGrid w:val="0"/>
        <w:spacing w:line="360" w:lineRule="exact"/>
        <w:rPr>
          <w:rFonts w:ascii="宋体" w:hAnsi="宋体"/>
          <w:b/>
          <w:snapToGrid w:val="0"/>
          <w:sz w:val="21"/>
          <w:szCs w:val="21"/>
        </w:rPr>
      </w:pPr>
      <w:r>
        <w:rPr>
          <w:rFonts w:hint="eastAsia" w:ascii="宋体" w:hAnsi="宋体"/>
          <w:b/>
          <w:snapToGrid w:val="0"/>
          <w:sz w:val="21"/>
          <w:szCs w:val="21"/>
        </w:rPr>
        <w:t>6.7 质量检查和验收</w:t>
      </w:r>
    </w:p>
    <w:p>
      <w:pPr>
        <w:snapToGrid w:val="0"/>
        <w:spacing w:line="360" w:lineRule="exact"/>
        <w:rPr>
          <w:rFonts w:ascii="宋体" w:hAnsi="宋体"/>
          <w:b/>
          <w:snapToGrid w:val="0"/>
          <w:sz w:val="21"/>
          <w:szCs w:val="21"/>
        </w:rPr>
      </w:pPr>
      <w:r>
        <w:rPr>
          <w:rFonts w:hint="eastAsia" w:ascii="宋体" w:hAnsi="宋体"/>
          <w:b/>
          <w:snapToGrid w:val="0"/>
          <w:sz w:val="21"/>
          <w:szCs w:val="21"/>
        </w:rPr>
        <w:t>6.7.1 土石方填筑前的质量检查和验收</w:t>
      </w:r>
    </w:p>
    <w:p>
      <w:pPr>
        <w:pStyle w:val="14"/>
        <w:snapToGrid w:val="0"/>
        <w:spacing w:line="360" w:lineRule="exact"/>
        <w:ind w:firstLine="308" w:firstLineChars="147"/>
        <w:rPr>
          <w:rFonts w:hAnsi="宋体"/>
          <w:snapToGrid w:val="0"/>
          <w:szCs w:val="21"/>
        </w:rPr>
      </w:pPr>
      <w:r>
        <w:rPr>
          <w:rFonts w:hint="eastAsia" w:hAnsi="宋体"/>
          <w:snapToGrid w:val="0"/>
          <w:szCs w:val="21"/>
        </w:rPr>
        <w:t>土石方填筑前，承包人应会同监理人进行以下各项目的质量检查和验收：</w:t>
      </w:r>
    </w:p>
    <w:p>
      <w:pPr>
        <w:pStyle w:val="14"/>
        <w:snapToGrid w:val="0"/>
        <w:spacing w:line="360" w:lineRule="exact"/>
        <w:ind w:firstLine="308" w:firstLineChars="147"/>
        <w:rPr>
          <w:rFonts w:hAnsi="宋体"/>
          <w:snapToGrid w:val="0"/>
          <w:szCs w:val="21"/>
        </w:rPr>
      </w:pPr>
      <w:r>
        <w:rPr>
          <w:rFonts w:hint="eastAsia" w:hAnsi="宋体"/>
          <w:snapToGrid w:val="0"/>
          <w:szCs w:val="21"/>
        </w:rPr>
        <w:t xml:space="preserve">（1）填筑前用于计量的地形平、剖面测量资料的复核检查； </w:t>
      </w:r>
    </w:p>
    <w:p>
      <w:pPr>
        <w:pStyle w:val="14"/>
        <w:snapToGrid w:val="0"/>
        <w:spacing w:line="360" w:lineRule="exact"/>
        <w:ind w:firstLine="308" w:firstLineChars="147"/>
        <w:rPr>
          <w:rFonts w:hAnsi="宋体"/>
          <w:snapToGrid w:val="0"/>
          <w:szCs w:val="21"/>
        </w:rPr>
      </w:pPr>
      <w:r>
        <w:rPr>
          <w:rFonts w:hint="eastAsia" w:hAnsi="宋体"/>
          <w:snapToGrid w:val="0"/>
          <w:szCs w:val="21"/>
        </w:rPr>
        <w:t>（2）填筑前按本章有关规定进行基础面清理质量的检查和验收；</w:t>
      </w:r>
    </w:p>
    <w:p>
      <w:pPr>
        <w:pStyle w:val="14"/>
        <w:snapToGrid w:val="0"/>
        <w:spacing w:line="360" w:lineRule="exact"/>
        <w:ind w:firstLine="308" w:firstLineChars="147"/>
        <w:rPr>
          <w:rFonts w:hAnsi="宋体"/>
          <w:snapToGrid w:val="0"/>
          <w:szCs w:val="21"/>
        </w:rPr>
      </w:pPr>
      <w:r>
        <w:rPr>
          <w:rFonts w:hint="eastAsia" w:hAnsi="宋体"/>
          <w:snapToGrid w:val="0"/>
          <w:szCs w:val="21"/>
        </w:rPr>
        <w:t>（3）料场开采区各种土石方填筑料的物理力学性质的抽样检验；</w:t>
      </w:r>
    </w:p>
    <w:p>
      <w:pPr>
        <w:pStyle w:val="14"/>
        <w:snapToGrid w:val="0"/>
        <w:spacing w:line="360" w:lineRule="exact"/>
        <w:ind w:firstLine="308" w:firstLineChars="147"/>
        <w:rPr>
          <w:rFonts w:hAnsi="宋体"/>
          <w:snapToGrid w:val="0"/>
          <w:szCs w:val="21"/>
        </w:rPr>
      </w:pPr>
      <w:r>
        <w:rPr>
          <w:rFonts w:hint="eastAsia" w:hAnsi="宋体"/>
          <w:snapToGrid w:val="0"/>
          <w:szCs w:val="21"/>
        </w:rPr>
        <w:t>（4）现场生产性试验选定的施工碾压参数及其各项试验成果的检查和验收。</w:t>
      </w:r>
    </w:p>
    <w:p>
      <w:pPr>
        <w:snapToGrid w:val="0"/>
        <w:spacing w:line="360" w:lineRule="exact"/>
        <w:rPr>
          <w:rFonts w:ascii="宋体" w:hAnsi="宋体"/>
          <w:b/>
          <w:snapToGrid w:val="0"/>
          <w:sz w:val="21"/>
          <w:szCs w:val="21"/>
        </w:rPr>
      </w:pPr>
      <w:r>
        <w:rPr>
          <w:rFonts w:hint="eastAsia" w:ascii="宋体" w:hAnsi="宋体"/>
          <w:b/>
          <w:snapToGrid w:val="0"/>
          <w:sz w:val="21"/>
          <w:szCs w:val="21"/>
        </w:rPr>
        <w:t>6.7.2 施工期的质量检查和验收：</w:t>
      </w:r>
    </w:p>
    <w:p>
      <w:pPr>
        <w:pStyle w:val="14"/>
        <w:snapToGrid w:val="0"/>
        <w:spacing w:line="360" w:lineRule="exact"/>
        <w:ind w:firstLine="476" w:firstLineChars="227"/>
        <w:rPr>
          <w:rFonts w:hAnsi="宋体"/>
          <w:snapToGrid w:val="0"/>
          <w:szCs w:val="21"/>
        </w:rPr>
      </w:pPr>
      <w:r>
        <w:rPr>
          <w:rFonts w:hint="eastAsia" w:hAnsi="宋体"/>
          <w:snapToGrid w:val="0"/>
          <w:szCs w:val="21"/>
        </w:rPr>
        <w:t>施工过程中承包人应会同监理人定期进行以下各项土石方填筑材料的质量检查和检验：</w:t>
      </w:r>
    </w:p>
    <w:p>
      <w:pPr>
        <w:pStyle w:val="14"/>
        <w:snapToGrid w:val="0"/>
        <w:spacing w:line="360" w:lineRule="exact"/>
        <w:ind w:firstLine="476" w:firstLineChars="227"/>
        <w:rPr>
          <w:rFonts w:hAnsi="宋体"/>
          <w:snapToGrid w:val="0"/>
          <w:szCs w:val="21"/>
        </w:rPr>
      </w:pPr>
      <w:r>
        <w:rPr>
          <w:rFonts w:hint="eastAsia" w:hAnsi="宋体"/>
          <w:snapToGrid w:val="0"/>
          <w:szCs w:val="21"/>
        </w:rPr>
        <w:t>（1）在石料场，对石料质量和尺寸外形进行检查。</w:t>
      </w:r>
    </w:p>
    <w:p>
      <w:pPr>
        <w:pStyle w:val="14"/>
        <w:snapToGrid w:val="0"/>
        <w:spacing w:line="360" w:lineRule="exact"/>
        <w:ind w:firstLine="476" w:firstLineChars="227"/>
        <w:rPr>
          <w:rFonts w:hAnsi="宋体"/>
          <w:snapToGrid w:val="0"/>
          <w:szCs w:val="21"/>
        </w:rPr>
      </w:pPr>
      <w:r>
        <w:rPr>
          <w:rFonts w:hint="eastAsia" w:hAnsi="宋体"/>
          <w:snapToGrid w:val="0"/>
          <w:szCs w:val="21"/>
        </w:rPr>
        <w:t>（2）对填筑体每一层填筑面，应按本合同《通用合同条款》和本章有关的规定进行工程隐蔽部位的验收。</w:t>
      </w:r>
    </w:p>
    <w:p>
      <w:pPr>
        <w:snapToGrid w:val="0"/>
        <w:spacing w:line="360" w:lineRule="exact"/>
        <w:rPr>
          <w:rFonts w:ascii="宋体" w:hAnsi="宋体"/>
          <w:b/>
          <w:snapToGrid w:val="0"/>
          <w:sz w:val="21"/>
          <w:szCs w:val="21"/>
        </w:rPr>
      </w:pPr>
      <w:r>
        <w:rPr>
          <w:rFonts w:hint="eastAsia" w:ascii="宋体" w:hAnsi="宋体"/>
          <w:b/>
          <w:snapToGrid w:val="0"/>
          <w:sz w:val="21"/>
          <w:szCs w:val="21"/>
        </w:rPr>
        <w:t>6.7.3 完工验收</w:t>
      </w:r>
    </w:p>
    <w:p>
      <w:pPr>
        <w:pStyle w:val="14"/>
        <w:snapToGrid w:val="0"/>
        <w:spacing w:line="360" w:lineRule="exact"/>
        <w:ind w:firstLine="420"/>
        <w:rPr>
          <w:rFonts w:hAnsi="宋体"/>
          <w:snapToGrid w:val="0"/>
          <w:szCs w:val="21"/>
        </w:rPr>
      </w:pPr>
      <w:r>
        <w:rPr>
          <w:rFonts w:hint="eastAsia" w:hAnsi="宋体"/>
          <w:snapToGrid w:val="0"/>
          <w:szCs w:val="21"/>
        </w:rPr>
        <w:t>土石方填筑工程全部完工后，承包人应按本合同《通用合同条款》的规定，向监理人申请完工验收，并按本章有关的规定提交完工验收资料。</w:t>
      </w:r>
    </w:p>
    <w:p>
      <w:pPr>
        <w:snapToGrid w:val="0"/>
        <w:spacing w:line="360" w:lineRule="exact"/>
        <w:rPr>
          <w:rFonts w:ascii="宋体" w:hAnsi="宋体"/>
          <w:b/>
          <w:snapToGrid w:val="0"/>
          <w:sz w:val="21"/>
          <w:szCs w:val="21"/>
        </w:rPr>
      </w:pPr>
      <w:r>
        <w:rPr>
          <w:rFonts w:hint="eastAsia" w:ascii="宋体" w:hAnsi="宋体"/>
          <w:b/>
          <w:snapToGrid w:val="0"/>
          <w:sz w:val="21"/>
          <w:szCs w:val="21"/>
        </w:rPr>
        <w:t>6.6 计量和支付</w:t>
      </w:r>
    </w:p>
    <w:p>
      <w:pPr>
        <w:pStyle w:val="14"/>
        <w:snapToGrid w:val="0"/>
        <w:spacing w:line="360" w:lineRule="exact"/>
        <w:ind w:firstLine="420" w:firstLineChars="200"/>
        <w:rPr>
          <w:rFonts w:hAnsi="宋体"/>
          <w:szCs w:val="21"/>
        </w:rPr>
      </w:pPr>
      <w:r>
        <w:rPr>
          <w:rFonts w:hint="eastAsia" w:hAnsi="宋体"/>
          <w:snapToGrid w:val="0"/>
          <w:szCs w:val="21"/>
        </w:rPr>
        <w:t>（1）土石方填筑按施工图纸所示尺寸计算的有效压实方体积以立方米为单位计量，</w:t>
      </w:r>
      <w:r>
        <w:rPr>
          <w:rFonts w:hint="eastAsia" w:hAnsi="宋体"/>
          <w:szCs w:val="21"/>
        </w:rPr>
        <w:t>由发包人按《工程量清单》相应项目有效工程量的每立方米工程单价支付。</w:t>
      </w:r>
    </w:p>
    <w:p>
      <w:pPr>
        <w:pStyle w:val="14"/>
        <w:snapToGrid w:val="0"/>
        <w:spacing w:line="360" w:lineRule="exact"/>
        <w:ind w:firstLine="420" w:firstLineChars="200"/>
        <w:rPr>
          <w:rFonts w:hAnsi="宋体"/>
          <w:szCs w:val="21"/>
        </w:rPr>
      </w:pPr>
      <w:r>
        <w:rPr>
          <w:rFonts w:hint="eastAsia" w:hAnsi="宋体"/>
          <w:szCs w:val="21"/>
        </w:rPr>
        <w:t>(2)  各种填筑料的每立方米单价是指利用可利开挖料回填和借土回填经平衡后的综合单价，单价中已包括填筑所需的土石料的料源费用、填筑土石料开采、加工、运输、堆存、填筑、以及试验、土料填筑过程中的含水量调整、质量检查和验收等工作所需的全部人工、材料、使用设备和辅助设施等一切费用，还包括现场生产性试验（包括碾压试验）所需的费用。</w:t>
      </w:r>
    </w:p>
    <w:p>
      <w:pPr>
        <w:pStyle w:val="14"/>
        <w:snapToGrid w:val="0"/>
        <w:spacing w:line="360" w:lineRule="exact"/>
        <w:ind w:firstLine="420" w:firstLineChars="200"/>
        <w:rPr>
          <w:rFonts w:hAnsi="宋体"/>
          <w:szCs w:val="21"/>
        </w:rPr>
      </w:pPr>
      <w:r>
        <w:rPr>
          <w:rFonts w:hint="eastAsia" w:hAnsi="宋体"/>
          <w:szCs w:val="21"/>
        </w:rPr>
        <w:t>(3) 由承包人进行的料场复查所需的费用包括在《工程量清单》各有关填料的单价中，发包人不再另行支付。</w:t>
      </w:r>
    </w:p>
    <w:p>
      <w:pPr>
        <w:pStyle w:val="14"/>
        <w:spacing w:line="360" w:lineRule="exact"/>
        <w:rPr>
          <w:rFonts w:hAnsi="宋体"/>
          <w:snapToGrid w:val="0"/>
          <w:kern w:val="0"/>
          <w:szCs w:val="21"/>
        </w:rPr>
      </w:pPr>
    </w:p>
    <w:p>
      <w:pPr>
        <w:pStyle w:val="5"/>
        <w:spacing w:line="360" w:lineRule="auto"/>
        <w:jc w:val="center"/>
        <w:rPr>
          <w:szCs w:val="30"/>
        </w:rPr>
      </w:pPr>
      <w:bookmarkStart w:id="693" w:name="_Toc11625"/>
      <w:r>
        <w:rPr>
          <w:szCs w:val="30"/>
        </w:rPr>
        <w:t>第</w:t>
      </w:r>
      <w:r>
        <w:rPr>
          <w:rFonts w:hint="eastAsia"/>
          <w:szCs w:val="30"/>
        </w:rPr>
        <w:t>7节</w:t>
      </w:r>
      <w:r>
        <w:rPr>
          <w:szCs w:val="30"/>
        </w:rPr>
        <w:t>砌体工程</w:t>
      </w:r>
      <w:bookmarkEnd w:id="693"/>
    </w:p>
    <w:p>
      <w:pPr>
        <w:pStyle w:val="6"/>
        <w:snapToGrid w:val="0"/>
        <w:spacing w:line="360" w:lineRule="exact"/>
        <w:rPr>
          <w:rFonts w:ascii="宋体" w:hAnsi="宋体" w:eastAsia="宋体"/>
          <w:snapToGrid w:val="0"/>
          <w:sz w:val="21"/>
          <w:szCs w:val="21"/>
        </w:rPr>
      </w:pPr>
      <w:bookmarkStart w:id="694" w:name="_Toc339983444"/>
      <w:bookmarkStart w:id="695" w:name="_Toc339482538"/>
      <w:bookmarkStart w:id="696" w:name="_Toc341965047"/>
      <w:bookmarkStart w:id="697" w:name="_Toc339224672"/>
      <w:bookmarkStart w:id="698" w:name="_Toc32232"/>
      <w:r>
        <w:rPr>
          <w:rFonts w:hint="eastAsia" w:ascii="宋体" w:hAnsi="宋体" w:eastAsia="宋体"/>
          <w:snapToGrid w:val="0"/>
          <w:sz w:val="21"/>
          <w:szCs w:val="21"/>
        </w:rPr>
        <w:t>7.</w:t>
      </w:r>
      <w:r>
        <w:rPr>
          <w:rFonts w:ascii="宋体" w:hAnsi="宋体" w:eastAsia="宋体"/>
          <w:snapToGrid w:val="0"/>
          <w:sz w:val="21"/>
          <w:szCs w:val="21"/>
        </w:rPr>
        <w:t>1</w:t>
      </w:r>
      <w:r>
        <w:rPr>
          <w:rFonts w:hint="eastAsia" w:ascii="宋体" w:hAnsi="宋体" w:eastAsia="宋体"/>
          <w:snapToGrid w:val="0"/>
          <w:sz w:val="21"/>
          <w:szCs w:val="21"/>
        </w:rPr>
        <w:t xml:space="preserve"> 一</w:t>
      </w:r>
      <w:r>
        <w:rPr>
          <w:rFonts w:ascii="宋体" w:hAnsi="宋体" w:eastAsia="宋体"/>
          <w:snapToGrid w:val="0"/>
          <w:sz w:val="21"/>
          <w:szCs w:val="21"/>
        </w:rPr>
        <w:t>般规定</w:t>
      </w:r>
      <w:bookmarkEnd w:id="694"/>
      <w:bookmarkEnd w:id="695"/>
      <w:bookmarkEnd w:id="696"/>
      <w:bookmarkEnd w:id="697"/>
      <w:bookmarkEnd w:id="698"/>
    </w:p>
    <w:p>
      <w:pPr>
        <w:pStyle w:val="7"/>
        <w:snapToGrid w:val="0"/>
        <w:spacing w:line="360" w:lineRule="exact"/>
        <w:rPr>
          <w:rFonts w:ascii="宋体" w:hAnsi="宋体" w:eastAsia="宋体"/>
          <w:sz w:val="21"/>
          <w:szCs w:val="21"/>
        </w:rPr>
      </w:pPr>
      <w:r>
        <w:rPr>
          <w:rFonts w:hint="eastAsia" w:ascii="宋体" w:hAnsi="宋体" w:eastAsia="宋体"/>
          <w:sz w:val="21"/>
          <w:szCs w:val="21"/>
        </w:rPr>
        <w:t>7.</w:t>
      </w:r>
      <w:r>
        <w:rPr>
          <w:rFonts w:ascii="宋体" w:hAnsi="宋体" w:eastAsia="宋体"/>
          <w:sz w:val="21"/>
          <w:szCs w:val="21"/>
        </w:rPr>
        <w:t>1.1应用范围</w:t>
      </w:r>
    </w:p>
    <w:p>
      <w:pPr>
        <w:pStyle w:val="22"/>
        <w:snapToGrid w:val="0"/>
        <w:spacing w:beforeAutospacing="0" w:afterAutospacing="0" w:line="360" w:lineRule="exact"/>
        <w:ind w:firstLine="420" w:firstLineChars="200"/>
        <w:jc w:val="both"/>
        <w:rPr>
          <w:rFonts w:ascii="宋体" w:hAnsi="宋体"/>
          <w:sz w:val="21"/>
          <w:szCs w:val="21"/>
        </w:rPr>
      </w:pPr>
      <w:r>
        <w:rPr>
          <w:rFonts w:ascii="宋体" w:hAnsi="宋体"/>
          <w:sz w:val="21"/>
          <w:szCs w:val="21"/>
        </w:rPr>
        <w:t>本章规定适用于本合同施工图纸所示的各类砌体工程建筑物，其工程项目包括坝、厂房、引水渠道、永久生活建筑、道路、桥涵、挡墙、管道支墩、护坡和排水沟等建筑物的石砌体（包括浆砌石、干砌石砌体）工程，以及混凝土小砌块砌体和砖砌体工程。</w:t>
      </w:r>
    </w:p>
    <w:p>
      <w:pPr>
        <w:pStyle w:val="7"/>
        <w:snapToGrid w:val="0"/>
        <w:spacing w:line="360" w:lineRule="exact"/>
        <w:rPr>
          <w:rFonts w:ascii="宋体" w:hAnsi="宋体" w:eastAsia="宋体"/>
          <w:sz w:val="21"/>
          <w:szCs w:val="21"/>
        </w:rPr>
      </w:pPr>
      <w:r>
        <w:rPr>
          <w:rFonts w:hint="eastAsia" w:ascii="宋体" w:hAnsi="宋体" w:eastAsia="宋体"/>
          <w:sz w:val="21"/>
          <w:szCs w:val="21"/>
        </w:rPr>
        <w:t>7.</w:t>
      </w:r>
      <w:r>
        <w:rPr>
          <w:rFonts w:ascii="宋体" w:hAnsi="宋体" w:eastAsia="宋体"/>
          <w:sz w:val="21"/>
          <w:szCs w:val="21"/>
        </w:rPr>
        <w:t>1.2承包人责任</w:t>
      </w:r>
    </w:p>
    <w:p>
      <w:pPr>
        <w:pStyle w:val="22"/>
        <w:snapToGrid w:val="0"/>
        <w:spacing w:beforeAutospacing="0" w:afterAutospacing="0" w:line="360" w:lineRule="exact"/>
        <w:ind w:firstLine="420" w:firstLineChars="200"/>
        <w:jc w:val="both"/>
        <w:rPr>
          <w:rFonts w:ascii="宋体" w:hAnsi="宋体"/>
          <w:sz w:val="21"/>
          <w:szCs w:val="21"/>
        </w:rPr>
      </w:pPr>
      <w:r>
        <w:rPr>
          <w:rFonts w:ascii="宋体" w:hAnsi="宋体"/>
          <w:sz w:val="21"/>
          <w:szCs w:val="21"/>
        </w:rPr>
        <w:t>（1）承包人应按本合同施工图纸、技术条款的规定和监理人的指示，负责砌体工程基础的场地清理、材料的加工制备、砌体工程的施工及质量检查和验收等工作。</w:t>
      </w:r>
    </w:p>
    <w:p>
      <w:pPr>
        <w:pStyle w:val="22"/>
        <w:snapToGrid w:val="0"/>
        <w:spacing w:beforeAutospacing="0" w:afterAutospacing="0" w:line="360" w:lineRule="exact"/>
        <w:ind w:firstLine="420" w:firstLineChars="200"/>
        <w:jc w:val="both"/>
        <w:rPr>
          <w:rFonts w:ascii="宋体" w:hAnsi="宋体"/>
          <w:sz w:val="21"/>
          <w:szCs w:val="21"/>
        </w:rPr>
      </w:pPr>
      <w:r>
        <w:rPr>
          <w:rFonts w:ascii="宋体" w:hAnsi="宋体"/>
          <w:sz w:val="21"/>
          <w:szCs w:val="21"/>
        </w:rPr>
        <w:t>（2）除合同另有约定外，承包人应负责提供本工程砌体工程的各种石材、胶结材料，以及砌体工程施工所需的人工、施工设备和辅助设施。</w:t>
      </w:r>
    </w:p>
    <w:p>
      <w:pPr>
        <w:pStyle w:val="22"/>
        <w:snapToGrid w:val="0"/>
        <w:spacing w:beforeAutospacing="0" w:afterAutospacing="0" w:line="360" w:lineRule="exact"/>
        <w:ind w:firstLine="420" w:firstLineChars="200"/>
        <w:jc w:val="both"/>
        <w:rPr>
          <w:rFonts w:ascii="宋体" w:hAnsi="宋体"/>
          <w:sz w:val="21"/>
          <w:szCs w:val="21"/>
        </w:rPr>
      </w:pPr>
      <w:r>
        <w:rPr>
          <w:rFonts w:ascii="宋体" w:hAnsi="宋体"/>
          <w:sz w:val="21"/>
          <w:szCs w:val="21"/>
        </w:rPr>
        <w:t>（3）承包人应负责砌体胶结材料及其配合比的试验和选择，以及砌筑工艺的选择。</w:t>
      </w:r>
    </w:p>
    <w:p>
      <w:pPr>
        <w:pStyle w:val="7"/>
        <w:snapToGrid w:val="0"/>
        <w:spacing w:line="360" w:lineRule="exact"/>
        <w:rPr>
          <w:rFonts w:ascii="宋体" w:hAnsi="宋体" w:eastAsia="宋体"/>
          <w:sz w:val="21"/>
          <w:szCs w:val="21"/>
        </w:rPr>
      </w:pPr>
      <w:r>
        <w:rPr>
          <w:rFonts w:hint="eastAsia" w:ascii="宋体" w:hAnsi="宋体" w:eastAsia="宋体"/>
          <w:sz w:val="21"/>
          <w:szCs w:val="21"/>
        </w:rPr>
        <w:t>7.</w:t>
      </w:r>
      <w:r>
        <w:rPr>
          <w:rFonts w:ascii="宋体" w:hAnsi="宋体" w:eastAsia="宋体"/>
          <w:sz w:val="21"/>
          <w:szCs w:val="21"/>
        </w:rPr>
        <w:t>1.3主要提交件</w:t>
      </w:r>
    </w:p>
    <w:p>
      <w:pPr>
        <w:pStyle w:val="22"/>
        <w:snapToGrid w:val="0"/>
        <w:spacing w:beforeAutospacing="0" w:afterAutospacing="0" w:line="360" w:lineRule="exact"/>
        <w:ind w:firstLine="420" w:firstLineChars="200"/>
        <w:jc w:val="both"/>
        <w:rPr>
          <w:rFonts w:ascii="宋体" w:hAnsi="宋体"/>
          <w:sz w:val="21"/>
          <w:szCs w:val="21"/>
        </w:rPr>
      </w:pPr>
      <w:r>
        <w:rPr>
          <w:rFonts w:ascii="宋体" w:hAnsi="宋体"/>
          <w:sz w:val="21"/>
          <w:szCs w:val="21"/>
        </w:rPr>
        <w:t>（1）施工措施计划</w:t>
      </w:r>
    </w:p>
    <w:p>
      <w:pPr>
        <w:pStyle w:val="22"/>
        <w:snapToGrid w:val="0"/>
        <w:spacing w:beforeAutospacing="0" w:afterAutospacing="0" w:line="360" w:lineRule="exact"/>
        <w:ind w:firstLine="420" w:firstLineChars="200"/>
        <w:jc w:val="both"/>
        <w:rPr>
          <w:rFonts w:ascii="宋体" w:hAnsi="宋体"/>
          <w:sz w:val="21"/>
          <w:szCs w:val="21"/>
        </w:rPr>
      </w:pPr>
      <w:r>
        <w:rPr>
          <w:rFonts w:ascii="宋体" w:hAnsi="宋体"/>
          <w:sz w:val="21"/>
          <w:szCs w:val="21"/>
        </w:rPr>
        <w:t>承包人应在砌体工程开工前，将砌体工程施工措施计划提交监理人批准，其内容包括：</w:t>
      </w:r>
    </w:p>
    <w:p>
      <w:pPr>
        <w:pStyle w:val="22"/>
        <w:snapToGrid w:val="0"/>
        <w:spacing w:beforeAutospacing="0" w:afterAutospacing="0" w:line="360" w:lineRule="exact"/>
        <w:ind w:firstLine="420" w:firstLineChars="200"/>
        <w:jc w:val="both"/>
        <w:rPr>
          <w:rFonts w:ascii="宋体" w:hAnsi="宋体"/>
          <w:sz w:val="21"/>
          <w:szCs w:val="21"/>
        </w:rPr>
      </w:pPr>
      <w:r>
        <w:rPr>
          <w:rFonts w:ascii="宋体" w:hAnsi="宋体"/>
          <w:sz w:val="21"/>
          <w:szCs w:val="21"/>
        </w:rPr>
        <w:t>1）施工布置图及其说明；</w:t>
      </w:r>
    </w:p>
    <w:p>
      <w:pPr>
        <w:pStyle w:val="22"/>
        <w:snapToGrid w:val="0"/>
        <w:spacing w:beforeAutospacing="0" w:afterAutospacing="0" w:line="360" w:lineRule="exact"/>
        <w:ind w:firstLine="420" w:firstLineChars="200"/>
        <w:jc w:val="both"/>
        <w:rPr>
          <w:rFonts w:ascii="宋体" w:hAnsi="宋体"/>
          <w:sz w:val="21"/>
          <w:szCs w:val="21"/>
        </w:rPr>
      </w:pPr>
      <w:r>
        <w:rPr>
          <w:rFonts w:ascii="宋体" w:hAnsi="宋体"/>
          <w:sz w:val="21"/>
          <w:szCs w:val="21"/>
        </w:rPr>
        <w:t>2）砌体工程施工工艺和方法；</w:t>
      </w:r>
    </w:p>
    <w:p>
      <w:pPr>
        <w:pStyle w:val="22"/>
        <w:snapToGrid w:val="0"/>
        <w:spacing w:beforeAutospacing="0" w:afterAutospacing="0" w:line="360" w:lineRule="exact"/>
        <w:ind w:firstLine="420" w:firstLineChars="200"/>
        <w:jc w:val="both"/>
        <w:rPr>
          <w:rFonts w:ascii="宋体" w:hAnsi="宋体"/>
          <w:sz w:val="21"/>
          <w:szCs w:val="21"/>
        </w:rPr>
      </w:pPr>
      <w:r>
        <w:rPr>
          <w:rFonts w:ascii="宋体" w:hAnsi="宋体"/>
          <w:sz w:val="21"/>
          <w:szCs w:val="21"/>
        </w:rPr>
        <w:t>3）主要施工设备的配置；</w:t>
      </w:r>
    </w:p>
    <w:p>
      <w:pPr>
        <w:pStyle w:val="22"/>
        <w:snapToGrid w:val="0"/>
        <w:spacing w:beforeAutospacing="0" w:afterAutospacing="0" w:line="360" w:lineRule="exact"/>
        <w:ind w:firstLine="420" w:firstLineChars="200"/>
        <w:jc w:val="both"/>
        <w:rPr>
          <w:rFonts w:ascii="宋体" w:hAnsi="宋体"/>
          <w:sz w:val="21"/>
          <w:szCs w:val="21"/>
        </w:rPr>
      </w:pPr>
      <w:r>
        <w:rPr>
          <w:rFonts w:ascii="宋体" w:hAnsi="宋体"/>
          <w:sz w:val="21"/>
          <w:szCs w:val="21"/>
        </w:rPr>
        <w:t>4）质量控制和安全保证措施；</w:t>
      </w:r>
    </w:p>
    <w:p>
      <w:pPr>
        <w:pStyle w:val="22"/>
        <w:snapToGrid w:val="0"/>
        <w:spacing w:beforeAutospacing="0" w:afterAutospacing="0" w:line="360" w:lineRule="exact"/>
        <w:ind w:firstLine="420" w:firstLineChars="200"/>
        <w:jc w:val="both"/>
        <w:rPr>
          <w:rFonts w:ascii="宋体" w:hAnsi="宋体"/>
          <w:sz w:val="21"/>
          <w:szCs w:val="21"/>
        </w:rPr>
      </w:pPr>
      <w:r>
        <w:rPr>
          <w:rFonts w:ascii="宋体" w:hAnsi="宋体"/>
          <w:sz w:val="21"/>
          <w:szCs w:val="21"/>
        </w:rPr>
        <w:t>5）施工进度计划等。</w:t>
      </w:r>
    </w:p>
    <w:p>
      <w:pPr>
        <w:pStyle w:val="22"/>
        <w:snapToGrid w:val="0"/>
        <w:spacing w:beforeAutospacing="0" w:afterAutospacing="0" w:line="360" w:lineRule="exact"/>
        <w:ind w:firstLine="420" w:firstLineChars="200"/>
        <w:jc w:val="both"/>
        <w:rPr>
          <w:rFonts w:ascii="宋体" w:hAnsi="宋体"/>
          <w:sz w:val="21"/>
          <w:szCs w:val="21"/>
        </w:rPr>
      </w:pPr>
      <w:r>
        <w:rPr>
          <w:rFonts w:ascii="宋体" w:hAnsi="宋体"/>
          <w:sz w:val="21"/>
          <w:szCs w:val="21"/>
        </w:rPr>
        <w:t>（2）砌体材料试验报告</w:t>
      </w:r>
    </w:p>
    <w:p>
      <w:pPr>
        <w:pStyle w:val="22"/>
        <w:snapToGrid w:val="0"/>
        <w:spacing w:beforeAutospacing="0" w:afterAutospacing="0" w:line="360" w:lineRule="exact"/>
        <w:ind w:firstLine="420" w:firstLineChars="200"/>
        <w:jc w:val="both"/>
        <w:rPr>
          <w:rFonts w:ascii="宋体" w:hAnsi="宋体"/>
          <w:sz w:val="21"/>
          <w:szCs w:val="21"/>
        </w:rPr>
      </w:pPr>
      <w:r>
        <w:rPr>
          <w:rFonts w:ascii="宋体" w:hAnsi="宋体"/>
          <w:sz w:val="21"/>
          <w:szCs w:val="21"/>
        </w:rPr>
        <w:t>承包人应在砌体工程施工前，将各项材料试验成果、提交监理人，其内容包括：</w:t>
      </w:r>
    </w:p>
    <w:p>
      <w:pPr>
        <w:pStyle w:val="22"/>
        <w:snapToGrid w:val="0"/>
        <w:spacing w:beforeAutospacing="0" w:afterAutospacing="0" w:line="360" w:lineRule="exact"/>
        <w:ind w:firstLine="420" w:firstLineChars="200"/>
        <w:jc w:val="both"/>
        <w:rPr>
          <w:rFonts w:ascii="宋体" w:hAnsi="宋体"/>
          <w:sz w:val="21"/>
          <w:szCs w:val="21"/>
        </w:rPr>
      </w:pPr>
      <w:r>
        <w:rPr>
          <w:rFonts w:ascii="宋体" w:hAnsi="宋体"/>
          <w:sz w:val="21"/>
          <w:szCs w:val="21"/>
        </w:rPr>
        <w:t>1）砌体材料的强度等级试验；</w:t>
      </w:r>
    </w:p>
    <w:p>
      <w:pPr>
        <w:pStyle w:val="22"/>
        <w:snapToGrid w:val="0"/>
        <w:spacing w:beforeAutospacing="0" w:afterAutospacing="0" w:line="360" w:lineRule="exact"/>
        <w:ind w:firstLine="420" w:firstLineChars="200"/>
        <w:jc w:val="both"/>
        <w:rPr>
          <w:rFonts w:ascii="宋体" w:hAnsi="宋体"/>
          <w:sz w:val="21"/>
          <w:szCs w:val="21"/>
        </w:rPr>
      </w:pPr>
      <w:r>
        <w:rPr>
          <w:rFonts w:ascii="宋体" w:hAnsi="宋体"/>
          <w:sz w:val="21"/>
          <w:szCs w:val="21"/>
        </w:rPr>
        <w:t>2）胶结材料的强度及其配合比选择试验。</w:t>
      </w:r>
    </w:p>
    <w:p>
      <w:pPr>
        <w:pStyle w:val="22"/>
        <w:snapToGrid w:val="0"/>
        <w:spacing w:beforeAutospacing="0" w:afterAutospacing="0" w:line="360" w:lineRule="exact"/>
        <w:ind w:firstLine="420" w:firstLineChars="200"/>
        <w:jc w:val="both"/>
        <w:rPr>
          <w:rFonts w:ascii="宋体" w:hAnsi="宋体"/>
          <w:sz w:val="21"/>
          <w:szCs w:val="21"/>
        </w:rPr>
      </w:pPr>
      <w:r>
        <w:rPr>
          <w:rFonts w:ascii="宋体" w:hAnsi="宋体"/>
          <w:sz w:val="21"/>
          <w:szCs w:val="21"/>
        </w:rPr>
        <w:t>（3）质量检查记录和报表</w:t>
      </w:r>
    </w:p>
    <w:p>
      <w:pPr>
        <w:pStyle w:val="22"/>
        <w:snapToGrid w:val="0"/>
        <w:spacing w:beforeAutospacing="0" w:afterAutospacing="0" w:line="360" w:lineRule="exact"/>
        <w:ind w:firstLine="420" w:firstLineChars="200"/>
        <w:jc w:val="both"/>
        <w:rPr>
          <w:rFonts w:ascii="宋体" w:hAnsi="宋体"/>
          <w:sz w:val="21"/>
          <w:szCs w:val="21"/>
        </w:rPr>
      </w:pPr>
      <w:r>
        <w:rPr>
          <w:rFonts w:ascii="宋体" w:hAnsi="宋体"/>
          <w:sz w:val="21"/>
          <w:szCs w:val="21"/>
        </w:rPr>
        <w:t>砌体工程施工过程中，承包人应按监理人指示，提交以下施工质量检查记录和报表：</w:t>
      </w:r>
    </w:p>
    <w:p>
      <w:pPr>
        <w:pStyle w:val="22"/>
        <w:snapToGrid w:val="0"/>
        <w:spacing w:beforeAutospacing="0" w:afterAutospacing="0" w:line="360" w:lineRule="exact"/>
        <w:ind w:firstLine="420" w:firstLineChars="200"/>
        <w:jc w:val="both"/>
        <w:rPr>
          <w:rFonts w:ascii="宋体" w:hAnsi="宋体"/>
          <w:sz w:val="21"/>
          <w:szCs w:val="21"/>
        </w:rPr>
      </w:pPr>
      <w:r>
        <w:rPr>
          <w:rFonts w:ascii="宋体" w:hAnsi="宋体"/>
          <w:sz w:val="21"/>
          <w:szCs w:val="21"/>
        </w:rPr>
        <w:t>1）砌体材料和砌筑胶结材料的取样试验报告；</w:t>
      </w:r>
    </w:p>
    <w:p>
      <w:pPr>
        <w:pStyle w:val="22"/>
        <w:snapToGrid w:val="0"/>
        <w:spacing w:beforeAutospacing="0" w:afterAutospacing="0" w:line="360" w:lineRule="exact"/>
        <w:ind w:firstLine="420" w:firstLineChars="200"/>
        <w:jc w:val="both"/>
        <w:rPr>
          <w:rFonts w:ascii="宋体" w:hAnsi="宋体"/>
          <w:sz w:val="21"/>
          <w:szCs w:val="21"/>
        </w:rPr>
      </w:pPr>
      <w:r>
        <w:rPr>
          <w:rFonts w:ascii="宋体" w:hAnsi="宋体"/>
          <w:sz w:val="21"/>
          <w:szCs w:val="21"/>
        </w:rPr>
        <w:t>2）砌体工程基础的质量检查记录和报表；</w:t>
      </w:r>
    </w:p>
    <w:p>
      <w:pPr>
        <w:pStyle w:val="22"/>
        <w:snapToGrid w:val="0"/>
        <w:spacing w:beforeAutospacing="0" w:afterAutospacing="0" w:line="360" w:lineRule="exact"/>
        <w:ind w:firstLine="420" w:firstLineChars="200"/>
        <w:jc w:val="both"/>
        <w:rPr>
          <w:rFonts w:ascii="宋体" w:hAnsi="宋体"/>
          <w:sz w:val="21"/>
          <w:szCs w:val="21"/>
        </w:rPr>
      </w:pPr>
      <w:r>
        <w:rPr>
          <w:rFonts w:ascii="宋体" w:hAnsi="宋体"/>
          <w:sz w:val="21"/>
          <w:szCs w:val="21"/>
        </w:rPr>
        <w:t>3）砌体工程的砌筑质量检查记录和报表；</w:t>
      </w:r>
    </w:p>
    <w:p>
      <w:pPr>
        <w:pStyle w:val="22"/>
        <w:snapToGrid w:val="0"/>
        <w:spacing w:beforeAutospacing="0" w:afterAutospacing="0" w:line="360" w:lineRule="exact"/>
        <w:ind w:firstLine="420" w:firstLineChars="200"/>
        <w:jc w:val="both"/>
        <w:rPr>
          <w:rFonts w:ascii="宋体" w:hAnsi="宋体"/>
          <w:sz w:val="21"/>
          <w:szCs w:val="21"/>
        </w:rPr>
      </w:pPr>
      <w:r>
        <w:rPr>
          <w:rFonts w:ascii="宋体" w:hAnsi="宋体"/>
          <w:sz w:val="21"/>
          <w:szCs w:val="21"/>
        </w:rPr>
        <w:t>4）质量事故处理记录。</w:t>
      </w:r>
    </w:p>
    <w:p>
      <w:pPr>
        <w:pStyle w:val="7"/>
        <w:snapToGrid w:val="0"/>
        <w:spacing w:line="360" w:lineRule="exact"/>
        <w:rPr>
          <w:rFonts w:ascii="宋体" w:hAnsi="宋体" w:eastAsia="宋体"/>
          <w:sz w:val="21"/>
          <w:szCs w:val="21"/>
        </w:rPr>
      </w:pPr>
      <w:r>
        <w:rPr>
          <w:rFonts w:hint="eastAsia" w:ascii="宋体" w:hAnsi="宋体" w:eastAsia="宋体"/>
          <w:sz w:val="21"/>
          <w:szCs w:val="21"/>
        </w:rPr>
        <w:t>7.1</w:t>
      </w:r>
      <w:r>
        <w:rPr>
          <w:rFonts w:ascii="宋体" w:hAnsi="宋体" w:eastAsia="宋体"/>
          <w:sz w:val="21"/>
          <w:szCs w:val="21"/>
        </w:rPr>
        <w:t>.4引用标准</w:t>
      </w:r>
    </w:p>
    <w:p>
      <w:pPr>
        <w:pStyle w:val="22"/>
        <w:snapToGrid w:val="0"/>
        <w:spacing w:beforeAutospacing="0" w:afterAutospacing="0" w:line="360" w:lineRule="exact"/>
        <w:ind w:firstLine="420" w:firstLineChars="200"/>
        <w:jc w:val="both"/>
        <w:rPr>
          <w:rFonts w:ascii="宋体" w:hAnsi="宋体"/>
          <w:sz w:val="21"/>
          <w:szCs w:val="21"/>
        </w:rPr>
      </w:pPr>
      <w:r>
        <w:rPr>
          <w:rFonts w:ascii="宋体" w:hAnsi="宋体"/>
          <w:sz w:val="21"/>
          <w:szCs w:val="21"/>
        </w:rPr>
        <w:t>（</w:t>
      </w:r>
      <w:r>
        <w:rPr>
          <w:rFonts w:hint="eastAsia" w:ascii="宋体" w:hAnsi="宋体"/>
          <w:sz w:val="21"/>
          <w:szCs w:val="21"/>
        </w:rPr>
        <w:t>1</w:t>
      </w:r>
      <w:r>
        <w:rPr>
          <w:rFonts w:ascii="宋体" w:hAnsi="宋体"/>
          <w:sz w:val="21"/>
          <w:szCs w:val="21"/>
        </w:rPr>
        <w:t>）《浆砌石坝设计规范》（SL25—2006）；</w:t>
      </w:r>
    </w:p>
    <w:p>
      <w:pPr>
        <w:pStyle w:val="22"/>
        <w:snapToGrid w:val="0"/>
        <w:spacing w:beforeAutospacing="0" w:afterAutospacing="0" w:line="360" w:lineRule="exact"/>
        <w:ind w:firstLine="420" w:firstLineChars="200"/>
        <w:jc w:val="both"/>
        <w:rPr>
          <w:rFonts w:ascii="宋体" w:hAnsi="宋体"/>
          <w:sz w:val="21"/>
          <w:szCs w:val="21"/>
        </w:rPr>
      </w:pPr>
      <w:r>
        <w:rPr>
          <w:rFonts w:ascii="宋体" w:hAnsi="宋体"/>
          <w:sz w:val="21"/>
          <w:szCs w:val="21"/>
        </w:rPr>
        <w:t>（</w:t>
      </w:r>
      <w:r>
        <w:rPr>
          <w:rFonts w:hint="eastAsia" w:ascii="宋体" w:hAnsi="宋体"/>
          <w:sz w:val="21"/>
          <w:szCs w:val="21"/>
        </w:rPr>
        <w:t>2</w:t>
      </w:r>
      <w:r>
        <w:rPr>
          <w:rFonts w:ascii="宋体" w:hAnsi="宋体"/>
          <w:sz w:val="21"/>
          <w:szCs w:val="21"/>
        </w:rPr>
        <w:t>）《水利水电工程天然建筑材料勘察规程》（SL 251—</w:t>
      </w:r>
      <w:r>
        <w:rPr>
          <w:rFonts w:hint="eastAsia" w:ascii="宋体" w:hAnsi="宋体"/>
          <w:sz w:val="21"/>
          <w:szCs w:val="21"/>
        </w:rPr>
        <w:t>2015</w:t>
      </w:r>
      <w:r>
        <w:rPr>
          <w:rFonts w:ascii="宋体" w:hAnsi="宋体"/>
          <w:sz w:val="21"/>
          <w:szCs w:val="21"/>
        </w:rPr>
        <w:t>）；</w:t>
      </w:r>
    </w:p>
    <w:p>
      <w:pPr>
        <w:pStyle w:val="22"/>
        <w:snapToGrid w:val="0"/>
        <w:spacing w:beforeAutospacing="0" w:afterAutospacing="0" w:line="360" w:lineRule="exact"/>
        <w:ind w:firstLine="420" w:firstLineChars="200"/>
        <w:jc w:val="both"/>
        <w:rPr>
          <w:rFonts w:ascii="宋体" w:hAnsi="宋体"/>
          <w:sz w:val="21"/>
          <w:szCs w:val="21"/>
        </w:rPr>
      </w:pPr>
      <w:r>
        <w:rPr>
          <w:rFonts w:ascii="宋体" w:hAnsi="宋体"/>
          <w:sz w:val="21"/>
          <w:szCs w:val="21"/>
        </w:rPr>
        <w:t>（</w:t>
      </w:r>
      <w:r>
        <w:rPr>
          <w:rFonts w:hint="eastAsia" w:ascii="宋体" w:hAnsi="宋体"/>
          <w:sz w:val="21"/>
          <w:szCs w:val="21"/>
        </w:rPr>
        <w:t>3</w:t>
      </w:r>
      <w:r>
        <w:rPr>
          <w:rFonts w:ascii="宋体" w:hAnsi="宋体"/>
          <w:sz w:val="21"/>
          <w:szCs w:val="21"/>
        </w:rPr>
        <w:t>）《浆砌石坝施工技术规定》（SD120—1984）；</w:t>
      </w:r>
    </w:p>
    <w:p>
      <w:pPr>
        <w:pStyle w:val="22"/>
        <w:snapToGrid w:val="0"/>
        <w:spacing w:beforeAutospacing="0" w:afterAutospacing="0" w:line="360" w:lineRule="exact"/>
        <w:ind w:firstLine="420" w:firstLineChars="200"/>
        <w:jc w:val="both"/>
        <w:rPr>
          <w:rFonts w:ascii="宋体" w:hAnsi="宋体"/>
          <w:sz w:val="21"/>
          <w:szCs w:val="21"/>
        </w:rPr>
      </w:pPr>
      <w:r>
        <w:rPr>
          <w:rFonts w:ascii="宋体" w:hAnsi="宋体"/>
          <w:sz w:val="21"/>
          <w:szCs w:val="21"/>
        </w:rPr>
        <w:t>（</w:t>
      </w:r>
      <w:r>
        <w:rPr>
          <w:rFonts w:hint="eastAsia" w:ascii="宋体" w:hAnsi="宋体"/>
          <w:sz w:val="21"/>
          <w:szCs w:val="21"/>
        </w:rPr>
        <w:t>4</w:t>
      </w:r>
      <w:r>
        <w:rPr>
          <w:rFonts w:ascii="宋体" w:hAnsi="宋体"/>
          <w:sz w:val="21"/>
          <w:szCs w:val="21"/>
        </w:rPr>
        <w:t>）《普通混凝土用砂、石质量及检验方法标准》（JGJ52—2006）；</w:t>
      </w:r>
    </w:p>
    <w:p>
      <w:pPr>
        <w:pStyle w:val="22"/>
        <w:snapToGrid w:val="0"/>
        <w:spacing w:beforeAutospacing="0" w:afterAutospacing="0" w:line="360" w:lineRule="exact"/>
        <w:ind w:firstLine="420" w:firstLineChars="200"/>
        <w:jc w:val="both"/>
        <w:rPr>
          <w:rFonts w:ascii="宋体" w:hAnsi="宋体"/>
          <w:sz w:val="21"/>
          <w:szCs w:val="21"/>
        </w:rPr>
      </w:pPr>
      <w:r>
        <w:rPr>
          <w:rFonts w:ascii="宋体" w:hAnsi="宋体"/>
          <w:sz w:val="21"/>
          <w:szCs w:val="21"/>
        </w:rPr>
        <w:t>（</w:t>
      </w:r>
      <w:r>
        <w:rPr>
          <w:rFonts w:hint="eastAsia" w:ascii="宋体" w:hAnsi="宋体"/>
          <w:sz w:val="21"/>
          <w:szCs w:val="21"/>
        </w:rPr>
        <w:t>5</w:t>
      </w:r>
      <w:r>
        <w:rPr>
          <w:rFonts w:ascii="宋体" w:hAnsi="宋体"/>
          <w:sz w:val="21"/>
          <w:szCs w:val="21"/>
        </w:rPr>
        <w:t>）《混凝土用水标准》（JGJ63—2006）；</w:t>
      </w:r>
    </w:p>
    <w:p>
      <w:pPr>
        <w:pStyle w:val="22"/>
        <w:snapToGrid w:val="0"/>
        <w:spacing w:beforeAutospacing="0" w:afterAutospacing="0" w:line="360" w:lineRule="exact"/>
        <w:ind w:firstLine="420" w:firstLineChars="200"/>
        <w:jc w:val="both"/>
        <w:rPr>
          <w:rFonts w:ascii="宋体" w:hAnsi="宋体"/>
          <w:sz w:val="21"/>
          <w:szCs w:val="21"/>
        </w:rPr>
      </w:pPr>
      <w:r>
        <w:rPr>
          <w:rFonts w:ascii="宋体" w:hAnsi="宋体"/>
          <w:sz w:val="21"/>
          <w:szCs w:val="21"/>
        </w:rPr>
        <w:t>（</w:t>
      </w:r>
      <w:r>
        <w:rPr>
          <w:rFonts w:hint="eastAsia" w:ascii="宋体" w:hAnsi="宋体"/>
          <w:sz w:val="21"/>
          <w:szCs w:val="21"/>
        </w:rPr>
        <w:t>6</w:t>
      </w:r>
      <w:r>
        <w:rPr>
          <w:rFonts w:ascii="宋体" w:hAnsi="宋体"/>
          <w:sz w:val="21"/>
          <w:szCs w:val="21"/>
        </w:rPr>
        <w:t>）《砌筑砂浆配合比设计规程》（JGJ98—</w:t>
      </w:r>
      <w:r>
        <w:rPr>
          <w:rFonts w:hint="eastAsia" w:ascii="宋体" w:hAnsi="宋体"/>
          <w:sz w:val="21"/>
          <w:szCs w:val="21"/>
        </w:rPr>
        <w:t>2010</w:t>
      </w:r>
      <w:r>
        <w:rPr>
          <w:rFonts w:ascii="宋体" w:hAnsi="宋体"/>
          <w:sz w:val="21"/>
          <w:szCs w:val="21"/>
        </w:rPr>
        <w:t>）。</w:t>
      </w:r>
    </w:p>
    <w:p>
      <w:pPr>
        <w:pStyle w:val="6"/>
        <w:snapToGrid w:val="0"/>
        <w:spacing w:line="360" w:lineRule="exact"/>
        <w:rPr>
          <w:rFonts w:ascii="宋体" w:hAnsi="宋体" w:eastAsia="宋体"/>
          <w:snapToGrid w:val="0"/>
          <w:sz w:val="21"/>
          <w:szCs w:val="21"/>
        </w:rPr>
      </w:pPr>
      <w:bookmarkStart w:id="699" w:name="_Toc339482539"/>
      <w:bookmarkStart w:id="700" w:name="_Toc339983445"/>
      <w:bookmarkStart w:id="701" w:name="_Toc339224673"/>
      <w:bookmarkStart w:id="702" w:name="_Toc341965048"/>
      <w:bookmarkStart w:id="703" w:name="_Toc16826"/>
      <w:r>
        <w:rPr>
          <w:rFonts w:hint="eastAsia" w:ascii="宋体" w:hAnsi="宋体" w:eastAsia="宋体"/>
          <w:snapToGrid w:val="0"/>
          <w:sz w:val="21"/>
          <w:szCs w:val="21"/>
        </w:rPr>
        <w:t>7.</w:t>
      </w:r>
      <w:r>
        <w:rPr>
          <w:rFonts w:ascii="宋体" w:hAnsi="宋体" w:eastAsia="宋体"/>
          <w:snapToGrid w:val="0"/>
          <w:sz w:val="21"/>
          <w:szCs w:val="21"/>
        </w:rPr>
        <w:t>2 石砌体工程</w:t>
      </w:r>
      <w:bookmarkEnd w:id="699"/>
      <w:bookmarkEnd w:id="700"/>
      <w:bookmarkEnd w:id="701"/>
      <w:bookmarkEnd w:id="702"/>
      <w:bookmarkEnd w:id="703"/>
    </w:p>
    <w:p>
      <w:pPr>
        <w:pStyle w:val="7"/>
        <w:snapToGrid w:val="0"/>
        <w:spacing w:line="360" w:lineRule="exact"/>
        <w:rPr>
          <w:rFonts w:ascii="宋体" w:hAnsi="宋体" w:eastAsia="宋体"/>
          <w:sz w:val="21"/>
          <w:szCs w:val="21"/>
        </w:rPr>
      </w:pPr>
      <w:r>
        <w:rPr>
          <w:rFonts w:hint="eastAsia" w:ascii="宋体" w:hAnsi="宋体" w:eastAsia="宋体"/>
          <w:sz w:val="21"/>
          <w:szCs w:val="21"/>
        </w:rPr>
        <w:t>7.</w:t>
      </w:r>
      <w:r>
        <w:rPr>
          <w:rFonts w:ascii="宋体" w:hAnsi="宋体" w:eastAsia="宋体"/>
          <w:sz w:val="21"/>
          <w:szCs w:val="21"/>
        </w:rPr>
        <w:t>2.1材料</w:t>
      </w:r>
    </w:p>
    <w:p>
      <w:pPr>
        <w:pStyle w:val="22"/>
        <w:snapToGrid w:val="0"/>
        <w:spacing w:beforeAutospacing="0" w:afterAutospacing="0" w:line="360" w:lineRule="exact"/>
        <w:ind w:firstLine="420" w:firstLineChars="200"/>
        <w:jc w:val="both"/>
        <w:rPr>
          <w:rFonts w:ascii="宋体" w:hAnsi="宋体"/>
          <w:sz w:val="21"/>
          <w:szCs w:val="21"/>
        </w:rPr>
      </w:pPr>
      <w:r>
        <w:rPr>
          <w:rFonts w:ascii="宋体" w:hAnsi="宋体"/>
          <w:sz w:val="21"/>
          <w:szCs w:val="21"/>
        </w:rPr>
        <w:t>（1）石料：</w:t>
      </w:r>
    </w:p>
    <w:p>
      <w:pPr>
        <w:pStyle w:val="22"/>
        <w:snapToGrid w:val="0"/>
        <w:spacing w:beforeAutospacing="0" w:afterAutospacing="0" w:line="360" w:lineRule="exact"/>
        <w:ind w:firstLine="420" w:firstLineChars="200"/>
        <w:jc w:val="both"/>
        <w:rPr>
          <w:rFonts w:ascii="宋体" w:hAnsi="宋体"/>
          <w:sz w:val="21"/>
          <w:szCs w:val="21"/>
        </w:rPr>
      </w:pPr>
      <w:r>
        <w:rPr>
          <w:rFonts w:ascii="宋体" w:hAnsi="宋体"/>
          <w:sz w:val="21"/>
          <w:szCs w:val="21"/>
        </w:rPr>
        <w:t>1）一般石料应遵守GB 50203—2002第7.1.1条和第7.1.2条的规定；</w:t>
      </w:r>
    </w:p>
    <w:p>
      <w:pPr>
        <w:pStyle w:val="22"/>
        <w:snapToGrid w:val="0"/>
        <w:spacing w:beforeAutospacing="0" w:afterAutospacing="0" w:line="360" w:lineRule="exact"/>
        <w:ind w:firstLine="420" w:firstLineChars="200"/>
        <w:jc w:val="both"/>
        <w:rPr>
          <w:rFonts w:ascii="宋体" w:hAnsi="宋体"/>
          <w:sz w:val="21"/>
          <w:szCs w:val="21"/>
        </w:rPr>
      </w:pPr>
      <w:r>
        <w:rPr>
          <w:rFonts w:ascii="宋体" w:hAnsi="宋体"/>
          <w:sz w:val="21"/>
          <w:szCs w:val="21"/>
        </w:rPr>
        <w:t>2）砌石坝石料（包括毛石、块石、粗料石）应遵守SL 25—2006第3.1.1条的规定。</w:t>
      </w:r>
    </w:p>
    <w:p>
      <w:pPr>
        <w:pStyle w:val="22"/>
        <w:snapToGrid w:val="0"/>
        <w:spacing w:beforeAutospacing="0" w:afterAutospacing="0" w:line="360" w:lineRule="exact"/>
        <w:ind w:firstLine="420" w:firstLineChars="200"/>
        <w:jc w:val="both"/>
        <w:rPr>
          <w:rFonts w:ascii="宋体" w:hAnsi="宋体"/>
          <w:sz w:val="21"/>
          <w:szCs w:val="21"/>
        </w:rPr>
      </w:pPr>
      <w:r>
        <w:rPr>
          <w:rFonts w:ascii="宋体" w:hAnsi="宋体"/>
          <w:sz w:val="21"/>
          <w:szCs w:val="21"/>
        </w:rPr>
        <w:t>（2）胶凝材料：</w:t>
      </w:r>
    </w:p>
    <w:p>
      <w:pPr>
        <w:pStyle w:val="22"/>
        <w:snapToGrid w:val="0"/>
        <w:spacing w:beforeAutospacing="0" w:afterAutospacing="0" w:line="360" w:lineRule="exact"/>
        <w:ind w:firstLine="420" w:firstLineChars="200"/>
        <w:jc w:val="both"/>
        <w:rPr>
          <w:rFonts w:ascii="宋体" w:hAnsi="宋体"/>
          <w:sz w:val="21"/>
          <w:szCs w:val="21"/>
        </w:rPr>
      </w:pPr>
      <w:r>
        <w:rPr>
          <w:rFonts w:ascii="宋体" w:hAnsi="宋体"/>
          <w:sz w:val="21"/>
          <w:szCs w:val="21"/>
        </w:rPr>
        <w:t>1）砌体采用的水泥品种和强度等级应遵守本合同技术条款第14.2.1条的规定；</w:t>
      </w:r>
    </w:p>
    <w:p>
      <w:pPr>
        <w:pStyle w:val="22"/>
        <w:snapToGrid w:val="0"/>
        <w:spacing w:beforeAutospacing="0" w:afterAutospacing="0" w:line="360" w:lineRule="exact"/>
        <w:ind w:firstLine="420" w:firstLineChars="200"/>
        <w:jc w:val="both"/>
        <w:rPr>
          <w:rFonts w:ascii="宋体" w:hAnsi="宋体"/>
          <w:sz w:val="21"/>
          <w:szCs w:val="21"/>
        </w:rPr>
      </w:pPr>
      <w:r>
        <w:rPr>
          <w:rFonts w:ascii="宋体" w:hAnsi="宋体"/>
          <w:sz w:val="21"/>
          <w:szCs w:val="21"/>
        </w:rPr>
        <w:t>2）用于砌筑石砌体工程的砂浆和小骨料</w:t>
      </w:r>
      <w:r>
        <w:rPr>
          <w:rFonts w:hint="eastAsia" w:ascii="宋体" w:hAnsi="宋体"/>
          <w:sz w:val="21"/>
          <w:szCs w:val="21"/>
        </w:rPr>
        <w:t>混</w:t>
      </w:r>
      <w:r>
        <w:rPr>
          <w:rFonts w:ascii="宋体" w:hAnsi="宋体"/>
          <w:sz w:val="21"/>
          <w:szCs w:val="21"/>
        </w:rPr>
        <w:t>凝土，其配合比应通过试验确定，配合比</w:t>
      </w:r>
      <w:r>
        <w:rPr>
          <w:rFonts w:hint="eastAsia" w:ascii="宋体" w:hAnsi="宋体"/>
          <w:sz w:val="21"/>
          <w:szCs w:val="21"/>
        </w:rPr>
        <w:t>成</w:t>
      </w:r>
      <w:r>
        <w:rPr>
          <w:rFonts w:ascii="宋体" w:hAnsi="宋体"/>
          <w:sz w:val="21"/>
          <w:szCs w:val="21"/>
        </w:rPr>
        <w:t>果应提交监理人；拌制砂浆和小骨料混凝土的用水应遵守JGJ63—2006的有关规定。</w:t>
      </w:r>
    </w:p>
    <w:p>
      <w:pPr>
        <w:pStyle w:val="22"/>
        <w:snapToGrid w:val="0"/>
        <w:spacing w:beforeAutospacing="0" w:afterAutospacing="0" w:line="360" w:lineRule="exact"/>
        <w:ind w:firstLine="420" w:firstLineChars="200"/>
        <w:jc w:val="both"/>
        <w:rPr>
          <w:rFonts w:ascii="宋体" w:hAnsi="宋体"/>
          <w:sz w:val="21"/>
          <w:szCs w:val="21"/>
        </w:rPr>
      </w:pPr>
      <w:r>
        <w:rPr>
          <w:rFonts w:ascii="宋体" w:hAnsi="宋体"/>
          <w:sz w:val="21"/>
          <w:szCs w:val="21"/>
        </w:rPr>
        <w:t>（3）胶凝材料应采用机械拌制，局部少量的人工拌和料至少干拌三遍，再湿拌至色泽匀后，方可使用；人工拌和时间应通过试拌确定。拌制过程中应保持粗、细骨料含水率的稳定性，根据骨料含水量的变化情况，随时调整用水量，以保证水灰比的准确性。</w:t>
      </w:r>
    </w:p>
    <w:p>
      <w:pPr>
        <w:pStyle w:val="22"/>
        <w:snapToGrid w:val="0"/>
        <w:spacing w:beforeAutospacing="0" w:afterAutospacing="0" w:line="360" w:lineRule="exact"/>
        <w:ind w:firstLine="420" w:firstLineChars="200"/>
        <w:jc w:val="both"/>
        <w:rPr>
          <w:rFonts w:ascii="宋体" w:hAnsi="宋体"/>
          <w:sz w:val="21"/>
          <w:szCs w:val="21"/>
        </w:rPr>
      </w:pPr>
      <w:r>
        <w:rPr>
          <w:rFonts w:ascii="宋体" w:hAnsi="宋体"/>
          <w:sz w:val="21"/>
          <w:szCs w:val="21"/>
        </w:rPr>
        <w:t>（4）胶凝材料应随拌随用，胶凝材料的允许间歇时间应通过试验确定，在运输或贮存中发生离析、析水的胶凝材料，砌筑前应重新拌和，已初凝的胶凝材料不得使用。</w:t>
      </w:r>
    </w:p>
    <w:p>
      <w:pPr>
        <w:pStyle w:val="7"/>
        <w:snapToGrid w:val="0"/>
        <w:spacing w:line="360" w:lineRule="exact"/>
        <w:rPr>
          <w:rFonts w:ascii="宋体" w:hAnsi="宋体" w:eastAsia="宋体"/>
          <w:sz w:val="21"/>
          <w:szCs w:val="21"/>
        </w:rPr>
      </w:pPr>
      <w:r>
        <w:rPr>
          <w:rFonts w:hint="eastAsia" w:ascii="宋体" w:hAnsi="宋体" w:eastAsia="宋体"/>
          <w:sz w:val="21"/>
          <w:szCs w:val="21"/>
        </w:rPr>
        <w:t>7.</w:t>
      </w:r>
      <w:r>
        <w:rPr>
          <w:rFonts w:ascii="宋体" w:hAnsi="宋体" w:eastAsia="宋体"/>
          <w:sz w:val="21"/>
          <w:szCs w:val="21"/>
        </w:rPr>
        <w:t>2.2浆砌石砌筑</w:t>
      </w:r>
    </w:p>
    <w:p>
      <w:pPr>
        <w:pStyle w:val="22"/>
        <w:snapToGrid w:val="0"/>
        <w:spacing w:beforeAutospacing="0" w:afterAutospacing="0" w:line="360" w:lineRule="exact"/>
        <w:ind w:firstLine="420" w:firstLineChars="200"/>
        <w:jc w:val="both"/>
        <w:rPr>
          <w:rFonts w:ascii="宋体" w:hAnsi="宋体"/>
          <w:sz w:val="21"/>
          <w:szCs w:val="21"/>
        </w:rPr>
      </w:pPr>
      <w:r>
        <w:rPr>
          <w:rFonts w:ascii="宋体" w:hAnsi="宋体"/>
          <w:sz w:val="21"/>
          <w:szCs w:val="21"/>
        </w:rPr>
        <w:t>（1）浆砌石胶结材料采用的砂和砾石应遵守SD 120—1984第2章的规定。</w:t>
      </w:r>
    </w:p>
    <w:p>
      <w:pPr>
        <w:pStyle w:val="22"/>
        <w:snapToGrid w:val="0"/>
        <w:spacing w:beforeAutospacing="0" w:afterAutospacing="0" w:line="360" w:lineRule="exact"/>
        <w:ind w:firstLine="420" w:firstLineChars="200"/>
        <w:jc w:val="both"/>
        <w:rPr>
          <w:rFonts w:ascii="宋体" w:hAnsi="宋体"/>
          <w:sz w:val="21"/>
          <w:szCs w:val="21"/>
        </w:rPr>
      </w:pPr>
      <w:r>
        <w:rPr>
          <w:rFonts w:ascii="宋体" w:hAnsi="宋体"/>
          <w:sz w:val="21"/>
          <w:szCs w:val="21"/>
        </w:rPr>
        <w:t>（2）浆砌石砌筑体与基岩的连接应遵守SD120—1984第4章第1节的规定。</w:t>
      </w:r>
    </w:p>
    <w:p>
      <w:pPr>
        <w:pStyle w:val="22"/>
        <w:snapToGrid w:val="0"/>
        <w:spacing w:beforeAutospacing="0" w:afterAutospacing="0" w:line="360" w:lineRule="exact"/>
        <w:ind w:firstLine="420" w:firstLineChars="200"/>
        <w:jc w:val="both"/>
        <w:rPr>
          <w:rFonts w:ascii="宋体" w:hAnsi="宋体"/>
          <w:sz w:val="21"/>
          <w:szCs w:val="21"/>
        </w:rPr>
      </w:pPr>
      <w:r>
        <w:rPr>
          <w:rFonts w:ascii="宋体" w:hAnsi="宋体"/>
          <w:sz w:val="21"/>
          <w:szCs w:val="21"/>
        </w:rPr>
        <w:t>（3）浆砌石的砌筑应遵守SD 120—1984第4.2.4~4.2.9条的规定，砌体应密实、无架空和漏浆情况。其砌体容重和空隙率的控制应遵守SD 120—1984第4.2.21条的规定。</w:t>
      </w:r>
    </w:p>
    <w:p>
      <w:pPr>
        <w:pStyle w:val="22"/>
        <w:snapToGrid w:val="0"/>
        <w:spacing w:beforeAutospacing="0" w:afterAutospacing="0" w:line="360" w:lineRule="exact"/>
        <w:ind w:firstLine="420" w:firstLineChars="200"/>
        <w:jc w:val="both"/>
        <w:rPr>
          <w:rFonts w:ascii="宋体" w:hAnsi="宋体"/>
          <w:sz w:val="21"/>
          <w:szCs w:val="21"/>
        </w:rPr>
      </w:pPr>
      <w:r>
        <w:rPr>
          <w:rFonts w:ascii="宋体" w:hAnsi="宋体"/>
          <w:sz w:val="21"/>
          <w:szCs w:val="21"/>
        </w:rPr>
        <w:t>（4）浆砌石的混凝土防渗体施工应遵守SD120—1984第5.1.3</w:t>
      </w:r>
      <w:r>
        <w:rPr>
          <w:rFonts w:hint="eastAsia" w:ascii="宋体" w:hAnsi="宋体"/>
          <w:sz w:val="21"/>
          <w:szCs w:val="21"/>
        </w:rPr>
        <w:t>~</w:t>
      </w:r>
      <w:r>
        <w:rPr>
          <w:rFonts w:ascii="宋体" w:hAnsi="宋体"/>
          <w:sz w:val="21"/>
          <w:szCs w:val="21"/>
        </w:rPr>
        <w:t>5.1.15条的规定。</w:t>
      </w:r>
    </w:p>
    <w:p>
      <w:pPr>
        <w:pStyle w:val="22"/>
        <w:snapToGrid w:val="0"/>
        <w:spacing w:beforeAutospacing="0" w:afterAutospacing="0" w:line="360" w:lineRule="exact"/>
        <w:ind w:firstLine="420" w:firstLineChars="200"/>
        <w:jc w:val="both"/>
        <w:rPr>
          <w:rFonts w:ascii="宋体" w:hAnsi="宋体"/>
          <w:sz w:val="21"/>
          <w:szCs w:val="21"/>
        </w:rPr>
      </w:pPr>
      <w:r>
        <w:rPr>
          <w:rFonts w:ascii="宋体" w:hAnsi="宋体"/>
          <w:sz w:val="21"/>
          <w:szCs w:val="21"/>
        </w:rPr>
        <w:t>（5）浆砌石的水泥砂浆勾缝防渗应遵守GB50203—2002第7.2节和第7.3节的规定。</w:t>
      </w:r>
    </w:p>
    <w:p>
      <w:pPr>
        <w:pStyle w:val="7"/>
        <w:snapToGrid w:val="0"/>
        <w:spacing w:line="360" w:lineRule="exact"/>
        <w:rPr>
          <w:rFonts w:ascii="宋体" w:hAnsi="宋体" w:eastAsia="宋体"/>
          <w:sz w:val="21"/>
          <w:szCs w:val="21"/>
        </w:rPr>
      </w:pPr>
      <w:r>
        <w:rPr>
          <w:rFonts w:hint="eastAsia" w:ascii="宋体" w:hAnsi="宋体" w:eastAsia="宋体"/>
          <w:sz w:val="21"/>
          <w:szCs w:val="21"/>
        </w:rPr>
        <w:t>7.</w:t>
      </w:r>
      <w:r>
        <w:rPr>
          <w:rFonts w:ascii="宋体" w:hAnsi="宋体" w:eastAsia="宋体"/>
          <w:sz w:val="21"/>
          <w:szCs w:val="21"/>
        </w:rPr>
        <w:t>2.</w:t>
      </w:r>
      <w:r>
        <w:rPr>
          <w:rFonts w:hint="eastAsia" w:ascii="宋体" w:hAnsi="宋体" w:eastAsia="宋体"/>
          <w:sz w:val="21"/>
          <w:szCs w:val="21"/>
        </w:rPr>
        <w:t xml:space="preserve">3 </w:t>
      </w:r>
      <w:r>
        <w:rPr>
          <w:rFonts w:ascii="宋体" w:hAnsi="宋体" w:eastAsia="宋体"/>
          <w:sz w:val="21"/>
          <w:szCs w:val="21"/>
        </w:rPr>
        <w:t>砌体工程的质量检查</w:t>
      </w:r>
    </w:p>
    <w:p>
      <w:pPr>
        <w:pStyle w:val="22"/>
        <w:snapToGrid w:val="0"/>
        <w:spacing w:beforeAutospacing="0" w:afterAutospacing="0" w:line="360" w:lineRule="exact"/>
        <w:ind w:firstLine="420" w:firstLineChars="200"/>
        <w:jc w:val="both"/>
        <w:rPr>
          <w:rFonts w:ascii="宋体" w:hAnsi="宋体"/>
          <w:sz w:val="21"/>
          <w:szCs w:val="21"/>
        </w:rPr>
      </w:pPr>
      <w:r>
        <w:rPr>
          <w:rFonts w:ascii="宋体" w:hAnsi="宋体"/>
          <w:sz w:val="21"/>
          <w:szCs w:val="21"/>
        </w:rPr>
        <w:t>（1）砌体工程砌筑前，承包人应会同监理人对砌筑体基础开挖面的测量放样成果和基础清理质量进行检查，检查记录应提交监理人。</w:t>
      </w:r>
    </w:p>
    <w:p>
      <w:pPr>
        <w:pStyle w:val="22"/>
        <w:snapToGrid w:val="0"/>
        <w:spacing w:beforeAutospacing="0" w:afterAutospacing="0" w:line="360" w:lineRule="exact"/>
        <w:ind w:firstLine="420" w:firstLineChars="200"/>
        <w:jc w:val="both"/>
        <w:rPr>
          <w:rFonts w:ascii="宋体" w:hAnsi="宋体"/>
          <w:sz w:val="21"/>
          <w:szCs w:val="21"/>
        </w:rPr>
      </w:pPr>
      <w:r>
        <w:rPr>
          <w:rFonts w:ascii="宋体" w:hAnsi="宋体"/>
          <w:sz w:val="21"/>
          <w:szCs w:val="21"/>
        </w:rPr>
        <w:t>（2）用于石砌体工程的水泥、水、砂、胶凝材料和砌石等材料，应按监理人指示和本章第7.2.1条规定的质量要求进行检查，检查记录应提交监理人。</w:t>
      </w:r>
    </w:p>
    <w:p>
      <w:pPr>
        <w:pStyle w:val="22"/>
        <w:snapToGrid w:val="0"/>
        <w:spacing w:beforeAutospacing="0" w:afterAutospacing="0" w:line="360" w:lineRule="exact"/>
        <w:ind w:firstLine="420" w:firstLineChars="200"/>
        <w:jc w:val="both"/>
        <w:rPr>
          <w:rFonts w:ascii="宋体" w:hAnsi="宋体"/>
          <w:sz w:val="21"/>
          <w:szCs w:val="21"/>
        </w:rPr>
      </w:pPr>
      <w:r>
        <w:rPr>
          <w:rFonts w:ascii="宋体" w:hAnsi="宋体"/>
          <w:sz w:val="21"/>
          <w:szCs w:val="21"/>
        </w:rPr>
        <w:t>（3）浆砌石砌体的容重和空隙率检查，应遵守SD120—1984第4.2.21条第3款的规定。</w:t>
      </w:r>
    </w:p>
    <w:p>
      <w:pPr>
        <w:pStyle w:val="22"/>
        <w:snapToGrid w:val="0"/>
        <w:spacing w:beforeAutospacing="0" w:afterAutospacing="0" w:line="360" w:lineRule="exact"/>
        <w:ind w:firstLine="420" w:firstLineChars="200"/>
        <w:jc w:val="both"/>
        <w:rPr>
          <w:rFonts w:ascii="宋体" w:hAnsi="宋体"/>
          <w:sz w:val="21"/>
          <w:szCs w:val="21"/>
        </w:rPr>
      </w:pPr>
      <w:r>
        <w:rPr>
          <w:rFonts w:ascii="宋体" w:hAnsi="宋体"/>
          <w:sz w:val="21"/>
          <w:szCs w:val="21"/>
        </w:rPr>
        <w:t>（4）有抗渗要求的部位应按监理人指示和施工图纸的要求确定的部位进行钻孔分段压水试验检查，检查结果应提交监理人。</w:t>
      </w:r>
    </w:p>
    <w:p>
      <w:pPr>
        <w:pStyle w:val="22"/>
        <w:snapToGrid w:val="0"/>
        <w:spacing w:beforeAutospacing="0" w:afterAutospacing="0" w:line="360" w:lineRule="exact"/>
        <w:ind w:firstLine="420" w:firstLineChars="200"/>
        <w:jc w:val="both"/>
        <w:rPr>
          <w:rFonts w:ascii="宋体" w:hAnsi="宋体"/>
          <w:sz w:val="21"/>
          <w:szCs w:val="21"/>
        </w:rPr>
      </w:pPr>
      <w:r>
        <w:rPr>
          <w:rFonts w:ascii="宋体" w:hAnsi="宋体"/>
          <w:sz w:val="21"/>
          <w:szCs w:val="21"/>
        </w:rPr>
        <w:t>（5）浆砌石砌体的质量检查应遵守GB 50203—2002第7章的规定。</w:t>
      </w:r>
    </w:p>
    <w:p>
      <w:pPr>
        <w:pStyle w:val="7"/>
        <w:snapToGrid w:val="0"/>
        <w:spacing w:line="360" w:lineRule="exact"/>
        <w:rPr>
          <w:rFonts w:ascii="宋体" w:hAnsi="宋体" w:eastAsia="宋体"/>
          <w:sz w:val="21"/>
          <w:szCs w:val="21"/>
        </w:rPr>
      </w:pPr>
      <w:r>
        <w:rPr>
          <w:rFonts w:hint="eastAsia" w:ascii="宋体" w:hAnsi="宋体" w:eastAsia="宋体"/>
          <w:sz w:val="21"/>
          <w:szCs w:val="21"/>
        </w:rPr>
        <w:t>7.</w:t>
      </w:r>
      <w:r>
        <w:rPr>
          <w:rFonts w:ascii="宋体" w:hAnsi="宋体" w:eastAsia="宋体"/>
          <w:sz w:val="21"/>
          <w:szCs w:val="21"/>
        </w:rPr>
        <w:t>2.</w:t>
      </w:r>
      <w:r>
        <w:rPr>
          <w:rFonts w:hint="eastAsia" w:ascii="宋体" w:hAnsi="宋体" w:eastAsia="宋体"/>
          <w:sz w:val="21"/>
          <w:szCs w:val="21"/>
        </w:rPr>
        <w:t xml:space="preserve">5 </w:t>
      </w:r>
      <w:r>
        <w:rPr>
          <w:rFonts w:ascii="宋体" w:hAnsi="宋体" w:eastAsia="宋体"/>
          <w:sz w:val="21"/>
          <w:szCs w:val="21"/>
        </w:rPr>
        <w:t>石砌体工程的完工验收</w:t>
      </w:r>
    </w:p>
    <w:p>
      <w:pPr>
        <w:pStyle w:val="22"/>
        <w:snapToGrid w:val="0"/>
        <w:spacing w:beforeAutospacing="0" w:afterAutospacing="0" w:line="360" w:lineRule="exact"/>
        <w:ind w:firstLine="420" w:firstLineChars="200"/>
        <w:jc w:val="both"/>
        <w:rPr>
          <w:rFonts w:ascii="宋体" w:hAnsi="宋体"/>
          <w:sz w:val="21"/>
          <w:szCs w:val="21"/>
        </w:rPr>
      </w:pPr>
      <w:r>
        <w:rPr>
          <w:rFonts w:ascii="宋体" w:hAnsi="宋体"/>
          <w:sz w:val="21"/>
          <w:szCs w:val="21"/>
        </w:rPr>
        <w:t>石砌体工程全部完工后，承包人应向监理人申请完工验收，并提交以下完工验收资料。</w:t>
      </w:r>
    </w:p>
    <w:p>
      <w:pPr>
        <w:pStyle w:val="22"/>
        <w:snapToGrid w:val="0"/>
        <w:spacing w:beforeAutospacing="0" w:afterAutospacing="0" w:line="360" w:lineRule="exact"/>
        <w:ind w:firstLine="420" w:firstLineChars="200"/>
        <w:jc w:val="both"/>
        <w:rPr>
          <w:rFonts w:ascii="宋体" w:hAnsi="宋体"/>
          <w:sz w:val="21"/>
          <w:szCs w:val="21"/>
        </w:rPr>
      </w:pPr>
      <w:r>
        <w:rPr>
          <w:rFonts w:ascii="宋体" w:hAnsi="宋体"/>
          <w:sz w:val="21"/>
          <w:szCs w:val="21"/>
        </w:rPr>
        <w:t>（1）石砌体工程各项石材的现场试验和检测记录；</w:t>
      </w:r>
    </w:p>
    <w:p>
      <w:pPr>
        <w:pStyle w:val="22"/>
        <w:snapToGrid w:val="0"/>
        <w:spacing w:beforeAutospacing="0" w:afterAutospacing="0" w:line="360" w:lineRule="exact"/>
        <w:ind w:firstLine="420" w:firstLineChars="200"/>
        <w:jc w:val="both"/>
        <w:rPr>
          <w:rFonts w:ascii="宋体" w:hAnsi="宋体"/>
          <w:sz w:val="21"/>
          <w:szCs w:val="21"/>
        </w:rPr>
      </w:pPr>
      <w:r>
        <w:rPr>
          <w:rFonts w:ascii="宋体" w:hAnsi="宋体"/>
          <w:sz w:val="21"/>
          <w:szCs w:val="21"/>
        </w:rPr>
        <w:t>（2）浆砌石砌体胶结材料配合比检查和试验检验记录；</w:t>
      </w:r>
    </w:p>
    <w:p>
      <w:pPr>
        <w:pStyle w:val="22"/>
        <w:snapToGrid w:val="0"/>
        <w:spacing w:beforeAutospacing="0" w:afterAutospacing="0" w:line="360" w:lineRule="exact"/>
        <w:ind w:firstLine="420" w:firstLineChars="200"/>
        <w:jc w:val="both"/>
        <w:rPr>
          <w:rFonts w:ascii="宋体" w:hAnsi="宋体"/>
          <w:sz w:val="21"/>
          <w:szCs w:val="21"/>
        </w:rPr>
      </w:pPr>
      <w:r>
        <w:rPr>
          <w:rFonts w:ascii="宋体" w:hAnsi="宋体"/>
          <w:sz w:val="21"/>
          <w:szCs w:val="21"/>
        </w:rPr>
        <w:t>（3）石砌体工程建筑物开挖基面及基础垫层混凝土的质量检查和试验检验记录；</w:t>
      </w:r>
    </w:p>
    <w:p>
      <w:pPr>
        <w:pStyle w:val="22"/>
        <w:snapToGrid w:val="0"/>
        <w:spacing w:beforeAutospacing="0" w:afterAutospacing="0" w:line="360" w:lineRule="exact"/>
        <w:ind w:firstLine="420" w:firstLineChars="200"/>
        <w:jc w:val="both"/>
        <w:rPr>
          <w:rFonts w:ascii="宋体" w:hAnsi="宋体"/>
          <w:sz w:val="21"/>
          <w:szCs w:val="21"/>
        </w:rPr>
      </w:pPr>
      <w:r>
        <w:rPr>
          <w:rFonts w:ascii="宋体" w:hAnsi="宋体"/>
          <w:sz w:val="21"/>
          <w:szCs w:val="21"/>
        </w:rPr>
        <w:t>（4）石砌体工程建筑物的结构允许偏差和附属结构物的质量检测和验收记录；</w:t>
      </w:r>
    </w:p>
    <w:p>
      <w:pPr>
        <w:pStyle w:val="22"/>
        <w:snapToGrid w:val="0"/>
        <w:spacing w:beforeAutospacing="0" w:afterAutospacing="0" w:line="360" w:lineRule="exact"/>
        <w:ind w:firstLine="420" w:firstLineChars="200"/>
        <w:jc w:val="both"/>
        <w:rPr>
          <w:rFonts w:ascii="宋体" w:hAnsi="宋体"/>
          <w:sz w:val="21"/>
          <w:szCs w:val="21"/>
        </w:rPr>
      </w:pPr>
      <w:r>
        <w:rPr>
          <w:rFonts w:ascii="宋体" w:hAnsi="宋体"/>
          <w:sz w:val="21"/>
          <w:szCs w:val="21"/>
        </w:rPr>
        <w:t>（5）浆砌石坝容重（空隙率）和密实度（单位吸水率）的试验检验记录；</w:t>
      </w:r>
    </w:p>
    <w:p>
      <w:pPr>
        <w:pStyle w:val="22"/>
        <w:snapToGrid w:val="0"/>
        <w:spacing w:beforeAutospacing="0" w:afterAutospacing="0" w:line="360" w:lineRule="exact"/>
        <w:ind w:firstLine="420" w:firstLineChars="200"/>
        <w:jc w:val="both"/>
        <w:rPr>
          <w:rFonts w:ascii="宋体" w:hAnsi="宋体"/>
          <w:sz w:val="21"/>
          <w:szCs w:val="21"/>
        </w:rPr>
      </w:pPr>
      <w:r>
        <w:rPr>
          <w:rFonts w:ascii="宋体" w:hAnsi="宋体"/>
          <w:sz w:val="21"/>
          <w:szCs w:val="21"/>
        </w:rPr>
        <w:t>（6）浆砌石坝结构允许偏差和附属结构物的质量检测和验收记录；</w:t>
      </w:r>
    </w:p>
    <w:p>
      <w:pPr>
        <w:pStyle w:val="22"/>
        <w:snapToGrid w:val="0"/>
        <w:spacing w:beforeAutospacing="0" w:afterAutospacing="0" w:line="360" w:lineRule="exact"/>
        <w:ind w:firstLine="420" w:firstLineChars="200"/>
        <w:jc w:val="both"/>
        <w:rPr>
          <w:rFonts w:ascii="宋体" w:hAnsi="宋体"/>
          <w:sz w:val="21"/>
          <w:szCs w:val="21"/>
        </w:rPr>
      </w:pPr>
      <w:r>
        <w:rPr>
          <w:rFonts w:ascii="宋体" w:hAnsi="宋体"/>
          <w:sz w:val="21"/>
          <w:szCs w:val="21"/>
        </w:rPr>
        <w:t>（7）监理人要求提交的其它完工验收资料。</w:t>
      </w:r>
    </w:p>
    <w:p>
      <w:pPr>
        <w:pStyle w:val="7"/>
        <w:snapToGrid w:val="0"/>
        <w:spacing w:line="360" w:lineRule="exact"/>
        <w:rPr>
          <w:rFonts w:ascii="宋体" w:hAnsi="宋体" w:eastAsia="宋体"/>
          <w:sz w:val="21"/>
          <w:szCs w:val="21"/>
        </w:rPr>
      </w:pPr>
      <w:r>
        <w:rPr>
          <w:rFonts w:hint="eastAsia" w:ascii="宋体" w:hAnsi="宋体" w:eastAsia="宋体"/>
          <w:sz w:val="21"/>
          <w:szCs w:val="21"/>
        </w:rPr>
        <w:t>7.3 砖砌体工程</w:t>
      </w:r>
    </w:p>
    <w:p>
      <w:pPr>
        <w:pStyle w:val="7"/>
        <w:snapToGrid w:val="0"/>
        <w:spacing w:line="360" w:lineRule="exact"/>
        <w:rPr>
          <w:rFonts w:ascii="宋体" w:hAnsi="宋体" w:eastAsia="宋体"/>
          <w:sz w:val="21"/>
          <w:szCs w:val="21"/>
        </w:rPr>
      </w:pPr>
      <w:r>
        <w:rPr>
          <w:rFonts w:hint="eastAsia" w:ascii="宋体" w:hAnsi="宋体" w:eastAsia="宋体"/>
          <w:sz w:val="21"/>
          <w:szCs w:val="21"/>
        </w:rPr>
        <w:t>7</w:t>
      </w:r>
      <w:r>
        <w:rPr>
          <w:rFonts w:ascii="宋体" w:hAnsi="宋体" w:eastAsia="宋体"/>
          <w:sz w:val="21"/>
          <w:szCs w:val="21"/>
        </w:rPr>
        <w:t>.3.1材料</w:t>
      </w:r>
    </w:p>
    <w:p>
      <w:pPr>
        <w:pStyle w:val="22"/>
        <w:snapToGrid w:val="0"/>
        <w:spacing w:beforeAutospacing="0" w:afterAutospacing="0" w:line="360" w:lineRule="exact"/>
        <w:ind w:firstLine="420" w:firstLineChars="200"/>
        <w:jc w:val="both"/>
        <w:rPr>
          <w:rFonts w:ascii="宋体" w:hAnsi="宋体"/>
          <w:sz w:val="21"/>
          <w:szCs w:val="21"/>
        </w:rPr>
      </w:pPr>
      <w:r>
        <w:rPr>
          <w:rFonts w:ascii="宋体" w:hAnsi="宋体"/>
          <w:sz w:val="21"/>
          <w:szCs w:val="21"/>
        </w:rPr>
        <w:t>（1）砖：砖砌体工程采用的普通烧结砖分为粘土砖、页岩砖、煤矸石砖和粉煤灰砖。其外形尺寸应按GB13544—2000的规定执行。</w:t>
      </w:r>
    </w:p>
    <w:p>
      <w:pPr>
        <w:pStyle w:val="22"/>
        <w:snapToGrid w:val="0"/>
        <w:spacing w:beforeAutospacing="0" w:afterAutospacing="0" w:line="360" w:lineRule="exact"/>
        <w:ind w:firstLine="420" w:firstLineChars="200"/>
        <w:jc w:val="both"/>
        <w:rPr>
          <w:rFonts w:ascii="宋体" w:hAnsi="宋体"/>
          <w:sz w:val="21"/>
          <w:szCs w:val="21"/>
        </w:rPr>
      </w:pPr>
      <w:r>
        <w:rPr>
          <w:rFonts w:ascii="宋体" w:hAnsi="宋体"/>
          <w:sz w:val="21"/>
          <w:szCs w:val="21"/>
        </w:rPr>
        <w:t>（2）砌筑砂浆：砌筑砂浆应遵守GB 50203—2002第4章的有关规定。</w:t>
      </w:r>
    </w:p>
    <w:p>
      <w:pPr>
        <w:pStyle w:val="7"/>
        <w:snapToGrid w:val="0"/>
        <w:spacing w:line="360" w:lineRule="exact"/>
        <w:rPr>
          <w:rFonts w:ascii="宋体" w:hAnsi="宋体" w:eastAsia="宋体"/>
          <w:sz w:val="21"/>
          <w:szCs w:val="21"/>
        </w:rPr>
      </w:pPr>
      <w:r>
        <w:rPr>
          <w:rFonts w:hint="eastAsia" w:ascii="宋体" w:hAnsi="宋体" w:eastAsia="宋体"/>
          <w:sz w:val="21"/>
          <w:szCs w:val="21"/>
        </w:rPr>
        <w:t>7</w:t>
      </w:r>
      <w:r>
        <w:rPr>
          <w:rFonts w:ascii="宋体" w:hAnsi="宋体" w:eastAsia="宋体"/>
          <w:sz w:val="21"/>
          <w:szCs w:val="21"/>
        </w:rPr>
        <w:t>.3.2砖砌体施工</w:t>
      </w:r>
    </w:p>
    <w:p>
      <w:pPr>
        <w:pStyle w:val="22"/>
        <w:snapToGrid w:val="0"/>
        <w:spacing w:beforeAutospacing="0" w:afterAutospacing="0" w:line="360" w:lineRule="exact"/>
        <w:ind w:firstLine="420" w:firstLineChars="200"/>
        <w:jc w:val="both"/>
        <w:rPr>
          <w:rFonts w:ascii="宋体" w:hAnsi="宋体"/>
          <w:sz w:val="21"/>
          <w:szCs w:val="21"/>
        </w:rPr>
      </w:pPr>
      <w:r>
        <w:rPr>
          <w:rFonts w:ascii="宋体" w:hAnsi="宋体"/>
          <w:sz w:val="21"/>
          <w:szCs w:val="21"/>
        </w:rPr>
        <w:t>砖砌体施工应遵守GB 50203—2002第4.2~4.6节和第5章的有关规定。</w:t>
      </w:r>
    </w:p>
    <w:p>
      <w:pPr>
        <w:pStyle w:val="7"/>
        <w:snapToGrid w:val="0"/>
        <w:spacing w:line="360" w:lineRule="exact"/>
        <w:rPr>
          <w:rFonts w:ascii="宋体" w:hAnsi="宋体" w:eastAsia="宋体"/>
          <w:sz w:val="21"/>
          <w:szCs w:val="21"/>
        </w:rPr>
      </w:pPr>
      <w:r>
        <w:rPr>
          <w:rFonts w:hint="eastAsia" w:ascii="宋体" w:hAnsi="宋体" w:eastAsia="宋体"/>
          <w:sz w:val="21"/>
          <w:szCs w:val="21"/>
        </w:rPr>
        <w:t>7</w:t>
      </w:r>
      <w:r>
        <w:rPr>
          <w:rFonts w:ascii="宋体" w:hAnsi="宋体" w:eastAsia="宋体"/>
          <w:sz w:val="21"/>
          <w:szCs w:val="21"/>
        </w:rPr>
        <w:t>.3.</w:t>
      </w:r>
      <w:r>
        <w:rPr>
          <w:rFonts w:hint="eastAsia" w:ascii="宋体" w:hAnsi="宋体" w:eastAsia="宋体"/>
          <w:sz w:val="21"/>
          <w:szCs w:val="21"/>
        </w:rPr>
        <w:t xml:space="preserve">3 </w:t>
      </w:r>
      <w:r>
        <w:rPr>
          <w:rFonts w:ascii="宋体" w:hAnsi="宋体" w:eastAsia="宋体"/>
          <w:sz w:val="21"/>
          <w:szCs w:val="21"/>
        </w:rPr>
        <w:t>砖砌体工程的质量检查和验收</w:t>
      </w:r>
    </w:p>
    <w:p>
      <w:pPr>
        <w:pStyle w:val="22"/>
        <w:snapToGrid w:val="0"/>
        <w:spacing w:beforeAutospacing="0" w:afterAutospacing="0" w:line="360" w:lineRule="exact"/>
        <w:ind w:firstLine="420" w:firstLineChars="200"/>
        <w:jc w:val="both"/>
        <w:rPr>
          <w:rFonts w:ascii="宋体" w:hAnsi="宋体"/>
          <w:sz w:val="21"/>
          <w:szCs w:val="21"/>
        </w:rPr>
      </w:pPr>
      <w:r>
        <w:rPr>
          <w:rFonts w:ascii="宋体" w:hAnsi="宋体"/>
          <w:sz w:val="21"/>
          <w:szCs w:val="21"/>
        </w:rPr>
        <w:t>砖砌体的质量检查应按GB 50203—2002第5章的规定进行。</w:t>
      </w:r>
    </w:p>
    <w:p>
      <w:pPr>
        <w:pStyle w:val="7"/>
        <w:snapToGrid w:val="0"/>
        <w:spacing w:line="360" w:lineRule="exact"/>
        <w:rPr>
          <w:rFonts w:ascii="宋体" w:hAnsi="宋体" w:eastAsia="宋体"/>
          <w:sz w:val="21"/>
          <w:szCs w:val="21"/>
        </w:rPr>
      </w:pPr>
      <w:r>
        <w:rPr>
          <w:rFonts w:hint="eastAsia" w:ascii="宋体" w:hAnsi="宋体" w:eastAsia="宋体"/>
          <w:sz w:val="21"/>
          <w:szCs w:val="21"/>
        </w:rPr>
        <w:t>7</w:t>
      </w:r>
      <w:r>
        <w:rPr>
          <w:rFonts w:ascii="宋体" w:hAnsi="宋体" w:eastAsia="宋体"/>
          <w:sz w:val="21"/>
          <w:szCs w:val="21"/>
        </w:rPr>
        <w:t>.3</w:t>
      </w:r>
      <w:r>
        <w:rPr>
          <w:rFonts w:hint="eastAsia" w:ascii="宋体" w:hAnsi="宋体" w:eastAsia="宋体"/>
          <w:sz w:val="21"/>
          <w:szCs w:val="21"/>
        </w:rPr>
        <w:t xml:space="preserve">.4 </w:t>
      </w:r>
      <w:r>
        <w:rPr>
          <w:rFonts w:ascii="宋体" w:hAnsi="宋体" w:eastAsia="宋体"/>
          <w:sz w:val="21"/>
          <w:szCs w:val="21"/>
        </w:rPr>
        <w:t>完工验收</w:t>
      </w:r>
    </w:p>
    <w:p>
      <w:pPr>
        <w:pStyle w:val="22"/>
        <w:snapToGrid w:val="0"/>
        <w:spacing w:beforeAutospacing="0" w:afterAutospacing="0" w:line="360" w:lineRule="exact"/>
        <w:ind w:firstLine="420" w:firstLineChars="200"/>
        <w:jc w:val="both"/>
        <w:rPr>
          <w:rFonts w:ascii="宋体" w:hAnsi="宋体"/>
          <w:sz w:val="21"/>
          <w:szCs w:val="21"/>
        </w:rPr>
      </w:pPr>
      <w:r>
        <w:rPr>
          <w:rFonts w:ascii="宋体" w:hAnsi="宋体"/>
          <w:sz w:val="21"/>
          <w:szCs w:val="21"/>
        </w:rPr>
        <w:t>砖砌体工程全部完工后，承包人应向监理人申请完工验收，并提交以下完工验收资料：</w:t>
      </w:r>
    </w:p>
    <w:p>
      <w:pPr>
        <w:pStyle w:val="22"/>
        <w:snapToGrid w:val="0"/>
        <w:spacing w:beforeAutospacing="0" w:afterAutospacing="0" w:line="360" w:lineRule="exact"/>
        <w:ind w:firstLine="420" w:firstLineChars="200"/>
        <w:jc w:val="both"/>
        <w:rPr>
          <w:rFonts w:ascii="宋体" w:hAnsi="宋体"/>
          <w:sz w:val="21"/>
          <w:szCs w:val="21"/>
        </w:rPr>
      </w:pPr>
      <w:r>
        <w:rPr>
          <w:rFonts w:ascii="宋体" w:hAnsi="宋体"/>
          <w:sz w:val="21"/>
          <w:szCs w:val="21"/>
        </w:rPr>
        <w:t>（1）砖砌体工程各项材料的质量证明书、试验报告和现场检测报告。</w:t>
      </w:r>
    </w:p>
    <w:p>
      <w:pPr>
        <w:pStyle w:val="22"/>
        <w:snapToGrid w:val="0"/>
        <w:spacing w:beforeAutospacing="0" w:afterAutospacing="0" w:line="360" w:lineRule="exact"/>
        <w:ind w:firstLine="420" w:firstLineChars="200"/>
        <w:jc w:val="both"/>
        <w:rPr>
          <w:rFonts w:ascii="宋体" w:hAnsi="宋体"/>
          <w:sz w:val="21"/>
          <w:szCs w:val="21"/>
        </w:rPr>
      </w:pPr>
      <w:r>
        <w:rPr>
          <w:rFonts w:ascii="宋体" w:hAnsi="宋体"/>
          <w:sz w:val="21"/>
          <w:szCs w:val="21"/>
        </w:rPr>
        <w:t>（2）各项砌筑砂浆和混凝土配合比试验及其试块的检查检验记录。</w:t>
      </w:r>
    </w:p>
    <w:p>
      <w:pPr>
        <w:pStyle w:val="22"/>
        <w:snapToGrid w:val="0"/>
        <w:spacing w:beforeAutospacing="0" w:afterAutospacing="0" w:line="360" w:lineRule="exact"/>
        <w:ind w:firstLine="420" w:firstLineChars="200"/>
        <w:jc w:val="both"/>
        <w:rPr>
          <w:rFonts w:ascii="宋体" w:hAnsi="宋体"/>
          <w:sz w:val="21"/>
          <w:szCs w:val="21"/>
        </w:rPr>
      </w:pPr>
      <w:r>
        <w:rPr>
          <w:rFonts w:ascii="宋体" w:hAnsi="宋体"/>
          <w:sz w:val="21"/>
          <w:szCs w:val="21"/>
        </w:rPr>
        <w:t>（3）砌体基础面的检查验收记录。</w:t>
      </w:r>
    </w:p>
    <w:p>
      <w:pPr>
        <w:pStyle w:val="22"/>
        <w:snapToGrid w:val="0"/>
        <w:spacing w:beforeAutospacing="0" w:afterAutospacing="0" w:line="360" w:lineRule="exact"/>
        <w:ind w:firstLine="420" w:firstLineChars="200"/>
        <w:jc w:val="both"/>
        <w:rPr>
          <w:rFonts w:ascii="宋体" w:hAnsi="宋体"/>
          <w:sz w:val="21"/>
          <w:szCs w:val="21"/>
        </w:rPr>
      </w:pPr>
      <w:r>
        <w:rPr>
          <w:rFonts w:ascii="宋体" w:hAnsi="宋体"/>
          <w:sz w:val="21"/>
          <w:szCs w:val="21"/>
        </w:rPr>
        <w:t>（4）各项砌体建筑物及其细部结构尺寸和允许偏差以及外观的检查验收记录。</w:t>
      </w:r>
    </w:p>
    <w:p>
      <w:pPr>
        <w:pStyle w:val="22"/>
        <w:snapToGrid w:val="0"/>
        <w:spacing w:beforeAutospacing="0" w:afterAutospacing="0" w:line="360" w:lineRule="exact"/>
        <w:ind w:firstLine="420" w:firstLineChars="200"/>
        <w:jc w:val="both"/>
        <w:rPr>
          <w:rFonts w:ascii="宋体" w:hAnsi="宋体"/>
          <w:sz w:val="21"/>
          <w:szCs w:val="21"/>
        </w:rPr>
      </w:pPr>
      <w:r>
        <w:rPr>
          <w:rFonts w:ascii="宋体" w:hAnsi="宋体"/>
          <w:sz w:val="21"/>
          <w:szCs w:val="21"/>
        </w:rPr>
        <w:t>（5）监理人要求提交的其它完工资料。</w:t>
      </w:r>
    </w:p>
    <w:p>
      <w:pPr>
        <w:pStyle w:val="7"/>
        <w:snapToGrid w:val="0"/>
        <w:spacing w:line="360" w:lineRule="exact"/>
        <w:rPr>
          <w:rFonts w:ascii="宋体" w:hAnsi="宋体" w:eastAsia="宋体"/>
          <w:sz w:val="21"/>
          <w:szCs w:val="21"/>
        </w:rPr>
      </w:pPr>
      <w:bookmarkStart w:id="704" w:name="_Toc339224674"/>
      <w:bookmarkStart w:id="705" w:name="_Toc339482540"/>
      <w:bookmarkStart w:id="706" w:name="_Toc339983446"/>
      <w:r>
        <w:rPr>
          <w:rFonts w:hint="eastAsia" w:ascii="宋体" w:hAnsi="宋体" w:eastAsia="宋体"/>
          <w:sz w:val="21"/>
          <w:szCs w:val="21"/>
        </w:rPr>
        <w:t>7.</w:t>
      </w:r>
      <w:r>
        <w:rPr>
          <w:rFonts w:ascii="宋体" w:hAnsi="宋体" w:eastAsia="宋体"/>
          <w:sz w:val="21"/>
          <w:szCs w:val="21"/>
        </w:rPr>
        <w:t>4 计量和支付</w:t>
      </w:r>
      <w:bookmarkEnd w:id="704"/>
      <w:bookmarkEnd w:id="705"/>
      <w:bookmarkEnd w:id="706"/>
    </w:p>
    <w:p>
      <w:pPr>
        <w:pStyle w:val="22"/>
        <w:snapToGrid w:val="0"/>
        <w:spacing w:beforeAutospacing="0" w:afterAutospacing="0" w:line="360" w:lineRule="exact"/>
        <w:ind w:firstLine="420" w:firstLineChars="200"/>
        <w:jc w:val="both"/>
        <w:rPr>
          <w:rFonts w:ascii="宋体" w:hAnsi="宋体"/>
          <w:sz w:val="21"/>
          <w:szCs w:val="21"/>
        </w:rPr>
      </w:pPr>
      <w:r>
        <w:rPr>
          <w:rFonts w:hint="eastAsia" w:ascii="宋体" w:hAnsi="宋体"/>
          <w:sz w:val="21"/>
          <w:szCs w:val="21"/>
        </w:rPr>
        <w:t xml:space="preserve"> (1) 砌石体和砌砖体以施工图纸所示的建筑物轮廓线或经监理人批准实施的砌体建筑物尺寸量测计算的有效工程量以立方米（m3）为单位计量，并按《工程量清单》所列项目的每立方米单价进行支付。</w:t>
      </w:r>
    </w:p>
    <w:p>
      <w:pPr>
        <w:pStyle w:val="22"/>
        <w:snapToGrid w:val="0"/>
        <w:spacing w:beforeAutospacing="0" w:afterAutospacing="0" w:line="360" w:lineRule="exact"/>
        <w:ind w:firstLine="420" w:firstLineChars="200"/>
        <w:jc w:val="both"/>
        <w:rPr>
          <w:rFonts w:ascii="宋体" w:hAnsi="宋体"/>
          <w:sz w:val="21"/>
          <w:szCs w:val="21"/>
        </w:rPr>
      </w:pPr>
      <w:r>
        <w:rPr>
          <w:rFonts w:hint="eastAsia" w:ascii="宋体" w:hAnsi="宋体"/>
          <w:sz w:val="21"/>
          <w:szCs w:val="21"/>
        </w:rPr>
        <w:t xml:space="preserve"> (2)石砌工程砌体所用的材料（包括水泥、砂石骨料、外加剂等胶凝材料）的采购、运输、保管、材料的加工、砌筑、试验、养护、质量检查和验收等所需的人工、材料以及使用设备和辅助设施等一切费用均包括在砌筑体每立方米单价中。</w:t>
      </w:r>
    </w:p>
    <w:p>
      <w:pPr>
        <w:pStyle w:val="22"/>
        <w:snapToGrid w:val="0"/>
        <w:spacing w:beforeAutospacing="0" w:afterAutospacing="0" w:line="360" w:lineRule="exact"/>
        <w:ind w:firstLine="420" w:firstLineChars="200"/>
        <w:jc w:val="both"/>
        <w:rPr>
          <w:rFonts w:ascii="宋体" w:hAnsi="宋体"/>
          <w:sz w:val="21"/>
          <w:szCs w:val="21"/>
        </w:rPr>
      </w:pPr>
      <w:r>
        <w:rPr>
          <w:rFonts w:hint="eastAsia" w:ascii="宋体" w:hAnsi="宋体"/>
          <w:sz w:val="21"/>
          <w:szCs w:val="21"/>
        </w:rPr>
        <w:t xml:space="preserve"> (3) 因施工需要所进行砌体基础面的清理和施工排水，均应包括在砌筑体工程项目每立方米单价中，不单独计量支付。</w:t>
      </w:r>
    </w:p>
    <w:p>
      <w:pPr>
        <w:pStyle w:val="22"/>
        <w:snapToGrid w:val="0"/>
        <w:spacing w:beforeAutospacing="0" w:afterAutospacing="0" w:line="360" w:lineRule="exact"/>
        <w:ind w:firstLine="420" w:firstLineChars="200"/>
        <w:jc w:val="both"/>
        <w:rPr>
          <w:rFonts w:ascii="宋体" w:hAnsi="宋体"/>
          <w:sz w:val="21"/>
          <w:szCs w:val="21"/>
        </w:rPr>
      </w:pPr>
      <w:r>
        <w:rPr>
          <w:rFonts w:ascii="宋体" w:hAnsi="宋体"/>
          <w:sz w:val="21"/>
          <w:szCs w:val="21"/>
        </w:rPr>
        <w:t>（</w:t>
      </w:r>
      <w:r>
        <w:rPr>
          <w:rFonts w:hint="eastAsia" w:ascii="宋体" w:hAnsi="宋体"/>
          <w:sz w:val="21"/>
          <w:szCs w:val="21"/>
        </w:rPr>
        <w:t>4）</w:t>
      </w:r>
      <w:r>
        <w:rPr>
          <w:rFonts w:ascii="宋体" w:hAnsi="宋体"/>
          <w:sz w:val="21"/>
          <w:szCs w:val="21"/>
        </w:rPr>
        <w:t>砌筑工程的排水管、止水设施、伸缩缝等</w:t>
      </w:r>
      <w:r>
        <w:rPr>
          <w:rFonts w:hint="eastAsia" w:ascii="宋体" w:hAnsi="宋体"/>
          <w:sz w:val="21"/>
          <w:szCs w:val="21"/>
        </w:rPr>
        <w:t>按工程量清</w:t>
      </w:r>
      <w:r>
        <w:rPr>
          <w:rFonts w:ascii="宋体" w:hAnsi="宋体"/>
          <w:sz w:val="21"/>
          <w:szCs w:val="21"/>
        </w:rPr>
        <w:t>单</w:t>
      </w:r>
      <w:r>
        <w:rPr>
          <w:rFonts w:hint="eastAsia" w:ascii="宋体" w:hAnsi="宋体"/>
          <w:sz w:val="21"/>
          <w:szCs w:val="21"/>
        </w:rPr>
        <w:t>相应项目另行计量支付</w:t>
      </w:r>
      <w:r>
        <w:rPr>
          <w:rFonts w:ascii="宋体" w:hAnsi="宋体"/>
          <w:sz w:val="21"/>
          <w:szCs w:val="21"/>
        </w:rPr>
        <w:t>。</w:t>
      </w:r>
    </w:p>
    <w:bookmarkEnd w:id="429"/>
    <w:bookmarkEnd w:id="430"/>
    <w:bookmarkEnd w:id="431"/>
    <w:bookmarkEnd w:id="432"/>
    <w:bookmarkEnd w:id="433"/>
    <w:bookmarkEnd w:id="434"/>
    <w:bookmarkEnd w:id="435"/>
    <w:p>
      <w:pPr>
        <w:spacing w:line="360" w:lineRule="exact"/>
        <w:rPr>
          <w:rFonts w:ascii="宋体" w:hAnsi="宋体"/>
          <w:snapToGrid w:val="0"/>
          <w:sz w:val="21"/>
          <w:szCs w:val="21"/>
        </w:rPr>
      </w:pPr>
    </w:p>
    <w:p>
      <w:pPr>
        <w:spacing w:line="360" w:lineRule="exact"/>
        <w:rPr>
          <w:rFonts w:ascii="宋体" w:hAnsi="宋体"/>
          <w:snapToGrid w:val="0"/>
          <w:sz w:val="21"/>
          <w:szCs w:val="21"/>
        </w:rPr>
      </w:pPr>
    </w:p>
    <w:p>
      <w:pPr>
        <w:pStyle w:val="5"/>
        <w:spacing w:line="360" w:lineRule="auto"/>
        <w:jc w:val="center"/>
        <w:rPr>
          <w:szCs w:val="30"/>
        </w:rPr>
      </w:pPr>
      <w:bookmarkStart w:id="707" w:name="_Toc17733"/>
      <w:bookmarkStart w:id="708" w:name="_Toc336325377"/>
      <w:r>
        <w:rPr>
          <w:szCs w:val="30"/>
        </w:rPr>
        <w:t>第</w:t>
      </w:r>
      <w:r>
        <w:rPr>
          <w:rFonts w:hint="eastAsia"/>
          <w:szCs w:val="30"/>
        </w:rPr>
        <w:t>8节</w:t>
      </w:r>
      <w:r>
        <w:rPr>
          <w:szCs w:val="30"/>
        </w:rPr>
        <w:t>混凝土工程</w:t>
      </w:r>
      <w:bookmarkEnd w:id="707"/>
      <w:bookmarkEnd w:id="708"/>
    </w:p>
    <w:p>
      <w:pPr>
        <w:pStyle w:val="6"/>
        <w:snapToGrid w:val="0"/>
        <w:spacing w:line="360" w:lineRule="exact"/>
        <w:rPr>
          <w:rFonts w:ascii="宋体" w:hAnsi="宋体" w:eastAsia="宋体"/>
          <w:snapToGrid w:val="0"/>
          <w:sz w:val="21"/>
          <w:szCs w:val="21"/>
        </w:rPr>
      </w:pPr>
      <w:bookmarkStart w:id="709" w:name="_Toc339224676"/>
      <w:bookmarkStart w:id="710" w:name="_Toc16589"/>
      <w:bookmarkStart w:id="711" w:name="_Toc336325378"/>
      <w:bookmarkStart w:id="712" w:name="_Toc339983448"/>
      <w:bookmarkStart w:id="713" w:name="_Toc339482542"/>
      <w:bookmarkStart w:id="714" w:name="_Toc341965050"/>
      <w:r>
        <w:rPr>
          <w:rFonts w:ascii="宋体" w:hAnsi="宋体" w:eastAsia="宋体"/>
          <w:snapToGrid w:val="0"/>
          <w:sz w:val="21"/>
          <w:szCs w:val="21"/>
        </w:rPr>
        <w:t>8.1</w:t>
      </w:r>
      <w:r>
        <w:rPr>
          <w:rFonts w:hint="eastAsia" w:ascii="宋体" w:hAnsi="宋体" w:eastAsia="宋体"/>
          <w:snapToGrid w:val="0"/>
          <w:sz w:val="21"/>
          <w:szCs w:val="21"/>
        </w:rPr>
        <w:t xml:space="preserve"> 一</w:t>
      </w:r>
      <w:r>
        <w:rPr>
          <w:rFonts w:ascii="宋体" w:hAnsi="宋体" w:eastAsia="宋体"/>
          <w:snapToGrid w:val="0"/>
          <w:sz w:val="21"/>
          <w:szCs w:val="21"/>
        </w:rPr>
        <w:t>般规定</w:t>
      </w:r>
      <w:bookmarkEnd w:id="709"/>
      <w:bookmarkEnd w:id="710"/>
      <w:bookmarkEnd w:id="711"/>
      <w:bookmarkEnd w:id="712"/>
      <w:bookmarkEnd w:id="713"/>
      <w:bookmarkEnd w:id="714"/>
    </w:p>
    <w:p>
      <w:pPr>
        <w:pStyle w:val="7"/>
        <w:snapToGrid w:val="0"/>
        <w:spacing w:line="360" w:lineRule="exact"/>
        <w:rPr>
          <w:rFonts w:ascii="宋体" w:hAnsi="宋体" w:eastAsia="宋体"/>
          <w:sz w:val="21"/>
          <w:szCs w:val="21"/>
        </w:rPr>
      </w:pPr>
      <w:r>
        <w:rPr>
          <w:rFonts w:ascii="宋体" w:hAnsi="宋体" w:eastAsia="宋体"/>
          <w:sz w:val="21"/>
          <w:szCs w:val="21"/>
        </w:rPr>
        <w:t>8.1.1应用范围</w:t>
      </w:r>
    </w:p>
    <w:p>
      <w:pPr>
        <w:pStyle w:val="14"/>
        <w:snapToGrid w:val="0"/>
        <w:spacing w:line="360" w:lineRule="exact"/>
        <w:ind w:firstLine="420" w:firstLineChars="200"/>
        <w:rPr>
          <w:rFonts w:hAnsi="宋体"/>
          <w:szCs w:val="21"/>
        </w:rPr>
      </w:pPr>
      <w:r>
        <w:rPr>
          <w:rFonts w:hAnsi="宋体"/>
          <w:szCs w:val="21"/>
        </w:rPr>
        <w:t>（1）本章规定适用于本合同施工图纸所示的永久和临时建筑物的各类混凝土（含钢筋混凝土）工程的施工，包括混凝土、预制混凝土等。</w:t>
      </w:r>
    </w:p>
    <w:p>
      <w:pPr>
        <w:pStyle w:val="14"/>
        <w:snapToGrid w:val="0"/>
        <w:spacing w:line="360" w:lineRule="exact"/>
        <w:ind w:firstLine="420" w:firstLineChars="200"/>
        <w:rPr>
          <w:rFonts w:hAnsi="宋体"/>
          <w:szCs w:val="21"/>
        </w:rPr>
      </w:pPr>
      <w:r>
        <w:rPr>
          <w:rFonts w:hAnsi="宋体"/>
          <w:szCs w:val="21"/>
        </w:rPr>
        <w:t>（2）本章主要的施工内容包括：混凝土生产（包括混凝土材料、配合比设计、混凝拌制及混凝土的取样和检验等），管路和预埋件施工，止水、伸缩缝和坝体排水施工，混凝土运输、浇筑以及温度控制和混凝土养护等。</w:t>
      </w:r>
    </w:p>
    <w:p>
      <w:pPr>
        <w:pStyle w:val="14"/>
        <w:snapToGrid w:val="0"/>
        <w:spacing w:line="360" w:lineRule="exact"/>
        <w:ind w:firstLine="420" w:firstLineChars="200"/>
        <w:rPr>
          <w:rFonts w:hAnsi="宋体"/>
          <w:szCs w:val="21"/>
        </w:rPr>
      </w:pPr>
      <w:r>
        <w:rPr>
          <w:rFonts w:hAnsi="宋体"/>
          <w:szCs w:val="21"/>
        </w:rPr>
        <w:t>（3）本章规定还包括混凝土工程各种类型的模板与钢筋的制作和安装，混凝土模板、钢模板、悬臂模板和特种模板等。</w:t>
      </w:r>
    </w:p>
    <w:p>
      <w:pPr>
        <w:pStyle w:val="7"/>
        <w:snapToGrid w:val="0"/>
        <w:spacing w:line="360" w:lineRule="exact"/>
        <w:rPr>
          <w:rFonts w:ascii="宋体" w:hAnsi="宋体" w:eastAsia="宋体"/>
          <w:sz w:val="21"/>
          <w:szCs w:val="21"/>
        </w:rPr>
      </w:pPr>
      <w:r>
        <w:rPr>
          <w:rFonts w:ascii="宋体" w:hAnsi="宋体" w:eastAsia="宋体"/>
          <w:sz w:val="21"/>
          <w:szCs w:val="21"/>
        </w:rPr>
        <w:t>8.1.2承包人责任</w:t>
      </w:r>
    </w:p>
    <w:p>
      <w:pPr>
        <w:pStyle w:val="14"/>
        <w:snapToGrid w:val="0"/>
        <w:spacing w:line="360" w:lineRule="exact"/>
        <w:ind w:firstLine="420" w:firstLineChars="200"/>
        <w:rPr>
          <w:rFonts w:hAnsi="宋体"/>
          <w:szCs w:val="21"/>
        </w:rPr>
      </w:pPr>
      <w:r>
        <w:rPr>
          <w:rFonts w:hAnsi="宋体"/>
          <w:szCs w:val="21"/>
        </w:rPr>
        <w:t>（1）除合同另有约定外，承包人应按本工程施工图纸的要求，负责砂、石骨料的生产、运输、贮存和使用。</w:t>
      </w:r>
    </w:p>
    <w:p>
      <w:pPr>
        <w:pStyle w:val="14"/>
        <w:snapToGrid w:val="0"/>
        <w:spacing w:line="360" w:lineRule="exact"/>
        <w:ind w:firstLine="420" w:firstLineChars="200"/>
        <w:rPr>
          <w:rFonts w:hAnsi="宋体"/>
          <w:szCs w:val="21"/>
        </w:rPr>
      </w:pPr>
      <w:r>
        <w:rPr>
          <w:rFonts w:hAnsi="宋体"/>
          <w:szCs w:val="21"/>
        </w:rPr>
        <w:t>（2）除合同另有约定外，承包人应负责修建本工程的混凝土拌和厂，包括其生产设备的采购、安装、运行管理、维护和拆除，并使其生产能力满足本合同规定的施工进度要求。</w:t>
      </w:r>
    </w:p>
    <w:p>
      <w:pPr>
        <w:pStyle w:val="14"/>
        <w:snapToGrid w:val="0"/>
        <w:spacing w:line="360" w:lineRule="exact"/>
        <w:ind w:firstLine="420" w:firstLineChars="200"/>
        <w:rPr>
          <w:rFonts w:hAnsi="宋体"/>
          <w:szCs w:val="21"/>
        </w:rPr>
      </w:pPr>
      <w:r>
        <w:rPr>
          <w:rFonts w:hAnsi="宋体"/>
          <w:szCs w:val="21"/>
        </w:rPr>
        <w:t>（3）承包人应负责本工程各种类型模板的制作、安装、拆除和维护，以及钢筋和锚筋的制作和安装。</w:t>
      </w:r>
    </w:p>
    <w:p>
      <w:pPr>
        <w:pStyle w:val="14"/>
        <w:snapToGrid w:val="0"/>
        <w:spacing w:line="360" w:lineRule="exact"/>
        <w:ind w:firstLine="420" w:firstLineChars="200"/>
        <w:rPr>
          <w:rFonts w:hAnsi="宋体"/>
          <w:szCs w:val="21"/>
        </w:rPr>
      </w:pPr>
      <w:r>
        <w:rPr>
          <w:rFonts w:hAnsi="宋体"/>
          <w:szCs w:val="21"/>
        </w:rPr>
        <w:t>（4）承包人应负责进行混凝土的室内试验、现场试验，以选定混凝土的原材料、最优配合比、施工工艺和浇筑程序。</w:t>
      </w:r>
    </w:p>
    <w:p>
      <w:pPr>
        <w:pStyle w:val="14"/>
        <w:snapToGrid w:val="0"/>
        <w:spacing w:line="360" w:lineRule="exact"/>
        <w:ind w:firstLine="420" w:firstLineChars="200"/>
        <w:rPr>
          <w:rFonts w:hAnsi="宋体"/>
          <w:szCs w:val="21"/>
        </w:rPr>
      </w:pPr>
      <w:r>
        <w:rPr>
          <w:rFonts w:hAnsi="宋体"/>
          <w:szCs w:val="21"/>
        </w:rPr>
        <w:t>（5）承包人应根据本合同技术条款和施工图纸所示的各种强度等级混凝土的质量要求，负责混凝土的拌和、运输、浇筑、温度控制和养护。</w:t>
      </w:r>
    </w:p>
    <w:p>
      <w:pPr>
        <w:pStyle w:val="14"/>
        <w:snapToGrid w:val="0"/>
        <w:spacing w:line="360" w:lineRule="exact"/>
        <w:ind w:firstLine="420" w:firstLineChars="200"/>
        <w:rPr>
          <w:rFonts w:hAnsi="宋体"/>
          <w:szCs w:val="21"/>
        </w:rPr>
      </w:pPr>
      <w:r>
        <w:rPr>
          <w:rFonts w:hAnsi="宋体"/>
          <w:szCs w:val="21"/>
        </w:rPr>
        <w:t>（6）承包人应负责本合同技术条款和施工图纸所示预制混凝土和预应力混凝土构件的制作、运输和安装以及水下混凝土和碾压混凝土的施工。</w:t>
      </w:r>
    </w:p>
    <w:p>
      <w:pPr>
        <w:pStyle w:val="7"/>
        <w:snapToGrid w:val="0"/>
        <w:spacing w:line="360" w:lineRule="exact"/>
        <w:rPr>
          <w:rFonts w:ascii="宋体" w:hAnsi="宋体" w:eastAsia="宋体"/>
          <w:sz w:val="21"/>
          <w:szCs w:val="21"/>
        </w:rPr>
      </w:pPr>
      <w:r>
        <w:rPr>
          <w:rFonts w:ascii="宋体" w:hAnsi="宋体" w:eastAsia="宋体"/>
          <w:sz w:val="21"/>
          <w:szCs w:val="21"/>
        </w:rPr>
        <w:t>8.1.3主要提交件</w:t>
      </w:r>
    </w:p>
    <w:p>
      <w:pPr>
        <w:pStyle w:val="14"/>
        <w:snapToGrid w:val="0"/>
        <w:spacing w:line="360" w:lineRule="exact"/>
        <w:ind w:firstLine="420" w:firstLineChars="200"/>
        <w:rPr>
          <w:rFonts w:hAnsi="宋体"/>
          <w:szCs w:val="21"/>
        </w:rPr>
      </w:pPr>
      <w:r>
        <w:rPr>
          <w:rFonts w:hAnsi="宋体"/>
          <w:szCs w:val="21"/>
        </w:rPr>
        <w:t>（1）混凝土浇筑施工措施计划：承包人应在混凝土工程开工前，编制混凝土浇筑的施工措施计划，提交监理人批准，其内容包括：</w:t>
      </w:r>
    </w:p>
    <w:p>
      <w:pPr>
        <w:pStyle w:val="14"/>
        <w:snapToGrid w:val="0"/>
        <w:spacing w:line="360" w:lineRule="exact"/>
        <w:ind w:firstLine="420" w:firstLineChars="200"/>
        <w:rPr>
          <w:rFonts w:hAnsi="宋体"/>
          <w:szCs w:val="21"/>
        </w:rPr>
      </w:pPr>
      <w:r>
        <w:rPr>
          <w:rFonts w:hAnsi="宋体"/>
          <w:szCs w:val="21"/>
        </w:rPr>
        <w:t>1）混凝土浇筑所需的砂石料场（仓）、拌和厂、混凝土运输和浇筑设备、温度控制设施，以及混凝土试验等的布置、设备配置计划及其施工安装措施；</w:t>
      </w:r>
    </w:p>
    <w:p>
      <w:pPr>
        <w:pStyle w:val="14"/>
        <w:snapToGrid w:val="0"/>
        <w:spacing w:line="360" w:lineRule="exact"/>
        <w:ind w:firstLine="420" w:firstLineChars="200"/>
        <w:rPr>
          <w:rFonts w:hAnsi="宋体"/>
          <w:szCs w:val="21"/>
        </w:rPr>
      </w:pPr>
      <w:r>
        <w:rPr>
          <w:rFonts w:hAnsi="宋体"/>
          <w:szCs w:val="21"/>
        </w:rPr>
        <w:t>2）各种混凝土配合比设计与室内混凝土试验计划；</w:t>
      </w:r>
    </w:p>
    <w:p>
      <w:pPr>
        <w:pStyle w:val="14"/>
        <w:snapToGrid w:val="0"/>
        <w:spacing w:line="360" w:lineRule="exact"/>
        <w:ind w:firstLine="420" w:firstLineChars="200"/>
        <w:rPr>
          <w:rFonts w:hAnsi="宋体"/>
          <w:szCs w:val="21"/>
        </w:rPr>
      </w:pPr>
      <w:r>
        <w:rPr>
          <w:rFonts w:hAnsi="宋体"/>
          <w:szCs w:val="21"/>
        </w:rPr>
        <w:t>3）混凝土生产、运输、浇筑等的施工工艺和方法；</w:t>
      </w:r>
    </w:p>
    <w:p>
      <w:pPr>
        <w:pStyle w:val="14"/>
        <w:snapToGrid w:val="0"/>
        <w:spacing w:line="360" w:lineRule="exact"/>
        <w:ind w:firstLine="420" w:firstLineChars="200"/>
        <w:rPr>
          <w:rFonts w:hAnsi="宋体"/>
          <w:szCs w:val="21"/>
        </w:rPr>
      </w:pPr>
      <w:r>
        <w:rPr>
          <w:rFonts w:hAnsi="宋体"/>
          <w:szCs w:val="21"/>
        </w:rPr>
        <w:t>4）现场工艺试验的措施计划；</w:t>
      </w:r>
    </w:p>
    <w:p>
      <w:pPr>
        <w:pStyle w:val="14"/>
        <w:snapToGrid w:val="0"/>
        <w:spacing w:line="360" w:lineRule="exact"/>
        <w:ind w:firstLine="420" w:firstLineChars="200"/>
        <w:rPr>
          <w:rFonts w:hAnsi="宋体"/>
          <w:szCs w:val="21"/>
        </w:rPr>
      </w:pPr>
      <w:r>
        <w:rPr>
          <w:rFonts w:hAnsi="宋体"/>
          <w:szCs w:val="21"/>
        </w:rPr>
        <w:t>5）混凝土温度控制的专项技术措施；</w:t>
      </w:r>
    </w:p>
    <w:p>
      <w:pPr>
        <w:pStyle w:val="14"/>
        <w:snapToGrid w:val="0"/>
        <w:spacing w:line="360" w:lineRule="exact"/>
        <w:ind w:firstLine="420" w:firstLineChars="200"/>
        <w:rPr>
          <w:rFonts w:hAnsi="宋体"/>
          <w:szCs w:val="21"/>
        </w:rPr>
      </w:pPr>
      <w:r>
        <w:rPr>
          <w:rFonts w:hAnsi="宋体"/>
          <w:szCs w:val="21"/>
        </w:rPr>
        <w:t>6）施工质量控制措施及其质量检查和检验方法等。</w:t>
      </w:r>
    </w:p>
    <w:p>
      <w:pPr>
        <w:pStyle w:val="14"/>
        <w:snapToGrid w:val="0"/>
        <w:spacing w:line="360" w:lineRule="exact"/>
        <w:ind w:firstLine="420" w:firstLineChars="200"/>
        <w:rPr>
          <w:rFonts w:hAnsi="宋体"/>
          <w:szCs w:val="21"/>
        </w:rPr>
      </w:pPr>
      <w:r>
        <w:rPr>
          <w:rFonts w:hAnsi="宋体"/>
          <w:szCs w:val="21"/>
        </w:rPr>
        <w:t>（2）混凝土质量检查报表</w:t>
      </w:r>
    </w:p>
    <w:p>
      <w:pPr>
        <w:pStyle w:val="14"/>
        <w:snapToGrid w:val="0"/>
        <w:spacing w:line="360" w:lineRule="exact"/>
        <w:ind w:firstLine="420" w:firstLineChars="200"/>
        <w:rPr>
          <w:rFonts w:hAnsi="宋体"/>
          <w:szCs w:val="21"/>
        </w:rPr>
      </w:pPr>
      <w:r>
        <w:rPr>
          <w:rFonts w:hAnsi="宋体"/>
          <w:szCs w:val="21"/>
        </w:rPr>
        <w:t>承包人应按监理人的指示提供混凝土拌和与浇筑质量的施工记录报表，包括混凝土原材料的品质检查报表、强度等级和配合比试验成果、各种混凝土浇筑分块程序、浇筑记录、质量检查、事故处理、混凝土养护和表面保护等作业记录等。</w:t>
      </w:r>
    </w:p>
    <w:p>
      <w:pPr>
        <w:pStyle w:val="7"/>
        <w:snapToGrid w:val="0"/>
        <w:spacing w:line="360" w:lineRule="exact"/>
        <w:rPr>
          <w:rFonts w:ascii="宋体" w:hAnsi="宋体" w:eastAsia="宋体"/>
          <w:sz w:val="21"/>
          <w:szCs w:val="21"/>
        </w:rPr>
      </w:pPr>
      <w:r>
        <w:rPr>
          <w:rFonts w:ascii="宋体" w:hAnsi="宋体" w:eastAsia="宋体"/>
          <w:sz w:val="21"/>
          <w:szCs w:val="21"/>
        </w:rPr>
        <w:t>8.1.4引用标准</w:t>
      </w:r>
    </w:p>
    <w:p>
      <w:pPr>
        <w:pStyle w:val="14"/>
        <w:snapToGrid w:val="0"/>
        <w:spacing w:line="360" w:lineRule="exact"/>
        <w:ind w:firstLine="420" w:firstLineChars="200"/>
        <w:rPr>
          <w:rFonts w:hAnsi="宋体"/>
          <w:szCs w:val="21"/>
        </w:rPr>
      </w:pPr>
      <w:r>
        <w:rPr>
          <w:rFonts w:hAnsi="宋体"/>
          <w:szCs w:val="21"/>
        </w:rPr>
        <w:t>（1）《低热微膨胀水泥》（GB2935—</w:t>
      </w:r>
      <w:r>
        <w:rPr>
          <w:rFonts w:hint="eastAsia" w:hAnsi="宋体"/>
          <w:szCs w:val="21"/>
        </w:rPr>
        <w:t>2008</w:t>
      </w:r>
      <w:r>
        <w:rPr>
          <w:rFonts w:hAnsi="宋体"/>
          <w:szCs w:val="21"/>
        </w:rPr>
        <w:t>）；</w:t>
      </w:r>
    </w:p>
    <w:p>
      <w:pPr>
        <w:pStyle w:val="14"/>
        <w:snapToGrid w:val="0"/>
        <w:spacing w:line="360" w:lineRule="exact"/>
        <w:ind w:firstLine="420" w:firstLineChars="200"/>
        <w:rPr>
          <w:rFonts w:hAnsi="宋体"/>
          <w:szCs w:val="21"/>
        </w:rPr>
      </w:pPr>
      <w:r>
        <w:rPr>
          <w:rFonts w:hAnsi="宋体"/>
          <w:szCs w:val="21"/>
        </w:rPr>
        <w:t>（2）《通用硅酸盐水泥》（GB175—2007）；</w:t>
      </w:r>
    </w:p>
    <w:p>
      <w:pPr>
        <w:pStyle w:val="14"/>
        <w:snapToGrid w:val="0"/>
        <w:spacing w:line="360" w:lineRule="exact"/>
        <w:ind w:firstLine="420" w:firstLineChars="200"/>
        <w:rPr>
          <w:rFonts w:hAnsi="宋体"/>
          <w:szCs w:val="21"/>
        </w:rPr>
      </w:pPr>
      <w:r>
        <w:rPr>
          <w:rFonts w:hAnsi="宋体"/>
          <w:szCs w:val="21"/>
        </w:rPr>
        <w:t>（3）《混凝土结构工程施工质量验收规范》（GB50204—</w:t>
      </w:r>
      <w:r>
        <w:rPr>
          <w:rFonts w:hint="eastAsia" w:hAnsi="宋体"/>
          <w:szCs w:val="21"/>
        </w:rPr>
        <w:t>2015</w:t>
      </w:r>
      <w:r>
        <w:rPr>
          <w:rFonts w:hAnsi="宋体"/>
          <w:szCs w:val="21"/>
        </w:rPr>
        <w:t>）</w:t>
      </w:r>
    </w:p>
    <w:p>
      <w:pPr>
        <w:pStyle w:val="14"/>
        <w:snapToGrid w:val="0"/>
        <w:spacing w:line="360" w:lineRule="exact"/>
        <w:ind w:firstLine="420" w:firstLineChars="200"/>
        <w:rPr>
          <w:rFonts w:hAnsi="宋体"/>
          <w:szCs w:val="21"/>
        </w:rPr>
      </w:pPr>
      <w:r>
        <w:rPr>
          <w:rFonts w:hAnsi="宋体"/>
          <w:szCs w:val="21"/>
        </w:rPr>
        <w:t>（4）《粉煤灰混凝土应用技术规程》（GBJ146—1990）；</w:t>
      </w:r>
    </w:p>
    <w:p>
      <w:pPr>
        <w:pStyle w:val="14"/>
        <w:snapToGrid w:val="0"/>
        <w:spacing w:line="360" w:lineRule="exact"/>
        <w:ind w:firstLine="420" w:firstLineChars="200"/>
        <w:rPr>
          <w:rFonts w:hAnsi="宋体"/>
          <w:szCs w:val="21"/>
        </w:rPr>
      </w:pPr>
      <w:r>
        <w:rPr>
          <w:rFonts w:hAnsi="宋体"/>
          <w:szCs w:val="21"/>
        </w:rPr>
        <w:t>（5）《预应力混凝土用钢丝》（GB/T5223—</w:t>
      </w:r>
      <w:r>
        <w:rPr>
          <w:rFonts w:hint="eastAsia" w:hAnsi="宋体"/>
          <w:szCs w:val="21"/>
        </w:rPr>
        <w:t>2014</w:t>
      </w:r>
      <w:r>
        <w:rPr>
          <w:rFonts w:hAnsi="宋体"/>
          <w:szCs w:val="21"/>
        </w:rPr>
        <w:t>）；</w:t>
      </w:r>
    </w:p>
    <w:p>
      <w:pPr>
        <w:pStyle w:val="14"/>
        <w:snapToGrid w:val="0"/>
        <w:spacing w:line="360" w:lineRule="exact"/>
        <w:ind w:firstLine="420" w:firstLineChars="200"/>
        <w:rPr>
          <w:rFonts w:hAnsi="宋体"/>
          <w:szCs w:val="21"/>
        </w:rPr>
      </w:pPr>
      <w:r>
        <w:rPr>
          <w:rFonts w:hAnsi="宋体"/>
          <w:szCs w:val="21"/>
        </w:rPr>
        <w:t>（6）《预应力混凝士用钢纹线》（GB/T5224—20</w:t>
      </w:r>
      <w:r>
        <w:rPr>
          <w:rFonts w:hint="eastAsia" w:hAnsi="宋体"/>
          <w:szCs w:val="21"/>
        </w:rPr>
        <w:t>14</w:t>
      </w:r>
      <w:r>
        <w:rPr>
          <w:rFonts w:hAnsi="宋体"/>
          <w:szCs w:val="21"/>
        </w:rPr>
        <w:t>）；</w:t>
      </w:r>
    </w:p>
    <w:p>
      <w:pPr>
        <w:pStyle w:val="14"/>
        <w:snapToGrid w:val="0"/>
        <w:spacing w:line="360" w:lineRule="exact"/>
        <w:ind w:firstLine="420" w:firstLineChars="200"/>
        <w:rPr>
          <w:rFonts w:hAnsi="宋体"/>
          <w:szCs w:val="21"/>
        </w:rPr>
      </w:pPr>
      <w:r>
        <w:rPr>
          <w:rFonts w:hAnsi="宋体"/>
          <w:szCs w:val="21"/>
        </w:rPr>
        <w:t>（7）《预应力筋用锚具、夹具和连接器》（GB/T14370—20</w:t>
      </w:r>
      <w:r>
        <w:rPr>
          <w:rFonts w:hint="eastAsia" w:hAnsi="宋体"/>
          <w:szCs w:val="21"/>
        </w:rPr>
        <w:t>15</w:t>
      </w:r>
      <w:r>
        <w:rPr>
          <w:rFonts w:hAnsi="宋体"/>
          <w:szCs w:val="21"/>
        </w:rPr>
        <w:t>）；</w:t>
      </w:r>
    </w:p>
    <w:p>
      <w:pPr>
        <w:pStyle w:val="14"/>
        <w:snapToGrid w:val="0"/>
        <w:spacing w:line="360" w:lineRule="exact"/>
        <w:ind w:firstLine="420" w:firstLineChars="200"/>
        <w:rPr>
          <w:rFonts w:hAnsi="宋体"/>
          <w:szCs w:val="21"/>
        </w:rPr>
      </w:pPr>
      <w:r>
        <w:rPr>
          <w:rFonts w:hAnsi="宋体"/>
          <w:szCs w:val="21"/>
        </w:rPr>
        <w:t>（8）《水工混凝土试验规程》（SL352—2006）；</w:t>
      </w:r>
    </w:p>
    <w:p>
      <w:pPr>
        <w:pStyle w:val="14"/>
        <w:snapToGrid w:val="0"/>
        <w:spacing w:line="360" w:lineRule="exact"/>
        <w:ind w:firstLine="420" w:firstLineChars="200"/>
        <w:rPr>
          <w:rFonts w:hAnsi="宋体"/>
          <w:szCs w:val="21"/>
        </w:rPr>
      </w:pPr>
      <w:r>
        <w:rPr>
          <w:rFonts w:hAnsi="宋体"/>
          <w:szCs w:val="21"/>
        </w:rPr>
        <w:t>（9）《水工碾压混凝土施工规范》（SL53—1994）；</w:t>
      </w:r>
    </w:p>
    <w:p>
      <w:pPr>
        <w:pStyle w:val="14"/>
        <w:snapToGrid w:val="0"/>
        <w:spacing w:line="360" w:lineRule="exact"/>
        <w:ind w:firstLine="420" w:firstLineChars="200"/>
        <w:rPr>
          <w:rFonts w:hAnsi="宋体"/>
          <w:szCs w:val="21"/>
        </w:rPr>
      </w:pPr>
      <w:r>
        <w:rPr>
          <w:rFonts w:hAnsi="宋体"/>
          <w:szCs w:val="21"/>
        </w:rPr>
        <w:t>（10）《混凝土面板堆石坝施工规范》（SL49—</w:t>
      </w:r>
      <w:r>
        <w:rPr>
          <w:rFonts w:hint="eastAsia" w:hAnsi="宋体"/>
          <w:szCs w:val="21"/>
        </w:rPr>
        <w:t>2015</w:t>
      </w:r>
      <w:r>
        <w:rPr>
          <w:rFonts w:hAnsi="宋体"/>
          <w:szCs w:val="21"/>
        </w:rPr>
        <w:t>）；</w:t>
      </w:r>
    </w:p>
    <w:p>
      <w:pPr>
        <w:pStyle w:val="14"/>
        <w:snapToGrid w:val="0"/>
        <w:spacing w:line="360" w:lineRule="exact"/>
        <w:ind w:firstLine="420" w:firstLineChars="200"/>
        <w:rPr>
          <w:rFonts w:hAnsi="宋体"/>
          <w:szCs w:val="21"/>
        </w:rPr>
      </w:pPr>
      <w:r>
        <w:rPr>
          <w:rFonts w:hAnsi="宋体"/>
          <w:szCs w:val="21"/>
        </w:rPr>
        <w:t>（11）《水工建筑物滑动模板施工技术规范》（SL32—</w:t>
      </w:r>
      <w:r>
        <w:rPr>
          <w:rFonts w:hint="eastAsia" w:hAnsi="宋体"/>
          <w:szCs w:val="21"/>
        </w:rPr>
        <w:t>2014</w:t>
      </w:r>
      <w:r>
        <w:rPr>
          <w:rFonts w:hAnsi="宋体"/>
          <w:szCs w:val="21"/>
        </w:rPr>
        <w:t>）；</w:t>
      </w:r>
    </w:p>
    <w:p>
      <w:pPr>
        <w:pStyle w:val="14"/>
        <w:snapToGrid w:val="0"/>
        <w:spacing w:line="360" w:lineRule="exact"/>
        <w:ind w:firstLine="420" w:firstLineChars="200"/>
        <w:rPr>
          <w:rFonts w:hAnsi="宋体"/>
          <w:szCs w:val="21"/>
        </w:rPr>
      </w:pPr>
      <w:r>
        <w:rPr>
          <w:rFonts w:hAnsi="宋体"/>
          <w:szCs w:val="21"/>
        </w:rPr>
        <w:t>（12） 《水工建筑物抗冲磨防空蚀混凝土技术规范》（DL/T5207—2005）；</w:t>
      </w:r>
    </w:p>
    <w:p>
      <w:pPr>
        <w:pStyle w:val="14"/>
        <w:snapToGrid w:val="0"/>
        <w:spacing w:line="360" w:lineRule="exact"/>
        <w:ind w:firstLine="420" w:firstLineChars="200"/>
        <w:rPr>
          <w:rFonts w:hAnsi="宋体"/>
          <w:szCs w:val="21"/>
        </w:rPr>
      </w:pPr>
      <w:r>
        <w:rPr>
          <w:rFonts w:hAnsi="宋体"/>
          <w:szCs w:val="21"/>
        </w:rPr>
        <w:t>（13）《水工混凝土钢筋施工规范》（DL/T5169—</w:t>
      </w:r>
      <w:r>
        <w:rPr>
          <w:rFonts w:hint="eastAsia" w:hAnsi="宋体"/>
          <w:szCs w:val="21"/>
        </w:rPr>
        <w:t>2013</w:t>
      </w:r>
      <w:r>
        <w:rPr>
          <w:rFonts w:hAnsi="宋体"/>
          <w:szCs w:val="21"/>
        </w:rPr>
        <w:t>）；</w:t>
      </w:r>
    </w:p>
    <w:p>
      <w:pPr>
        <w:pStyle w:val="14"/>
        <w:snapToGrid w:val="0"/>
        <w:spacing w:line="360" w:lineRule="exact"/>
        <w:ind w:firstLine="420" w:firstLineChars="200"/>
        <w:rPr>
          <w:rFonts w:hAnsi="宋体"/>
          <w:szCs w:val="21"/>
        </w:rPr>
      </w:pPr>
      <w:r>
        <w:rPr>
          <w:rFonts w:hAnsi="宋体"/>
          <w:szCs w:val="21"/>
        </w:rPr>
        <w:t>（14）《水工混凝土施工规范》（DL/T5144—20</w:t>
      </w:r>
      <w:r>
        <w:rPr>
          <w:rFonts w:hint="eastAsia" w:hAnsi="宋体"/>
          <w:szCs w:val="21"/>
        </w:rPr>
        <w:t>15</w:t>
      </w:r>
      <w:r>
        <w:rPr>
          <w:rFonts w:hAnsi="宋体"/>
          <w:szCs w:val="21"/>
        </w:rPr>
        <w:t>）；</w:t>
      </w:r>
    </w:p>
    <w:p>
      <w:pPr>
        <w:pStyle w:val="14"/>
        <w:snapToGrid w:val="0"/>
        <w:spacing w:line="360" w:lineRule="exact"/>
        <w:ind w:firstLine="420" w:firstLineChars="200"/>
        <w:rPr>
          <w:rFonts w:hAnsi="宋体"/>
          <w:szCs w:val="21"/>
        </w:rPr>
      </w:pPr>
      <w:r>
        <w:rPr>
          <w:rFonts w:hAnsi="宋体"/>
          <w:szCs w:val="21"/>
        </w:rPr>
        <w:t>（15）《水电水利工程模板施工规范》（DL/T5110—20</w:t>
      </w:r>
      <w:r>
        <w:rPr>
          <w:rFonts w:hint="eastAsia" w:hAnsi="宋体"/>
          <w:szCs w:val="21"/>
        </w:rPr>
        <w:t>13</w:t>
      </w:r>
      <w:r>
        <w:rPr>
          <w:rFonts w:hAnsi="宋体"/>
          <w:szCs w:val="21"/>
        </w:rPr>
        <w:t>）；</w:t>
      </w:r>
    </w:p>
    <w:p>
      <w:pPr>
        <w:pStyle w:val="14"/>
        <w:snapToGrid w:val="0"/>
        <w:spacing w:line="360" w:lineRule="exact"/>
        <w:ind w:firstLine="420" w:firstLineChars="200"/>
        <w:rPr>
          <w:rFonts w:hAnsi="宋体"/>
          <w:szCs w:val="21"/>
        </w:rPr>
      </w:pPr>
      <w:r>
        <w:rPr>
          <w:rFonts w:hAnsi="宋体"/>
          <w:szCs w:val="21"/>
        </w:rPr>
        <w:t>（16）《混凝土用水标准》（JGJ63—2006）；</w:t>
      </w:r>
    </w:p>
    <w:p>
      <w:pPr>
        <w:pStyle w:val="14"/>
        <w:snapToGrid w:val="0"/>
        <w:spacing w:line="360" w:lineRule="exact"/>
        <w:ind w:firstLine="420" w:firstLineChars="200"/>
        <w:rPr>
          <w:rFonts w:hAnsi="宋体"/>
          <w:szCs w:val="21"/>
        </w:rPr>
      </w:pPr>
      <w:r>
        <w:rPr>
          <w:rFonts w:hAnsi="宋体"/>
          <w:szCs w:val="21"/>
        </w:rPr>
        <w:t>（17）《轻骨料混凝土技术规程》（JGJ51—2002）；</w:t>
      </w:r>
    </w:p>
    <w:p>
      <w:pPr>
        <w:pStyle w:val="14"/>
        <w:snapToGrid w:val="0"/>
        <w:spacing w:line="360" w:lineRule="exact"/>
        <w:ind w:firstLine="420" w:firstLineChars="200"/>
        <w:rPr>
          <w:rFonts w:hAnsi="宋体"/>
          <w:szCs w:val="21"/>
        </w:rPr>
      </w:pPr>
      <w:r>
        <w:rPr>
          <w:rFonts w:hAnsi="宋体"/>
          <w:szCs w:val="21"/>
        </w:rPr>
        <w:t>（18）《混凝土泵送施工技术规程》（JGJ/T10—</w:t>
      </w:r>
      <w:r>
        <w:rPr>
          <w:rFonts w:hint="eastAsia" w:hAnsi="宋体"/>
          <w:szCs w:val="21"/>
        </w:rPr>
        <w:t>2011</w:t>
      </w:r>
      <w:r>
        <w:rPr>
          <w:rFonts w:hAnsi="宋体"/>
          <w:szCs w:val="21"/>
        </w:rPr>
        <w:t>）。</w:t>
      </w:r>
    </w:p>
    <w:p>
      <w:pPr>
        <w:pStyle w:val="6"/>
        <w:tabs>
          <w:tab w:val="left" w:pos="7010"/>
        </w:tabs>
        <w:snapToGrid w:val="0"/>
        <w:spacing w:line="360" w:lineRule="exact"/>
        <w:rPr>
          <w:rFonts w:ascii="宋体" w:hAnsi="宋体" w:eastAsia="宋体"/>
          <w:snapToGrid w:val="0"/>
          <w:sz w:val="21"/>
          <w:szCs w:val="21"/>
        </w:rPr>
      </w:pPr>
      <w:bookmarkStart w:id="715" w:name="_Toc8752"/>
      <w:bookmarkStart w:id="716" w:name="_Toc339482543"/>
      <w:bookmarkStart w:id="717" w:name="_Toc339983449"/>
      <w:bookmarkStart w:id="718" w:name="_Toc341965051"/>
      <w:bookmarkStart w:id="719" w:name="_Toc336325379"/>
      <w:bookmarkStart w:id="720" w:name="_Toc339224677"/>
      <w:r>
        <w:rPr>
          <w:rFonts w:ascii="宋体" w:hAnsi="宋体" w:eastAsia="宋体"/>
          <w:snapToGrid w:val="0"/>
          <w:sz w:val="21"/>
          <w:szCs w:val="21"/>
        </w:rPr>
        <w:t>8.2 混凝土生产</w:t>
      </w:r>
      <w:bookmarkEnd w:id="715"/>
      <w:bookmarkEnd w:id="716"/>
      <w:bookmarkEnd w:id="717"/>
      <w:bookmarkEnd w:id="718"/>
      <w:bookmarkEnd w:id="719"/>
      <w:bookmarkEnd w:id="720"/>
      <w:r>
        <w:rPr>
          <w:rFonts w:ascii="宋体" w:hAnsi="宋体" w:eastAsia="宋体"/>
          <w:snapToGrid w:val="0"/>
          <w:sz w:val="21"/>
          <w:szCs w:val="21"/>
        </w:rPr>
        <w:tab/>
      </w:r>
    </w:p>
    <w:p>
      <w:pPr>
        <w:pStyle w:val="7"/>
        <w:snapToGrid w:val="0"/>
        <w:spacing w:line="360" w:lineRule="exact"/>
        <w:rPr>
          <w:rFonts w:ascii="宋体" w:hAnsi="宋体" w:eastAsia="宋体"/>
          <w:sz w:val="21"/>
          <w:szCs w:val="21"/>
        </w:rPr>
      </w:pPr>
      <w:r>
        <w:rPr>
          <w:rFonts w:ascii="宋体" w:hAnsi="宋体" w:eastAsia="宋体"/>
          <w:sz w:val="21"/>
          <w:szCs w:val="21"/>
        </w:rPr>
        <w:t>8.2.1 混凝土材料</w:t>
      </w:r>
    </w:p>
    <w:p>
      <w:pPr>
        <w:pStyle w:val="14"/>
        <w:snapToGrid w:val="0"/>
        <w:spacing w:line="360" w:lineRule="exact"/>
        <w:ind w:firstLine="420" w:firstLineChars="200"/>
        <w:rPr>
          <w:rFonts w:hAnsi="宋体"/>
          <w:szCs w:val="21"/>
        </w:rPr>
      </w:pPr>
      <w:r>
        <w:rPr>
          <w:rFonts w:hAnsi="宋体"/>
          <w:szCs w:val="21"/>
        </w:rPr>
        <w:t>（1）水泥。混凝土的水泥应遵守GB175—2007的有关规定，泵送混凝土应遵守JGJ/T10—1995的有关规定。</w:t>
      </w:r>
    </w:p>
    <w:p>
      <w:pPr>
        <w:pStyle w:val="14"/>
        <w:snapToGrid w:val="0"/>
        <w:spacing w:line="360" w:lineRule="exact"/>
        <w:ind w:firstLine="420" w:firstLineChars="200"/>
        <w:rPr>
          <w:rFonts w:hAnsi="宋体"/>
          <w:szCs w:val="21"/>
        </w:rPr>
      </w:pPr>
      <w:r>
        <w:rPr>
          <w:rFonts w:hAnsi="宋体"/>
          <w:szCs w:val="21"/>
        </w:rPr>
        <w:t>（2）骨料。混凝土的骨料应遵守DL/T5144—2001第5.2节规定，泵送混凝土应遵守JGJ/T10—1995的有关规定。</w:t>
      </w:r>
    </w:p>
    <w:p>
      <w:pPr>
        <w:pStyle w:val="14"/>
        <w:snapToGrid w:val="0"/>
        <w:spacing w:line="360" w:lineRule="exact"/>
        <w:ind w:firstLine="420" w:firstLineChars="200"/>
        <w:rPr>
          <w:rFonts w:hAnsi="宋体"/>
          <w:szCs w:val="21"/>
        </w:rPr>
      </w:pPr>
      <w:r>
        <w:rPr>
          <w:rFonts w:hAnsi="宋体"/>
          <w:szCs w:val="21"/>
        </w:rPr>
        <w:t>（3）水。混凝土浇筑用水应遵守JGJ63—2006的规定。</w:t>
      </w:r>
    </w:p>
    <w:p>
      <w:pPr>
        <w:pStyle w:val="14"/>
        <w:snapToGrid w:val="0"/>
        <w:spacing w:line="360" w:lineRule="exact"/>
        <w:ind w:firstLine="420" w:firstLineChars="200"/>
        <w:rPr>
          <w:rFonts w:hAnsi="宋体"/>
          <w:szCs w:val="21"/>
        </w:rPr>
      </w:pPr>
      <w:r>
        <w:rPr>
          <w:rFonts w:hAnsi="宋体"/>
          <w:szCs w:val="21"/>
        </w:rPr>
        <w:t>（4）掺合料。混凝土掺合料应遵守DL/T5144—2001第5.3节规定，泵送混凝土应遵守JGJ/T10—1995的有关规定。</w:t>
      </w:r>
    </w:p>
    <w:p>
      <w:pPr>
        <w:pStyle w:val="14"/>
        <w:snapToGrid w:val="0"/>
        <w:spacing w:line="360" w:lineRule="exact"/>
        <w:ind w:firstLine="420" w:firstLineChars="200"/>
        <w:rPr>
          <w:rFonts w:hAnsi="宋体"/>
          <w:szCs w:val="21"/>
        </w:rPr>
      </w:pPr>
      <w:r>
        <w:rPr>
          <w:rFonts w:hAnsi="宋体"/>
          <w:szCs w:val="21"/>
        </w:rPr>
        <w:t>（5）外加剂。混凝土外加剂应遵守DL/T5144—2001第5.4节的有关规定，泵送混凝土应遵守JGJ/T10—1995的有关规定。</w:t>
      </w:r>
    </w:p>
    <w:p>
      <w:pPr>
        <w:pStyle w:val="14"/>
        <w:snapToGrid w:val="0"/>
        <w:spacing w:line="360" w:lineRule="exact"/>
        <w:ind w:firstLine="420" w:firstLineChars="200"/>
        <w:rPr>
          <w:rFonts w:hAnsi="宋体"/>
          <w:szCs w:val="21"/>
        </w:rPr>
      </w:pPr>
      <w:r>
        <w:rPr>
          <w:rFonts w:hAnsi="宋体"/>
          <w:szCs w:val="21"/>
        </w:rPr>
        <w:t>（6）硅粉。配制水工硅粉混凝土的硅粉质量标准应满足施工图纸的要求。</w:t>
      </w:r>
    </w:p>
    <w:p>
      <w:pPr>
        <w:pStyle w:val="7"/>
        <w:snapToGrid w:val="0"/>
        <w:spacing w:line="360" w:lineRule="exact"/>
        <w:rPr>
          <w:rFonts w:ascii="宋体" w:hAnsi="宋体" w:eastAsia="宋体"/>
          <w:sz w:val="21"/>
          <w:szCs w:val="21"/>
        </w:rPr>
      </w:pPr>
      <w:r>
        <w:rPr>
          <w:rFonts w:ascii="宋体" w:hAnsi="宋体" w:eastAsia="宋体"/>
          <w:sz w:val="21"/>
          <w:szCs w:val="21"/>
        </w:rPr>
        <w:t>8.2.2 混凝土配合比选定</w:t>
      </w:r>
    </w:p>
    <w:p>
      <w:pPr>
        <w:pStyle w:val="14"/>
        <w:snapToGrid w:val="0"/>
        <w:spacing w:line="360" w:lineRule="exact"/>
        <w:ind w:firstLine="420" w:firstLineChars="200"/>
        <w:rPr>
          <w:rFonts w:hAnsi="宋体"/>
          <w:szCs w:val="21"/>
        </w:rPr>
      </w:pPr>
      <w:r>
        <w:rPr>
          <w:rFonts w:hAnsi="宋体"/>
          <w:szCs w:val="21"/>
        </w:rPr>
        <w:t>混凝土配合比选定应遵守DL/T5144—2001第6章的有关规定。</w:t>
      </w:r>
    </w:p>
    <w:p>
      <w:pPr>
        <w:pStyle w:val="7"/>
        <w:snapToGrid w:val="0"/>
        <w:spacing w:line="360" w:lineRule="exact"/>
        <w:rPr>
          <w:rFonts w:ascii="宋体" w:hAnsi="宋体" w:eastAsia="宋体"/>
          <w:sz w:val="21"/>
          <w:szCs w:val="21"/>
        </w:rPr>
      </w:pPr>
      <w:r>
        <w:rPr>
          <w:rFonts w:ascii="宋体" w:hAnsi="宋体" w:eastAsia="宋体"/>
          <w:sz w:val="21"/>
          <w:szCs w:val="21"/>
        </w:rPr>
        <w:t>8.2.3混凝土拌和</w:t>
      </w:r>
    </w:p>
    <w:p>
      <w:pPr>
        <w:pStyle w:val="14"/>
        <w:snapToGrid w:val="0"/>
        <w:spacing w:line="360" w:lineRule="exact"/>
        <w:ind w:firstLine="420" w:firstLineChars="200"/>
        <w:rPr>
          <w:rFonts w:hAnsi="宋体"/>
          <w:szCs w:val="21"/>
        </w:rPr>
      </w:pPr>
      <w:r>
        <w:rPr>
          <w:rFonts w:hAnsi="宋体"/>
          <w:szCs w:val="21"/>
        </w:rPr>
        <w:t>（1）混凝土拌和设备：</w:t>
      </w:r>
    </w:p>
    <w:p>
      <w:pPr>
        <w:pStyle w:val="14"/>
        <w:snapToGrid w:val="0"/>
        <w:spacing w:line="360" w:lineRule="exact"/>
        <w:ind w:firstLine="420" w:firstLineChars="200"/>
        <w:rPr>
          <w:rFonts w:hAnsi="宋体"/>
          <w:szCs w:val="21"/>
        </w:rPr>
      </w:pPr>
      <w:r>
        <w:rPr>
          <w:rFonts w:hAnsi="宋体"/>
          <w:szCs w:val="21"/>
        </w:rPr>
        <w:t>1）拌和厂应选用高效、可靠的固定式拌和设备，并采用自动或半自动控制的计量</w:t>
      </w:r>
      <w:r>
        <w:rPr>
          <w:rFonts w:hint="eastAsia" w:hAnsi="宋体"/>
          <w:szCs w:val="21"/>
        </w:rPr>
        <w:t>设备</w:t>
      </w:r>
      <w:r>
        <w:rPr>
          <w:rFonts w:hAnsi="宋体"/>
          <w:szCs w:val="21"/>
        </w:rPr>
        <w:t>配料，拌和厂设备生产率必须满足本工程高峰浇筑强度的要求。</w:t>
      </w:r>
    </w:p>
    <w:p>
      <w:pPr>
        <w:pStyle w:val="14"/>
        <w:snapToGrid w:val="0"/>
        <w:spacing w:line="360" w:lineRule="exact"/>
        <w:ind w:firstLine="420" w:firstLineChars="200"/>
        <w:rPr>
          <w:rFonts w:hAnsi="宋体"/>
          <w:szCs w:val="21"/>
        </w:rPr>
      </w:pPr>
      <w:r>
        <w:rPr>
          <w:rFonts w:hAnsi="宋体"/>
          <w:szCs w:val="21"/>
        </w:rPr>
        <w:t>2）拌和厂选用的所有称量、指示、记录及控制设备都应有防尘措施，设备称量应满足规定的精度要求，承包人应及时校正称量设备的精度。</w:t>
      </w:r>
    </w:p>
    <w:p>
      <w:pPr>
        <w:pStyle w:val="14"/>
        <w:snapToGrid w:val="0"/>
        <w:spacing w:line="360" w:lineRule="exact"/>
        <w:ind w:firstLine="420" w:firstLineChars="200"/>
        <w:rPr>
          <w:rFonts w:hAnsi="宋体"/>
          <w:szCs w:val="21"/>
        </w:rPr>
      </w:pPr>
      <w:r>
        <w:rPr>
          <w:rFonts w:hAnsi="宋体"/>
          <w:szCs w:val="21"/>
        </w:rPr>
        <w:t>3）施工过程中，承包人若要改变混凝土生产程序或设备，必须将改变后的设备生产前力、技术说明书以及混凝土生产流程等提交监理人批准。</w:t>
      </w:r>
    </w:p>
    <w:p>
      <w:pPr>
        <w:pStyle w:val="14"/>
        <w:snapToGrid w:val="0"/>
        <w:spacing w:line="360" w:lineRule="exact"/>
        <w:ind w:firstLine="420" w:firstLineChars="200"/>
        <w:rPr>
          <w:rFonts w:hAnsi="宋体"/>
          <w:szCs w:val="21"/>
        </w:rPr>
      </w:pPr>
      <w:r>
        <w:rPr>
          <w:rFonts w:hAnsi="宋体"/>
          <w:szCs w:val="21"/>
        </w:rPr>
        <w:t>4）承包人应设置排水沉淀池，分离或同时采取其它有效措施，防止污染环境。并应防止污水或含有悬浮质的水流污染施工现场和排入河流。</w:t>
      </w:r>
    </w:p>
    <w:p>
      <w:pPr>
        <w:pStyle w:val="14"/>
        <w:snapToGrid w:val="0"/>
        <w:spacing w:line="360" w:lineRule="exact"/>
        <w:ind w:firstLine="420" w:firstLineChars="200"/>
        <w:rPr>
          <w:rFonts w:hAnsi="宋体"/>
          <w:szCs w:val="21"/>
        </w:rPr>
      </w:pPr>
      <w:r>
        <w:rPr>
          <w:rFonts w:hAnsi="宋体"/>
          <w:szCs w:val="21"/>
        </w:rPr>
        <w:t>（2）混凝土拌和。混凝土拌和应遵守DL/T5144—2001第7.1节的有关规定。</w:t>
      </w:r>
    </w:p>
    <w:p>
      <w:pPr>
        <w:pStyle w:val="7"/>
        <w:snapToGrid w:val="0"/>
        <w:spacing w:line="360" w:lineRule="exact"/>
        <w:rPr>
          <w:rFonts w:ascii="宋体" w:hAnsi="宋体" w:eastAsia="宋体"/>
          <w:sz w:val="21"/>
          <w:szCs w:val="21"/>
        </w:rPr>
      </w:pPr>
      <w:r>
        <w:rPr>
          <w:rFonts w:ascii="宋体" w:hAnsi="宋体" w:eastAsia="宋体"/>
          <w:sz w:val="21"/>
          <w:szCs w:val="21"/>
        </w:rPr>
        <w:t>8.2.4混凝土的取样和检验</w:t>
      </w:r>
    </w:p>
    <w:p>
      <w:pPr>
        <w:pStyle w:val="14"/>
        <w:snapToGrid w:val="0"/>
        <w:spacing w:line="360" w:lineRule="exact"/>
        <w:ind w:firstLine="420" w:firstLineChars="200"/>
        <w:rPr>
          <w:rFonts w:hAnsi="宋体"/>
          <w:szCs w:val="21"/>
        </w:rPr>
      </w:pPr>
      <w:r>
        <w:rPr>
          <w:rFonts w:hAnsi="宋体"/>
          <w:szCs w:val="21"/>
        </w:rPr>
        <w:t>（1）混凝土原材料的取样和检验。混凝土原材料的取样和检验应遵守DL/T 5144 —2001第11.</w:t>
      </w:r>
      <w:r>
        <w:rPr>
          <w:rFonts w:hint="eastAsia" w:hAnsi="宋体"/>
          <w:szCs w:val="21"/>
        </w:rPr>
        <w:t>2</w:t>
      </w:r>
      <w:r>
        <w:rPr>
          <w:rFonts w:hAnsi="宋体"/>
          <w:szCs w:val="21"/>
        </w:rPr>
        <w:t>节的有关规定。</w:t>
      </w:r>
    </w:p>
    <w:p>
      <w:pPr>
        <w:pStyle w:val="14"/>
        <w:snapToGrid w:val="0"/>
        <w:spacing w:line="360" w:lineRule="exact"/>
        <w:ind w:firstLine="420" w:firstLineChars="200"/>
        <w:rPr>
          <w:rFonts w:hAnsi="宋体"/>
          <w:szCs w:val="21"/>
        </w:rPr>
      </w:pPr>
      <w:r>
        <w:rPr>
          <w:rFonts w:hAnsi="宋体"/>
          <w:szCs w:val="21"/>
        </w:rPr>
        <w:t>（2）混凝土拌和与混凝土拌和物的质量检测：</w:t>
      </w:r>
    </w:p>
    <w:p>
      <w:pPr>
        <w:pStyle w:val="14"/>
        <w:snapToGrid w:val="0"/>
        <w:spacing w:line="360" w:lineRule="exact"/>
        <w:ind w:firstLine="420" w:firstLineChars="200"/>
        <w:rPr>
          <w:rFonts w:hAnsi="宋体"/>
          <w:szCs w:val="21"/>
        </w:rPr>
      </w:pPr>
      <w:r>
        <w:rPr>
          <w:rFonts w:hAnsi="宋体"/>
          <w:szCs w:val="21"/>
        </w:rPr>
        <w:t>1）混凝土拌和与混凝土拌和物的质量检测应遵守DL/T5144—2001第11.3节的规定。</w:t>
      </w:r>
    </w:p>
    <w:p>
      <w:pPr>
        <w:pStyle w:val="22"/>
        <w:snapToGrid w:val="0"/>
        <w:spacing w:beforeAutospacing="0" w:afterAutospacing="0" w:line="360" w:lineRule="exact"/>
        <w:ind w:firstLine="420" w:firstLineChars="200"/>
        <w:jc w:val="both"/>
        <w:rPr>
          <w:rFonts w:ascii="宋体" w:hAnsi="宋体"/>
          <w:kern w:val="2"/>
          <w:sz w:val="21"/>
          <w:szCs w:val="21"/>
        </w:rPr>
      </w:pPr>
      <w:r>
        <w:rPr>
          <w:rFonts w:ascii="宋体" w:hAnsi="宋体"/>
          <w:kern w:val="2"/>
          <w:sz w:val="21"/>
          <w:szCs w:val="21"/>
        </w:rPr>
        <w:t>2）混凝土施工配合比必须满足本合同技术条款和施工图纸的要求，施工配料必须严格按监理人批准的混凝土配料单进行配料，严禁擅自更改。</w:t>
      </w:r>
    </w:p>
    <w:p>
      <w:pPr>
        <w:pStyle w:val="22"/>
        <w:snapToGrid w:val="0"/>
        <w:spacing w:beforeAutospacing="0" w:afterAutospacing="0" w:line="360" w:lineRule="exact"/>
        <w:ind w:firstLine="420" w:firstLineChars="200"/>
        <w:jc w:val="both"/>
        <w:rPr>
          <w:rFonts w:ascii="宋体" w:hAnsi="宋体"/>
          <w:kern w:val="2"/>
          <w:sz w:val="21"/>
          <w:szCs w:val="21"/>
        </w:rPr>
      </w:pPr>
      <w:r>
        <w:rPr>
          <w:rFonts w:ascii="宋体" w:hAnsi="宋体"/>
          <w:kern w:val="2"/>
          <w:sz w:val="21"/>
          <w:szCs w:val="21"/>
        </w:rPr>
        <w:t>3）混凝土坍落度及混凝土拌和物的水胶比按SL352—2006的规定取样检测。</w:t>
      </w:r>
    </w:p>
    <w:p>
      <w:pPr>
        <w:pStyle w:val="22"/>
        <w:snapToGrid w:val="0"/>
        <w:spacing w:beforeAutospacing="0" w:afterAutospacing="0" w:line="360" w:lineRule="exact"/>
        <w:ind w:firstLine="420" w:firstLineChars="200"/>
        <w:jc w:val="both"/>
        <w:rPr>
          <w:rFonts w:ascii="宋体" w:hAnsi="宋体"/>
          <w:kern w:val="2"/>
          <w:sz w:val="21"/>
          <w:szCs w:val="21"/>
        </w:rPr>
      </w:pPr>
      <w:r>
        <w:rPr>
          <w:rFonts w:ascii="宋体" w:hAnsi="宋体"/>
          <w:kern w:val="2"/>
          <w:sz w:val="21"/>
          <w:szCs w:val="21"/>
        </w:rPr>
        <w:t>4）混凝土拌和温度、气温和原材料温度的检测方法应遵守SL 352—2006 的规定。</w:t>
      </w:r>
    </w:p>
    <w:p>
      <w:pPr>
        <w:pStyle w:val="22"/>
        <w:snapToGrid w:val="0"/>
        <w:spacing w:beforeAutospacing="0" w:afterAutospacing="0" w:line="360" w:lineRule="exact"/>
        <w:ind w:firstLine="420" w:firstLineChars="200"/>
        <w:jc w:val="both"/>
        <w:rPr>
          <w:rFonts w:ascii="宋体" w:hAnsi="宋体"/>
          <w:kern w:val="2"/>
          <w:sz w:val="21"/>
          <w:szCs w:val="21"/>
        </w:rPr>
      </w:pPr>
      <w:r>
        <w:rPr>
          <w:rFonts w:ascii="宋体" w:hAnsi="宋体"/>
          <w:kern w:val="2"/>
          <w:sz w:val="21"/>
          <w:szCs w:val="21"/>
        </w:rPr>
        <w:t>5）各级混凝土试件的各项试验和检测均应遵守SL 352—2006的规定。</w:t>
      </w:r>
    </w:p>
    <w:p>
      <w:pPr>
        <w:pStyle w:val="6"/>
        <w:snapToGrid w:val="0"/>
        <w:spacing w:line="360" w:lineRule="exact"/>
        <w:rPr>
          <w:rFonts w:ascii="宋体" w:hAnsi="宋体" w:eastAsia="宋体"/>
          <w:snapToGrid w:val="0"/>
          <w:sz w:val="21"/>
          <w:szCs w:val="21"/>
        </w:rPr>
      </w:pPr>
      <w:bookmarkStart w:id="721" w:name="_Toc3780"/>
      <w:bookmarkStart w:id="722" w:name="_Toc339482544"/>
      <w:bookmarkStart w:id="723" w:name="_Toc336325380"/>
      <w:bookmarkStart w:id="724" w:name="_Toc341965052"/>
      <w:bookmarkStart w:id="725" w:name="_Toc339224678"/>
      <w:bookmarkStart w:id="726" w:name="_Toc339983450"/>
      <w:r>
        <w:rPr>
          <w:rFonts w:ascii="宋体" w:hAnsi="宋体" w:eastAsia="宋体"/>
          <w:snapToGrid w:val="0"/>
          <w:sz w:val="21"/>
          <w:szCs w:val="21"/>
        </w:rPr>
        <w:t>8.3 模板</w:t>
      </w:r>
      <w:bookmarkEnd w:id="721"/>
      <w:bookmarkEnd w:id="722"/>
      <w:bookmarkEnd w:id="723"/>
      <w:bookmarkEnd w:id="724"/>
      <w:bookmarkEnd w:id="725"/>
      <w:bookmarkEnd w:id="726"/>
    </w:p>
    <w:p>
      <w:pPr>
        <w:pStyle w:val="7"/>
        <w:snapToGrid w:val="0"/>
        <w:spacing w:line="360" w:lineRule="exact"/>
        <w:rPr>
          <w:rFonts w:ascii="宋体" w:hAnsi="宋体" w:eastAsia="宋体"/>
          <w:sz w:val="21"/>
          <w:szCs w:val="21"/>
        </w:rPr>
      </w:pPr>
      <w:r>
        <w:rPr>
          <w:rFonts w:ascii="宋体" w:hAnsi="宋体" w:eastAsia="宋体"/>
          <w:sz w:val="21"/>
          <w:szCs w:val="21"/>
        </w:rPr>
        <w:t>8.3.1 模板材料</w:t>
      </w:r>
    </w:p>
    <w:p>
      <w:pPr>
        <w:pStyle w:val="22"/>
        <w:snapToGrid w:val="0"/>
        <w:spacing w:beforeAutospacing="0" w:afterAutospacing="0" w:line="360" w:lineRule="exact"/>
        <w:ind w:firstLine="420" w:firstLineChars="200"/>
        <w:jc w:val="both"/>
        <w:rPr>
          <w:rFonts w:ascii="宋体" w:hAnsi="宋体"/>
          <w:kern w:val="2"/>
          <w:sz w:val="21"/>
          <w:szCs w:val="21"/>
        </w:rPr>
      </w:pPr>
      <w:r>
        <w:rPr>
          <w:rFonts w:ascii="宋体" w:hAnsi="宋体"/>
          <w:kern w:val="2"/>
          <w:sz w:val="21"/>
          <w:szCs w:val="21"/>
        </w:rPr>
        <w:t>模板材料应遵守DL/T 5110—2000第5章的有关规定。</w:t>
      </w:r>
    </w:p>
    <w:p>
      <w:pPr>
        <w:pStyle w:val="7"/>
        <w:snapToGrid w:val="0"/>
        <w:spacing w:line="360" w:lineRule="exact"/>
        <w:rPr>
          <w:rFonts w:ascii="宋体" w:hAnsi="宋体" w:eastAsia="宋体"/>
          <w:sz w:val="21"/>
          <w:szCs w:val="21"/>
        </w:rPr>
      </w:pPr>
      <w:r>
        <w:rPr>
          <w:rFonts w:ascii="宋体" w:hAnsi="宋体" w:eastAsia="宋体"/>
          <w:sz w:val="21"/>
          <w:szCs w:val="21"/>
        </w:rPr>
        <w:t>8.3.2 模板的设计、制作和安装</w:t>
      </w:r>
    </w:p>
    <w:p>
      <w:pPr>
        <w:pStyle w:val="22"/>
        <w:snapToGrid w:val="0"/>
        <w:spacing w:beforeAutospacing="0" w:afterAutospacing="0" w:line="360" w:lineRule="exact"/>
        <w:ind w:firstLine="420" w:firstLineChars="200"/>
        <w:jc w:val="both"/>
        <w:rPr>
          <w:rFonts w:ascii="宋体" w:hAnsi="宋体"/>
          <w:kern w:val="2"/>
          <w:sz w:val="21"/>
          <w:szCs w:val="21"/>
        </w:rPr>
      </w:pPr>
      <w:r>
        <w:rPr>
          <w:rFonts w:ascii="宋体" w:hAnsi="宋体"/>
          <w:kern w:val="2"/>
          <w:sz w:val="21"/>
          <w:szCs w:val="21"/>
        </w:rPr>
        <w:t>（1）混凝土模板的设计，除应满足本合同施工图纸的规定外，还应遵守DL/T5110</w:t>
      </w:r>
      <w:r>
        <w:rPr>
          <w:rFonts w:hint="eastAsia" w:ascii="宋体" w:hAnsi="宋体"/>
          <w:kern w:val="2"/>
          <w:sz w:val="21"/>
          <w:szCs w:val="21"/>
        </w:rPr>
        <w:t>—</w:t>
      </w:r>
      <w:r>
        <w:rPr>
          <w:rFonts w:ascii="宋体" w:hAnsi="宋体"/>
          <w:kern w:val="2"/>
          <w:sz w:val="21"/>
          <w:szCs w:val="21"/>
        </w:rPr>
        <w:t>2000第6章的有关规定。</w:t>
      </w:r>
    </w:p>
    <w:p>
      <w:pPr>
        <w:pStyle w:val="22"/>
        <w:snapToGrid w:val="0"/>
        <w:spacing w:beforeAutospacing="0" w:afterAutospacing="0" w:line="360" w:lineRule="exact"/>
        <w:ind w:firstLine="420" w:firstLineChars="200"/>
        <w:jc w:val="both"/>
        <w:rPr>
          <w:rFonts w:ascii="宋体" w:hAnsi="宋体"/>
          <w:kern w:val="2"/>
          <w:sz w:val="21"/>
          <w:szCs w:val="21"/>
        </w:rPr>
      </w:pPr>
      <w:r>
        <w:rPr>
          <w:rFonts w:ascii="宋体" w:hAnsi="宋体"/>
          <w:kern w:val="2"/>
          <w:sz w:val="21"/>
          <w:szCs w:val="21"/>
        </w:rPr>
        <w:t>（2）各种混凝土模板制作的允许偏差不应超过DL/T5110</w:t>
      </w:r>
      <w:r>
        <w:rPr>
          <w:rFonts w:hint="eastAsia" w:ascii="宋体" w:hAnsi="宋体"/>
          <w:kern w:val="2"/>
          <w:sz w:val="21"/>
          <w:szCs w:val="21"/>
        </w:rPr>
        <w:t>—</w:t>
      </w:r>
      <w:r>
        <w:rPr>
          <w:rFonts w:ascii="宋体" w:hAnsi="宋体"/>
          <w:kern w:val="2"/>
          <w:sz w:val="21"/>
          <w:szCs w:val="21"/>
        </w:rPr>
        <w:t>2000第7章表7.0.1的有关规定。</w:t>
      </w:r>
    </w:p>
    <w:p>
      <w:pPr>
        <w:pStyle w:val="22"/>
        <w:snapToGrid w:val="0"/>
        <w:spacing w:beforeAutospacing="0" w:afterAutospacing="0" w:line="360" w:lineRule="exact"/>
        <w:ind w:firstLine="420" w:firstLineChars="200"/>
        <w:jc w:val="both"/>
        <w:rPr>
          <w:rFonts w:ascii="宋体" w:hAnsi="宋体"/>
          <w:sz w:val="21"/>
          <w:szCs w:val="21"/>
        </w:rPr>
      </w:pPr>
      <w:r>
        <w:rPr>
          <w:rFonts w:ascii="宋体" w:hAnsi="宋体"/>
          <w:kern w:val="2"/>
          <w:sz w:val="21"/>
          <w:szCs w:val="21"/>
        </w:rPr>
        <w:t>（3）承包人应负责异型模板、特种模板（的设计、制作和安装，应遵守DL/T5110</w:t>
      </w:r>
      <w:r>
        <w:rPr>
          <w:rFonts w:hint="eastAsia" w:ascii="宋体" w:hAnsi="宋体"/>
          <w:kern w:val="2"/>
          <w:sz w:val="21"/>
          <w:szCs w:val="21"/>
        </w:rPr>
        <w:t>—</w:t>
      </w:r>
      <w:r>
        <w:rPr>
          <w:rFonts w:ascii="宋体" w:hAnsi="宋体"/>
          <w:kern w:val="2"/>
          <w:sz w:val="21"/>
          <w:szCs w:val="21"/>
        </w:rPr>
        <w:t>2000第10章的有关规定。</w:t>
      </w:r>
    </w:p>
    <w:p>
      <w:pPr>
        <w:pStyle w:val="22"/>
        <w:snapToGrid w:val="0"/>
        <w:spacing w:beforeAutospacing="0" w:afterAutospacing="0" w:line="360" w:lineRule="exact"/>
        <w:ind w:firstLine="420" w:firstLineChars="200"/>
        <w:jc w:val="both"/>
        <w:rPr>
          <w:rFonts w:ascii="宋体" w:hAnsi="宋体"/>
          <w:kern w:val="2"/>
          <w:sz w:val="21"/>
          <w:szCs w:val="21"/>
        </w:rPr>
      </w:pPr>
      <w:r>
        <w:rPr>
          <w:rFonts w:ascii="宋体" w:hAnsi="宋体"/>
          <w:kern w:val="2"/>
          <w:sz w:val="21"/>
          <w:szCs w:val="21"/>
        </w:rPr>
        <w:t>（4）曲面模板的设计和制作，除应满足本合同施工图纸所示的混凝土建筑物表面的曲度要求外，其允许偏差应遵守DL/T5110—2000第</w:t>
      </w:r>
      <w:r>
        <w:rPr>
          <w:rFonts w:hint="eastAsia" w:ascii="宋体" w:hAnsi="宋体"/>
          <w:kern w:val="2"/>
          <w:sz w:val="21"/>
          <w:szCs w:val="21"/>
        </w:rPr>
        <w:t>7.0.1</w:t>
      </w:r>
      <w:r>
        <w:rPr>
          <w:rFonts w:ascii="宋体" w:hAnsi="宋体"/>
          <w:kern w:val="2"/>
          <w:sz w:val="21"/>
          <w:szCs w:val="21"/>
        </w:rPr>
        <w:t>条的规定。</w:t>
      </w:r>
    </w:p>
    <w:p>
      <w:pPr>
        <w:pStyle w:val="22"/>
        <w:snapToGrid w:val="0"/>
        <w:spacing w:beforeAutospacing="0" w:afterAutospacing="0" w:line="360" w:lineRule="exact"/>
        <w:ind w:firstLine="420" w:firstLineChars="200"/>
        <w:jc w:val="both"/>
        <w:rPr>
          <w:rFonts w:ascii="宋体" w:hAnsi="宋体"/>
          <w:kern w:val="2"/>
          <w:sz w:val="21"/>
          <w:szCs w:val="21"/>
        </w:rPr>
      </w:pPr>
      <w:r>
        <w:rPr>
          <w:rFonts w:ascii="宋体" w:hAnsi="宋体"/>
          <w:kern w:val="2"/>
          <w:sz w:val="21"/>
          <w:szCs w:val="21"/>
        </w:rPr>
        <w:t>（5）模板之间的接缝必须平整严密，建筑物分层施工时应逐层校正下层偏差，模板下端不应有“错台”。</w:t>
      </w:r>
    </w:p>
    <w:p>
      <w:pPr>
        <w:pStyle w:val="22"/>
        <w:snapToGrid w:val="0"/>
        <w:spacing w:beforeAutospacing="0" w:afterAutospacing="0" w:line="360" w:lineRule="exact"/>
        <w:ind w:firstLine="420" w:firstLineChars="200"/>
        <w:jc w:val="both"/>
        <w:rPr>
          <w:rFonts w:ascii="宋体" w:hAnsi="宋体"/>
          <w:kern w:val="2"/>
          <w:sz w:val="21"/>
          <w:szCs w:val="21"/>
        </w:rPr>
      </w:pPr>
      <w:r>
        <w:rPr>
          <w:rFonts w:ascii="宋体" w:hAnsi="宋体"/>
          <w:kern w:val="2"/>
          <w:sz w:val="21"/>
          <w:szCs w:val="21"/>
        </w:rPr>
        <w:t>（6）模板及支架上严禁堆放超过其设计荷载的材料和设备。</w:t>
      </w:r>
    </w:p>
    <w:p>
      <w:pPr>
        <w:pStyle w:val="22"/>
        <w:snapToGrid w:val="0"/>
        <w:spacing w:beforeAutospacing="0" w:afterAutospacing="0" w:line="360" w:lineRule="exact"/>
        <w:ind w:firstLine="420" w:firstLineChars="200"/>
        <w:jc w:val="both"/>
        <w:rPr>
          <w:rFonts w:ascii="宋体" w:hAnsi="宋体"/>
          <w:kern w:val="2"/>
          <w:sz w:val="21"/>
          <w:szCs w:val="21"/>
        </w:rPr>
      </w:pPr>
      <w:r>
        <w:rPr>
          <w:rFonts w:ascii="宋体" w:hAnsi="宋体"/>
          <w:kern w:val="2"/>
          <w:sz w:val="21"/>
          <w:szCs w:val="21"/>
        </w:rPr>
        <w:t>（7）模板安装应按混凝土结构物的详图测量放样，重要结构多设控制点，以利检查校正。</w:t>
      </w:r>
    </w:p>
    <w:p>
      <w:pPr>
        <w:pStyle w:val="22"/>
        <w:snapToGrid w:val="0"/>
        <w:spacing w:beforeAutospacing="0" w:afterAutospacing="0" w:line="360" w:lineRule="exact"/>
        <w:ind w:firstLine="420" w:firstLineChars="200"/>
        <w:jc w:val="both"/>
        <w:rPr>
          <w:rFonts w:ascii="宋体" w:hAnsi="宋体"/>
          <w:kern w:val="2"/>
          <w:sz w:val="21"/>
          <w:szCs w:val="21"/>
        </w:rPr>
      </w:pPr>
      <w:r>
        <w:rPr>
          <w:rFonts w:hint="eastAsia" w:ascii="宋体" w:hAnsi="宋体"/>
          <w:kern w:val="2"/>
          <w:sz w:val="21"/>
          <w:szCs w:val="21"/>
        </w:rPr>
        <w:t>（8）</w:t>
      </w:r>
      <w:r>
        <w:rPr>
          <w:rFonts w:ascii="宋体" w:hAnsi="宋体"/>
          <w:kern w:val="2"/>
          <w:sz w:val="21"/>
          <w:szCs w:val="21"/>
        </w:rPr>
        <w:t>建筑结构混凝土与钢筋混凝土模板的安装允许偏差应遵守GB50204</w:t>
      </w:r>
      <w:r>
        <w:rPr>
          <w:rFonts w:hint="eastAsia" w:ascii="宋体" w:hAnsi="宋体"/>
          <w:kern w:val="2"/>
          <w:sz w:val="21"/>
          <w:szCs w:val="21"/>
        </w:rPr>
        <w:t>—</w:t>
      </w:r>
      <w:r>
        <w:rPr>
          <w:rFonts w:ascii="宋体" w:hAnsi="宋体"/>
          <w:kern w:val="2"/>
          <w:sz w:val="21"/>
          <w:szCs w:val="21"/>
        </w:rPr>
        <w:t>2002第</w:t>
      </w:r>
      <w:r>
        <w:rPr>
          <w:rFonts w:hint="eastAsia" w:ascii="宋体" w:hAnsi="宋体"/>
          <w:kern w:val="2"/>
          <w:sz w:val="21"/>
          <w:szCs w:val="21"/>
        </w:rPr>
        <w:t>4.2.7</w:t>
      </w:r>
      <w:r>
        <w:rPr>
          <w:rFonts w:ascii="宋体" w:hAnsi="宋体"/>
          <w:kern w:val="2"/>
          <w:sz w:val="21"/>
          <w:szCs w:val="21"/>
        </w:rPr>
        <w:t>条的规定，大体积混凝土模板的安装允许偏差应遵守DL/T5110</w:t>
      </w:r>
      <w:r>
        <w:rPr>
          <w:rFonts w:hint="eastAsia" w:ascii="宋体" w:hAnsi="宋体"/>
          <w:kern w:val="2"/>
          <w:sz w:val="21"/>
          <w:szCs w:val="21"/>
        </w:rPr>
        <w:t>—</w:t>
      </w:r>
      <w:r>
        <w:rPr>
          <w:rFonts w:ascii="宋体" w:hAnsi="宋体"/>
          <w:kern w:val="2"/>
          <w:sz w:val="21"/>
          <w:szCs w:val="21"/>
        </w:rPr>
        <w:t>2000第9.0.</w:t>
      </w:r>
      <w:r>
        <w:rPr>
          <w:rFonts w:hint="eastAsia" w:ascii="宋体" w:hAnsi="宋体"/>
          <w:kern w:val="2"/>
          <w:sz w:val="21"/>
          <w:szCs w:val="21"/>
        </w:rPr>
        <w:t>8</w:t>
      </w:r>
      <w:r>
        <w:rPr>
          <w:rFonts w:ascii="宋体" w:hAnsi="宋体"/>
          <w:kern w:val="2"/>
          <w:sz w:val="21"/>
          <w:szCs w:val="21"/>
        </w:rPr>
        <w:t>条的规定。</w:t>
      </w:r>
    </w:p>
    <w:p>
      <w:pPr>
        <w:pStyle w:val="7"/>
        <w:snapToGrid w:val="0"/>
        <w:spacing w:line="360" w:lineRule="exact"/>
        <w:rPr>
          <w:rFonts w:ascii="宋体" w:hAnsi="宋体" w:eastAsia="宋体"/>
          <w:sz w:val="21"/>
          <w:szCs w:val="21"/>
        </w:rPr>
      </w:pPr>
      <w:r>
        <w:rPr>
          <w:rFonts w:ascii="宋体" w:hAnsi="宋体" w:eastAsia="宋体"/>
          <w:sz w:val="21"/>
          <w:szCs w:val="21"/>
        </w:rPr>
        <w:t>8.3.3 模板的清洗和涂料</w:t>
      </w:r>
    </w:p>
    <w:p>
      <w:pPr>
        <w:pStyle w:val="22"/>
        <w:snapToGrid w:val="0"/>
        <w:spacing w:beforeAutospacing="0" w:afterAutospacing="0" w:line="360" w:lineRule="exact"/>
        <w:ind w:firstLine="420" w:firstLineChars="200"/>
        <w:jc w:val="both"/>
        <w:rPr>
          <w:rFonts w:ascii="宋体" w:hAnsi="宋体"/>
          <w:kern w:val="2"/>
          <w:sz w:val="21"/>
          <w:szCs w:val="21"/>
        </w:rPr>
      </w:pPr>
      <w:r>
        <w:rPr>
          <w:rFonts w:ascii="宋体" w:hAnsi="宋体"/>
          <w:kern w:val="2"/>
          <w:sz w:val="21"/>
          <w:szCs w:val="21"/>
        </w:rPr>
        <w:t>（1）钢模板在每次使用前应清洗干净；为防锈和拆模方便，钢模面板应涂刷防锈保护涂料，不得采用污染混凝土和影响混凝土质量的涂剂。</w:t>
      </w:r>
    </w:p>
    <w:p>
      <w:pPr>
        <w:pStyle w:val="22"/>
        <w:snapToGrid w:val="0"/>
        <w:spacing w:beforeAutospacing="0" w:afterAutospacing="0" w:line="360" w:lineRule="exact"/>
        <w:ind w:firstLine="420" w:firstLineChars="200"/>
        <w:jc w:val="both"/>
        <w:rPr>
          <w:rFonts w:ascii="宋体" w:hAnsi="宋体"/>
          <w:kern w:val="2"/>
          <w:sz w:val="21"/>
          <w:szCs w:val="21"/>
        </w:rPr>
      </w:pPr>
      <w:r>
        <w:rPr>
          <w:rFonts w:ascii="宋体" w:hAnsi="宋体"/>
          <w:kern w:val="2"/>
          <w:sz w:val="21"/>
          <w:szCs w:val="21"/>
        </w:rPr>
        <w:t>（2）木模板面应采用烤石蜡或其它监理人批准的保护性涂料进行保护。</w:t>
      </w:r>
    </w:p>
    <w:p>
      <w:pPr>
        <w:pStyle w:val="7"/>
        <w:snapToGrid w:val="0"/>
        <w:spacing w:line="360" w:lineRule="exact"/>
        <w:rPr>
          <w:rFonts w:ascii="宋体" w:hAnsi="宋体" w:eastAsia="宋体"/>
          <w:sz w:val="21"/>
          <w:szCs w:val="21"/>
        </w:rPr>
      </w:pPr>
      <w:r>
        <w:rPr>
          <w:rFonts w:ascii="宋体" w:hAnsi="宋体" w:eastAsia="宋体"/>
          <w:sz w:val="21"/>
          <w:szCs w:val="21"/>
        </w:rPr>
        <w:t>8.3.4模板的拆除和维修</w:t>
      </w:r>
    </w:p>
    <w:p>
      <w:pPr>
        <w:pStyle w:val="22"/>
        <w:snapToGrid w:val="0"/>
        <w:spacing w:beforeAutospacing="0" w:afterAutospacing="0" w:line="360" w:lineRule="exact"/>
        <w:ind w:firstLine="420" w:firstLineChars="200"/>
        <w:jc w:val="both"/>
        <w:rPr>
          <w:rFonts w:ascii="宋体" w:hAnsi="宋体"/>
          <w:kern w:val="2"/>
          <w:sz w:val="21"/>
          <w:szCs w:val="21"/>
        </w:rPr>
      </w:pPr>
      <w:r>
        <w:rPr>
          <w:rFonts w:ascii="宋体" w:hAnsi="宋体"/>
          <w:kern w:val="2"/>
          <w:sz w:val="21"/>
          <w:szCs w:val="21"/>
        </w:rPr>
        <w:t>（1）现浇混凝土的模板（如侧模、底模）以及钢筋混凝土与混凝土结构的承载模板拆除时的混凝土强度应遵守本合同施工图纸和DL/T 5110</w:t>
      </w:r>
      <w:r>
        <w:rPr>
          <w:rFonts w:hint="eastAsia" w:ascii="宋体" w:hAnsi="宋体"/>
          <w:kern w:val="2"/>
          <w:sz w:val="21"/>
          <w:szCs w:val="21"/>
        </w:rPr>
        <w:t>—</w:t>
      </w:r>
      <w:r>
        <w:rPr>
          <w:rFonts w:ascii="宋体" w:hAnsi="宋体"/>
          <w:kern w:val="2"/>
          <w:sz w:val="21"/>
          <w:szCs w:val="21"/>
        </w:rPr>
        <w:t>2000第9.0.1条的规定。</w:t>
      </w:r>
    </w:p>
    <w:p>
      <w:pPr>
        <w:pStyle w:val="22"/>
        <w:snapToGrid w:val="0"/>
        <w:spacing w:beforeAutospacing="0" w:afterAutospacing="0" w:line="360" w:lineRule="exact"/>
        <w:ind w:firstLine="420" w:firstLineChars="200"/>
        <w:jc w:val="both"/>
        <w:rPr>
          <w:rFonts w:ascii="宋体" w:hAnsi="宋体"/>
          <w:kern w:val="2"/>
          <w:sz w:val="21"/>
          <w:szCs w:val="21"/>
        </w:rPr>
      </w:pPr>
      <w:r>
        <w:rPr>
          <w:rFonts w:ascii="宋体" w:hAnsi="宋体"/>
          <w:kern w:val="2"/>
          <w:sz w:val="21"/>
          <w:szCs w:val="21"/>
        </w:rPr>
        <w:t>（2）墩、台、柱部位的混凝土强度必须达到____MPa时，方可拆除模板。</w:t>
      </w:r>
    </w:p>
    <w:p>
      <w:pPr>
        <w:pStyle w:val="22"/>
        <w:snapToGrid w:val="0"/>
        <w:spacing w:beforeAutospacing="0" w:afterAutospacing="0" w:line="360" w:lineRule="exact"/>
        <w:ind w:firstLine="420" w:firstLineChars="200"/>
        <w:jc w:val="both"/>
        <w:rPr>
          <w:rFonts w:ascii="宋体" w:hAnsi="宋体"/>
          <w:kern w:val="2"/>
          <w:sz w:val="21"/>
          <w:szCs w:val="21"/>
        </w:rPr>
      </w:pPr>
      <w:r>
        <w:rPr>
          <w:rFonts w:ascii="宋体" w:hAnsi="宋体"/>
          <w:kern w:val="2"/>
          <w:sz w:val="21"/>
          <w:szCs w:val="21"/>
        </w:rPr>
        <w:t>（3）特殊模板的拆除时限应由承包人报经监理人批准。</w:t>
      </w:r>
    </w:p>
    <w:p>
      <w:pPr>
        <w:pStyle w:val="22"/>
        <w:snapToGrid w:val="0"/>
        <w:spacing w:beforeAutospacing="0" w:afterAutospacing="0" w:line="360" w:lineRule="exact"/>
        <w:ind w:firstLine="420" w:firstLineChars="200"/>
        <w:jc w:val="both"/>
        <w:rPr>
          <w:rFonts w:ascii="宋体" w:hAnsi="宋体"/>
          <w:kern w:val="2"/>
          <w:sz w:val="21"/>
          <w:szCs w:val="21"/>
        </w:rPr>
      </w:pPr>
      <w:r>
        <w:rPr>
          <w:rFonts w:ascii="宋体" w:hAnsi="宋体"/>
          <w:kern w:val="2"/>
          <w:sz w:val="21"/>
          <w:szCs w:val="21"/>
        </w:rPr>
        <w:t>（4）预制混凝土构件模板拆除的混凝土强度应遵守施工图纸和DL/T5110</w:t>
      </w:r>
      <w:r>
        <w:rPr>
          <w:rFonts w:hint="eastAsia" w:ascii="宋体" w:hAnsi="宋体"/>
          <w:kern w:val="2"/>
          <w:sz w:val="21"/>
          <w:szCs w:val="21"/>
        </w:rPr>
        <w:t>—</w:t>
      </w:r>
      <w:r>
        <w:rPr>
          <w:rFonts w:ascii="宋体" w:hAnsi="宋体"/>
          <w:kern w:val="2"/>
          <w:sz w:val="21"/>
          <w:szCs w:val="21"/>
        </w:rPr>
        <w:t>2000第9.0.3条的规定。</w:t>
      </w:r>
    </w:p>
    <w:p>
      <w:pPr>
        <w:pStyle w:val="22"/>
        <w:snapToGrid w:val="0"/>
        <w:spacing w:beforeAutospacing="0" w:afterAutospacing="0" w:line="360" w:lineRule="exact"/>
        <w:ind w:firstLine="420" w:firstLineChars="200"/>
        <w:jc w:val="both"/>
        <w:rPr>
          <w:rFonts w:ascii="宋体" w:hAnsi="宋体"/>
          <w:kern w:val="2"/>
          <w:sz w:val="21"/>
          <w:szCs w:val="21"/>
        </w:rPr>
      </w:pPr>
      <w:r>
        <w:rPr>
          <w:rFonts w:ascii="宋体" w:hAnsi="宋体"/>
          <w:kern w:val="2"/>
          <w:sz w:val="21"/>
          <w:szCs w:val="21"/>
        </w:rPr>
        <w:t>（</w:t>
      </w:r>
      <w:r>
        <w:rPr>
          <w:rFonts w:hint="eastAsia" w:ascii="宋体" w:hAnsi="宋体"/>
          <w:kern w:val="2"/>
          <w:sz w:val="21"/>
          <w:szCs w:val="21"/>
        </w:rPr>
        <w:t>5</w:t>
      </w:r>
      <w:r>
        <w:rPr>
          <w:rFonts w:ascii="宋体" w:hAnsi="宋体"/>
          <w:kern w:val="2"/>
          <w:sz w:val="21"/>
          <w:szCs w:val="21"/>
        </w:rPr>
        <w:t>）经计算和试验复核后，混凝土结构实际强度已能承受自重及其它荷载时，经监理人批准后，方可提前拆模。未经监理人批准．模板及其支架和支撑均不得任意拆除。</w:t>
      </w:r>
    </w:p>
    <w:p>
      <w:pPr>
        <w:pStyle w:val="22"/>
        <w:snapToGrid w:val="0"/>
        <w:spacing w:beforeAutospacing="0" w:afterAutospacing="0" w:line="360" w:lineRule="exact"/>
        <w:ind w:firstLine="420" w:firstLineChars="200"/>
        <w:jc w:val="both"/>
        <w:rPr>
          <w:rFonts w:ascii="宋体" w:hAnsi="宋体"/>
          <w:kern w:val="2"/>
          <w:sz w:val="21"/>
          <w:szCs w:val="21"/>
        </w:rPr>
      </w:pPr>
      <w:r>
        <w:rPr>
          <w:rFonts w:ascii="宋体" w:hAnsi="宋体"/>
          <w:kern w:val="2"/>
          <w:sz w:val="21"/>
          <w:szCs w:val="21"/>
        </w:rPr>
        <w:t>（</w:t>
      </w:r>
      <w:r>
        <w:rPr>
          <w:rFonts w:hint="eastAsia" w:ascii="宋体" w:hAnsi="宋体"/>
          <w:kern w:val="2"/>
          <w:sz w:val="21"/>
          <w:szCs w:val="21"/>
        </w:rPr>
        <w:t>6</w:t>
      </w:r>
      <w:r>
        <w:rPr>
          <w:rFonts w:ascii="宋体" w:hAnsi="宋体"/>
          <w:kern w:val="2"/>
          <w:sz w:val="21"/>
          <w:szCs w:val="21"/>
        </w:rPr>
        <w:t>）模板的安装及拆除作业必须使用专项设备，并应严格按规定的施工程序进行，以避免施工期发生事故，防止混凝土及其模板的损坏。</w:t>
      </w:r>
    </w:p>
    <w:p>
      <w:pPr>
        <w:pStyle w:val="7"/>
        <w:snapToGrid w:val="0"/>
        <w:spacing w:line="360" w:lineRule="exact"/>
        <w:rPr>
          <w:rFonts w:ascii="宋体" w:hAnsi="宋体" w:eastAsia="宋体"/>
          <w:sz w:val="21"/>
          <w:szCs w:val="21"/>
        </w:rPr>
      </w:pPr>
      <w:r>
        <w:rPr>
          <w:rFonts w:ascii="宋体" w:hAnsi="宋体" w:eastAsia="宋体"/>
          <w:sz w:val="21"/>
          <w:szCs w:val="21"/>
        </w:rPr>
        <w:t>8.3.5模板质量检查</w:t>
      </w:r>
    </w:p>
    <w:p>
      <w:pPr>
        <w:pStyle w:val="22"/>
        <w:snapToGrid w:val="0"/>
        <w:spacing w:beforeAutospacing="0" w:afterAutospacing="0" w:line="360" w:lineRule="exact"/>
        <w:ind w:firstLine="420" w:firstLineChars="200"/>
        <w:jc w:val="both"/>
        <w:rPr>
          <w:rFonts w:ascii="宋体" w:hAnsi="宋体"/>
          <w:kern w:val="2"/>
          <w:sz w:val="21"/>
          <w:szCs w:val="21"/>
        </w:rPr>
      </w:pPr>
      <w:r>
        <w:rPr>
          <w:rFonts w:ascii="宋体" w:hAnsi="宋体"/>
          <w:kern w:val="2"/>
          <w:sz w:val="21"/>
          <w:szCs w:val="21"/>
        </w:rPr>
        <w:t>（1）现场安装质量检查：</w:t>
      </w:r>
    </w:p>
    <w:p>
      <w:pPr>
        <w:pStyle w:val="22"/>
        <w:snapToGrid w:val="0"/>
        <w:spacing w:beforeAutospacing="0" w:afterAutospacing="0" w:line="360" w:lineRule="exact"/>
        <w:ind w:firstLine="420" w:firstLineChars="200"/>
        <w:jc w:val="both"/>
        <w:rPr>
          <w:rFonts w:ascii="宋体" w:hAnsi="宋体"/>
          <w:kern w:val="2"/>
          <w:sz w:val="21"/>
          <w:szCs w:val="21"/>
        </w:rPr>
      </w:pPr>
      <w:r>
        <w:rPr>
          <w:rFonts w:ascii="宋体" w:hAnsi="宋体"/>
          <w:kern w:val="2"/>
          <w:sz w:val="21"/>
          <w:szCs w:val="21"/>
        </w:rPr>
        <w:t>1）模板及其附件的制作质量应满足本合同技术条款和施工图纸的要求；</w:t>
      </w:r>
    </w:p>
    <w:p>
      <w:pPr>
        <w:pStyle w:val="22"/>
        <w:snapToGrid w:val="0"/>
        <w:spacing w:beforeAutospacing="0" w:afterAutospacing="0" w:line="360" w:lineRule="exact"/>
        <w:ind w:firstLine="420" w:firstLineChars="200"/>
        <w:jc w:val="both"/>
        <w:rPr>
          <w:rFonts w:ascii="宋体" w:hAnsi="宋体"/>
          <w:kern w:val="2"/>
          <w:sz w:val="21"/>
          <w:szCs w:val="21"/>
        </w:rPr>
      </w:pPr>
      <w:r>
        <w:rPr>
          <w:rFonts w:ascii="宋体" w:hAnsi="宋体"/>
          <w:kern w:val="2"/>
          <w:sz w:val="21"/>
          <w:szCs w:val="21"/>
        </w:rPr>
        <w:t>2）模板安装应有足够的密封性能，以防止混凝土浇筑过程中的水泥浆流失；</w:t>
      </w:r>
    </w:p>
    <w:p>
      <w:pPr>
        <w:pStyle w:val="22"/>
        <w:snapToGrid w:val="0"/>
        <w:spacing w:beforeAutospacing="0" w:afterAutospacing="0" w:line="360" w:lineRule="exact"/>
        <w:ind w:firstLine="420" w:firstLineChars="200"/>
        <w:jc w:val="both"/>
        <w:rPr>
          <w:rFonts w:ascii="宋体" w:hAnsi="宋体"/>
          <w:kern w:val="2"/>
          <w:sz w:val="21"/>
          <w:szCs w:val="21"/>
        </w:rPr>
      </w:pPr>
      <w:r>
        <w:rPr>
          <w:rFonts w:ascii="宋体" w:hAnsi="宋体"/>
          <w:kern w:val="2"/>
          <w:sz w:val="21"/>
          <w:szCs w:val="21"/>
        </w:rPr>
        <w:t>3）重复使用的模板应保持原设计要求的强度、刚度、密实性和模板表面的光滑度，检查发现模板有损坏时，承包人应按监理人指示进行更换或修补；</w:t>
      </w:r>
    </w:p>
    <w:p>
      <w:pPr>
        <w:pStyle w:val="22"/>
        <w:snapToGrid w:val="0"/>
        <w:spacing w:beforeAutospacing="0" w:afterAutospacing="0" w:line="360" w:lineRule="exact"/>
        <w:ind w:firstLine="420" w:firstLineChars="200"/>
        <w:jc w:val="both"/>
        <w:rPr>
          <w:rFonts w:ascii="宋体" w:hAnsi="宋体"/>
          <w:kern w:val="2"/>
          <w:sz w:val="21"/>
          <w:szCs w:val="21"/>
        </w:rPr>
      </w:pPr>
      <w:r>
        <w:rPr>
          <w:rFonts w:ascii="宋体" w:hAnsi="宋体"/>
          <w:kern w:val="2"/>
          <w:sz w:val="21"/>
          <w:szCs w:val="21"/>
        </w:rPr>
        <w:t>4）模板安装完成后，承包人应会同监理人共同对模板的安装质量进行检查，检查记录应提交监理人；</w:t>
      </w:r>
    </w:p>
    <w:p>
      <w:pPr>
        <w:pStyle w:val="22"/>
        <w:snapToGrid w:val="0"/>
        <w:spacing w:beforeAutospacing="0" w:afterAutospacing="0" w:line="360" w:lineRule="exact"/>
        <w:ind w:firstLine="420" w:firstLineChars="200"/>
        <w:jc w:val="both"/>
        <w:rPr>
          <w:rFonts w:ascii="宋体" w:hAnsi="宋体"/>
          <w:kern w:val="2"/>
          <w:sz w:val="21"/>
          <w:szCs w:val="21"/>
        </w:rPr>
      </w:pPr>
      <w:r>
        <w:rPr>
          <w:rFonts w:ascii="宋体" w:hAnsi="宋体"/>
          <w:kern w:val="2"/>
          <w:sz w:val="21"/>
          <w:szCs w:val="21"/>
        </w:rPr>
        <w:t>5）在混凝土浇筑过程中，承包人应随时检查模板的定线和定位，发现偏差和位移，应采取有效措施予以纠正，检查记录应提交监理人。</w:t>
      </w:r>
    </w:p>
    <w:p>
      <w:pPr>
        <w:pStyle w:val="22"/>
        <w:snapToGrid w:val="0"/>
        <w:spacing w:beforeAutospacing="0" w:afterAutospacing="0" w:line="360" w:lineRule="exact"/>
        <w:ind w:firstLine="420" w:firstLineChars="200"/>
        <w:jc w:val="both"/>
        <w:rPr>
          <w:rFonts w:ascii="宋体" w:hAnsi="宋体"/>
          <w:kern w:val="2"/>
          <w:sz w:val="21"/>
          <w:szCs w:val="21"/>
        </w:rPr>
      </w:pPr>
      <w:r>
        <w:rPr>
          <w:rFonts w:ascii="宋体" w:hAnsi="宋体"/>
          <w:kern w:val="2"/>
          <w:sz w:val="21"/>
          <w:szCs w:val="21"/>
        </w:rPr>
        <w:t>（2）模板拆除后的检查</w:t>
      </w:r>
    </w:p>
    <w:p>
      <w:pPr>
        <w:pStyle w:val="22"/>
        <w:snapToGrid w:val="0"/>
        <w:spacing w:beforeAutospacing="0" w:afterAutospacing="0" w:line="360" w:lineRule="exact"/>
        <w:ind w:firstLine="420" w:firstLineChars="200"/>
        <w:jc w:val="both"/>
        <w:rPr>
          <w:rFonts w:ascii="宋体" w:hAnsi="宋体"/>
          <w:kern w:val="2"/>
          <w:sz w:val="21"/>
          <w:szCs w:val="21"/>
        </w:rPr>
      </w:pPr>
      <w:r>
        <w:rPr>
          <w:rFonts w:ascii="宋体" w:hAnsi="宋体"/>
          <w:kern w:val="2"/>
          <w:sz w:val="21"/>
          <w:szCs w:val="21"/>
        </w:rPr>
        <w:t>拆模时间应经过验算。拆模后，承包人应会同监理人共同检查混凝土结构物及其浇筑面质量是否达到施工图纸要求的混凝土强度和平整度，验算成果和检查记录应提交监理人。</w:t>
      </w:r>
    </w:p>
    <w:p>
      <w:pPr>
        <w:pStyle w:val="6"/>
        <w:snapToGrid w:val="0"/>
        <w:spacing w:line="360" w:lineRule="exact"/>
        <w:rPr>
          <w:rFonts w:ascii="宋体" w:hAnsi="宋体" w:eastAsia="宋体"/>
          <w:snapToGrid w:val="0"/>
          <w:sz w:val="21"/>
          <w:szCs w:val="21"/>
        </w:rPr>
      </w:pPr>
      <w:bookmarkStart w:id="727" w:name="_Toc12479"/>
      <w:bookmarkStart w:id="728" w:name="_Toc339482545"/>
      <w:bookmarkStart w:id="729" w:name="_Toc336325381"/>
      <w:bookmarkStart w:id="730" w:name="_Toc339224679"/>
      <w:bookmarkStart w:id="731" w:name="_Toc341965053"/>
      <w:bookmarkStart w:id="732" w:name="_Toc339983451"/>
      <w:r>
        <w:rPr>
          <w:rFonts w:ascii="宋体" w:hAnsi="宋体" w:eastAsia="宋体"/>
          <w:snapToGrid w:val="0"/>
          <w:sz w:val="21"/>
          <w:szCs w:val="21"/>
        </w:rPr>
        <w:t>8.4 钢筋</w:t>
      </w:r>
      <w:bookmarkEnd w:id="727"/>
      <w:bookmarkEnd w:id="728"/>
      <w:bookmarkEnd w:id="729"/>
      <w:bookmarkEnd w:id="730"/>
      <w:bookmarkEnd w:id="731"/>
      <w:bookmarkEnd w:id="732"/>
    </w:p>
    <w:p>
      <w:pPr>
        <w:pStyle w:val="7"/>
        <w:snapToGrid w:val="0"/>
        <w:spacing w:line="360" w:lineRule="exact"/>
        <w:rPr>
          <w:rFonts w:ascii="宋体" w:hAnsi="宋体" w:eastAsia="宋体"/>
          <w:sz w:val="21"/>
          <w:szCs w:val="21"/>
        </w:rPr>
      </w:pPr>
      <w:r>
        <w:rPr>
          <w:rFonts w:ascii="宋体" w:hAnsi="宋体" w:eastAsia="宋体"/>
          <w:sz w:val="21"/>
          <w:szCs w:val="21"/>
        </w:rPr>
        <w:t>8.4.1材料</w:t>
      </w:r>
    </w:p>
    <w:p>
      <w:pPr>
        <w:pStyle w:val="22"/>
        <w:snapToGrid w:val="0"/>
        <w:spacing w:beforeAutospacing="0" w:afterAutospacing="0" w:line="360" w:lineRule="exact"/>
        <w:ind w:firstLine="420" w:firstLineChars="200"/>
        <w:jc w:val="both"/>
        <w:rPr>
          <w:rFonts w:ascii="宋体" w:hAnsi="宋体"/>
          <w:kern w:val="2"/>
          <w:sz w:val="21"/>
          <w:szCs w:val="21"/>
        </w:rPr>
      </w:pPr>
      <w:r>
        <w:rPr>
          <w:rFonts w:ascii="宋体" w:hAnsi="宋体"/>
          <w:kern w:val="2"/>
          <w:sz w:val="21"/>
          <w:szCs w:val="21"/>
        </w:rPr>
        <w:t>（1）混凝土结构用的钢筋和锚筋的规格和质量应遵守DL/T5169—2002的规定。</w:t>
      </w:r>
    </w:p>
    <w:p>
      <w:pPr>
        <w:pStyle w:val="22"/>
        <w:snapToGrid w:val="0"/>
        <w:spacing w:beforeAutospacing="0" w:afterAutospacing="0" w:line="360" w:lineRule="exact"/>
        <w:ind w:firstLine="420" w:firstLineChars="200"/>
        <w:jc w:val="both"/>
        <w:rPr>
          <w:rFonts w:ascii="宋体" w:hAnsi="宋体"/>
          <w:kern w:val="2"/>
          <w:sz w:val="21"/>
          <w:szCs w:val="21"/>
        </w:rPr>
      </w:pPr>
      <w:r>
        <w:rPr>
          <w:rFonts w:ascii="宋体" w:hAnsi="宋体"/>
          <w:kern w:val="2"/>
          <w:sz w:val="21"/>
          <w:szCs w:val="21"/>
        </w:rPr>
        <w:t>（2）每批钢筋使用前，应按DL/T5169—2002第4.2.2条的规定，分批进行钢筋的机械性能检测。检测合格者才准使用，检测记录应提交监理人。</w:t>
      </w:r>
    </w:p>
    <w:p>
      <w:pPr>
        <w:pStyle w:val="22"/>
        <w:snapToGrid w:val="0"/>
        <w:spacing w:beforeAutospacing="0" w:afterAutospacing="0" w:line="360" w:lineRule="exact"/>
        <w:ind w:firstLine="420" w:firstLineChars="200"/>
        <w:jc w:val="both"/>
        <w:rPr>
          <w:rFonts w:ascii="宋体" w:hAnsi="宋体"/>
          <w:kern w:val="2"/>
          <w:sz w:val="21"/>
          <w:szCs w:val="21"/>
        </w:rPr>
      </w:pPr>
      <w:r>
        <w:rPr>
          <w:rFonts w:ascii="宋体" w:hAnsi="宋体"/>
          <w:kern w:val="2"/>
          <w:sz w:val="21"/>
          <w:szCs w:val="21"/>
        </w:rPr>
        <w:t>（3）对钢号不明的钢筋，承包人应按DL/T5169—2002第4.2.3条的规定进行钢材化学成分和主要机械性能的检验，经检验合格，并经监理人批准后，方可使用。</w:t>
      </w:r>
    </w:p>
    <w:p>
      <w:pPr>
        <w:pStyle w:val="7"/>
        <w:snapToGrid w:val="0"/>
        <w:spacing w:line="360" w:lineRule="exact"/>
        <w:rPr>
          <w:rFonts w:ascii="宋体" w:hAnsi="宋体" w:eastAsia="宋体"/>
          <w:sz w:val="21"/>
          <w:szCs w:val="21"/>
        </w:rPr>
      </w:pPr>
      <w:r>
        <w:rPr>
          <w:rFonts w:ascii="宋体" w:hAnsi="宋体" w:eastAsia="宋体"/>
          <w:sz w:val="21"/>
          <w:szCs w:val="21"/>
        </w:rPr>
        <w:t>8.4.2钢筋的加工和安装</w:t>
      </w:r>
    </w:p>
    <w:p>
      <w:pPr>
        <w:pStyle w:val="22"/>
        <w:snapToGrid w:val="0"/>
        <w:spacing w:beforeAutospacing="0" w:afterAutospacing="0" w:line="360" w:lineRule="exact"/>
        <w:ind w:firstLine="420" w:firstLineChars="200"/>
        <w:jc w:val="both"/>
        <w:rPr>
          <w:rFonts w:ascii="宋体" w:hAnsi="宋体"/>
          <w:kern w:val="2"/>
          <w:sz w:val="21"/>
          <w:szCs w:val="21"/>
        </w:rPr>
      </w:pPr>
      <w:r>
        <w:rPr>
          <w:rFonts w:ascii="宋体" w:hAnsi="宋体"/>
          <w:kern w:val="2"/>
          <w:sz w:val="21"/>
          <w:szCs w:val="21"/>
        </w:rPr>
        <w:t>（1）钢筋表面应洁净无损伤，使用前应将钢筋表面的油漆污染和铁锈等清除干净，带有颗粒状或片状老锈的钢筋不得使用。</w:t>
      </w:r>
    </w:p>
    <w:p>
      <w:pPr>
        <w:pStyle w:val="22"/>
        <w:snapToGrid w:val="0"/>
        <w:spacing w:beforeAutospacing="0" w:afterAutospacing="0" w:line="360" w:lineRule="exact"/>
        <w:ind w:firstLine="420" w:firstLineChars="200"/>
        <w:jc w:val="both"/>
        <w:rPr>
          <w:rFonts w:ascii="宋体" w:hAnsi="宋体"/>
          <w:kern w:val="2"/>
          <w:sz w:val="21"/>
          <w:szCs w:val="21"/>
        </w:rPr>
      </w:pPr>
      <w:r>
        <w:rPr>
          <w:rFonts w:ascii="宋体" w:hAnsi="宋体"/>
          <w:kern w:val="2"/>
          <w:sz w:val="21"/>
          <w:szCs w:val="21"/>
        </w:rPr>
        <w:t>（2）钢筋的弯折、端头和接头的加工应遵守DL/T5169—2002第5.2节、第5.3规定。</w:t>
      </w:r>
    </w:p>
    <w:p>
      <w:pPr>
        <w:pStyle w:val="22"/>
        <w:snapToGrid w:val="0"/>
        <w:spacing w:beforeAutospacing="0" w:afterAutospacing="0" w:line="360" w:lineRule="exact"/>
        <w:ind w:firstLine="420" w:firstLineChars="200"/>
        <w:jc w:val="both"/>
        <w:rPr>
          <w:rFonts w:ascii="宋体" w:hAnsi="宋体"/>
          <w:kern w:val="2"/>
          <w:sz w:val="21"/>
          <w:szCs w:val="21"/>
        </w:rPr>
      </w:pPr>
      <w:r>
        <w:rPr>
          <w:rFonts w:ascii="宋体" w:hAnsi="宋体"/>
          <w:kern w:val="2"/>
          <w:sz w:val="21"/>
          <w:szCs w:val="21"/>
        </w:rPr>
        <w:t>（3）钢筋的焊接应按满足本合同技术条款和施工图纸的要求，并遵守DL/T5169—2002第6章的规定。</w:t>
      </w:r>
    </w:p>
    <w:p>
      <w:pPr>
        <w:pStyle w:val="22"/>
        <w:snapToGrid w:val="0"/>
        <w:spacing w:beforeAutospacing="0" w:afterAutospacing="0" w:line="360" w:lineRule="exact"/>
        <w:ind w:firstLine="420" w:firstLineChars="200"/>
        <w:jc w:val="both"/>
        <w:rPr>
          <w:rFonts w:ascii="宋体" w:hAnsi="宋体"/>
          <w:kern w:val="2"/>
          <w:sz w:val="21"/>
          <w:szCs w:val="21"/>
        </w:rPr>
      </w:pPr>
      <w:r>
        <w:rPr>
          <w:rFonts w:ascii="宋体" w:hAnsi="宋体"/>
          <w:kern w:val="2"/>
          <w:sz w:val="21"/>
          <w:szCs w:val="21"/>
        </w:rPr>
        <w:t>（4）钢筋的气压焊作业应遵守DL/T5169—2002第6.2</w:t>
      </w:r>
      <w:r>
        <w:rPr>
          <w:rFonts w:hint="eastAsia" w:ascii="宋体" w:hAnsi="宋体"/>
          <w:kern w:val="2"/>
          <w:sz w:val="21"/>
          <w:szCs w:val="21"/>
        </w:rPr>
        <w:t>.</w:t>
      </w:r>
      <w:r>
        <w:rPr>
          <w:rFonts w:ascii="宋体" w:hAnsi="宋体"/>
          <w:kern w:val="2"/>
          <w:sz w:val="21"/>
          <w:szCs w:val="21"/>
        </w:rPr>
        <w:t>8条的规定。</w:t>
      </w:r>
    </w:p>
    <w:p>
      <w:pPr>
        <w:pStyle w:val="22"/>
        <w:snapToGrid w:val="0"/>
        <w:spacing w:beforeAutospacing="0" w:afterAutospacing="0" w:line="360" w:lineRule="exact"/>
        <w:ind w:firstLine="420" w:firstLineChars="200"/>
        <w:jc w:val="both"/>
        <w:rPr>
          <w:rFonts w:ascii="宋体" w:hAnsi="宋体"/>
          <w:kern w:val="2"/>
          <w:sz w:val="21"/>
          <w:szCs w:val="21"/>
        </w:rPr>
      </w:pPr>
      <w:r>
        <w:rPr>
          <w:rFonts w:ascii="宋体" w:hAnsi="宋体"/>
          <w:kern w:val="2"/>
          <w:sz w:val="21"/>
          <w:szCs w:val="21"/>
        </w:rPr>
        <w:t>（5）钢筋的安装和绑扎应遵守DL/T5169—2002第7章的规定。</w:t>
      </w:r>
    </w:p>
    <w:p>
      <w:pPr>
        <w:pStyle w:val="7"/>
        <w:snapToGrid w:val="0"/>
        <w:spacing w:line="360" w:lineRule="exact"/>
        <w:rPr>
          <w:rFonts w:ascii="宋体" w:hAnsi="宋体" w:eastAsia="宋体"/>
          <w:sz w:val="21"/>
          <w:szCs w:val="21"/>
        </w:rPr>
      </w:pPr>
      <w:r>
        <w:rPr>
          <w:rFonts w:ascii="宋体" w:hAnsi="宋体" w:eastAsia="宋体"/>
          <w:sz w:val="21"/>
          <w:szCs w:val="21"/>
        </w:rPr>
        <w:t>8.4.3钢筋的质量检查和检验</w:t>
      </w:r>
    </w:p>
    <w:p>
      <w:pPr>
        <w:pStyle w:val="22"/>
        <w:snapToGrid w:val="0"/>
        <w:spacing w:beforeAutospacing="0" w:afterAutospacing="0" w:line="360" w:lineRule="exact"/>
        <w:ind w:firstLine="420" w:firstLineChars="200"/>
        <w:jc w:val="both"/>
        <w:rPr>
          <w:rFonts w:ascii="宋体" w:hAnsi="宋体"/>
          <w:kern w:val="2"/>
          <w:sz w:val="21"/>
          <w:szCs w:val="21"/>
        </w:rPr>
      </w:pPr>
      <w:r>
        <w:rPr>
          <w:rFonts w:ascii="宋体" w:hAnsi="宋体"/>
          <w:kern w:val="2"/>
          <w:sz w:val="21"/>
          <w:szCs w:val="21"/>
        </w:rPr>
        <w:t>（1）钢筋的机械性能检验应遵守DL/T 5169—2002第4.2.2条的规定。</w:t>
      </w:r>
    </w:p>
    <w:p>
      <w:pPr>
        <w:pStyle w:val="22"/>
        <w:snapToGrid w:val="0"/>
        <w:spacing w:beforeAutospacing="0" w:afterAutospacing="0" w:line="360" w:lineRule="exact"/>
        <w:ind w:firstLine="420" w:firstLineChars="200"/>
        <w:jc w:val="both"/>
        <w:rPr>
          <w:rFonts w:ascii="宋体" w:hAnsi="宋体"/>
          <w:kern w:val="2"/>
          <w:sz w:val="21"/>
          <w:szCs w:val="21"/>
        </w:rPr>
      </w:pPr>
      <w:r>
        <w:rPr>
          <w:rFonts w:ascii="宋体" w:hAnsi="宋体"/>
          <w:kern w:val="2"/>
          <w:sz w:val="21"/>
          <w:szCs w:val="21"/>
        </w:rPr>
        <w:t>（2）钢筋的接头质量检验应遵守DL/T 5169—2002第6.2节的规定，其中气压焊应遵守DL/T 5169—2002第6.2.</w:t>
      </w:r>
      <w:r>
        <w:rPr>
          <w:rFonts w:hint="eastAsia" w:ascii="宋体" w:hAnsi="宋体"/>
          <w:kern w:val="2"/>
          <w:sz w:val="21"/>
          <w:szCs w:val="21"/>
        </w:rPr>
        <w:t>8</w:t>
      </w:r>
      <w:r>
        <w:rPr>
          <w:rFonts w:ascii="宋体" w:hAnsi="宋体"/>
          <w:kern w:val="2"/>
          <w:sz w:val="21"/>
          <w:szCs w:val="21"/>
        </w:rPr>
        <w:t>条的规定；机械连接应遵守按DL/T 5169—2002第6.2.9条规定。</w:t>
      </w:r>
    </w:p>
    <w:p>
      <w:pPr>
        <w:pStyle w:val="22"/>
        <w:snapToGrid w:val="0"/>
        <w:spacing w:beforeAutospacing="0" w:afterAutospacing="0" w:line="360" w:lineRule="exact"/>
        <w:ind w:firstLine="420" w:firstLineChars="200"/>
        <w:jc w:val="both"/>
        <w:rPr>
          <w:rFonts w:ascii="宋体" w:hAnsi="宋体"/>
          <w:kern w:val="2"/>
          <w:sz w:val="21"/>
          <w:szCs w:val="21"/>
        </w:rPr>
      </w:pPr>
      <w:r>
        <w:rPr>
          <w:rFonts w:ascii="宋体" w:hAnsi="宋体"/>
          <w:kern w:val="2"/>
          <w:sz w:val="21"/>
          <w:szCs w:val="21"/>
        </w:rPr>
        <w:t>（3）钢筋架设完成后，应按本合同技术条款和施工图纸的要求进行检查和检验，并做好记录，若安装好的钢筋和锚筋生锈，应进行现场除锈，对于锈蚀严重的钢筋应予更换。</w:t>
      </w:r>
    </w:p>
    <w:p>
      <w:pPr>
        <w:pStyle w:val="22"/>
        <w:snapToGrid w:val="0"/>
        <w:spacing w:beforeAutospacing="0" w:afterAutospacing="0" w:line="360" w:lineRule="exact"/>
        <w:ind w:firstLine="420" w:firstLineChars="200"/>
        <w:jc w:val="both"/>
        <w:rPr>
          <w:rFonts w:ascii="宋体" w:hAnsi="宋体"/>
          <w:kern w:val="2"/>
          <w:sz w:val="21"/>
          <w:szCs w:val="21"/>
        </w:rPr>
      </w:pPr>
      <w:r>
        <w:rPr>
          <w:rFonts w:ascii="宋体" w:hAnsi="宋体"/>
          <w:kern w:val="2"/>
          <w:sz w:val="21"/>
          <w:szCs w:val="21"/>
        </w:rPr>
        <w:t>（4）在混凝土浇筑施工前，应检查现场钢筋的架立位置，如发现钢筋位置变动应及时校正，严禁在混凝土浇筑中擅自移动或割除钢筋。</w:t>
      </w:r>
    </w:p>
    <w:p>
      <w:pPr>
        <w:pStyle w:val="22"/>
        <w:snapToGrid w:val="0"/>
        <w:spacing w:beforeAutospacing="0" w:afterAutospacing="0" w:line="360" w:lineRule="exact"/>
        <w:ind w:firstLine="420" w:firstLineChars="200"/>
        <w:jc w:val="both"/>
        <w:rPr>
          <w:rFonts w:ascii="宋体" w:hAnsi="宋体"/>
          <w:kern w:val="2"/>
          <w:sz w:val="21"/>
          <w:szCs w:val="21"/>
        </w:rPr>
      </w:pPr>
      <w:r>
        <w:rPr>
          <w:rFonts w:ascii="宋体" w:hAnsi="宋体"/>
          <w:kern w:val="2"/>
          <w:sz w:val="21"/>
          <w:szCs w:val="21"/>
        </w:rPr>
        <w:t>（5）钢筋的安装和清理完成后，承包人应会同监理人在混凝土浇筑前进行检查和验收，并做好记录，经监理人批准后，才能浇筑混凝土。</w:t>
      </w:r>
    </w:p>
    <w:p>
      <w:pPr>
        <w:pStyle w:val="6"/>
        <w:snapToGrid w:val="0"/>
        <w:spacing w:line="360" w:lineRule="exact"/>
        <w:rPr>
          <w:rFonts w:ascii="宋体" w:hAnsi="宋体" w:eastAsia="宋体"/>
          <w:snapToGrid w:val="0"/>
          <w:sz w:val="21"/>
          <w:szCs w:val="21"/>
        </w:rPr>
      </w:pPr>
      <w:bookmarkStart w:id="733" w:name="_Toc1498"/>
      <w:bookmarkStart w:id="734" w:name="_Toc339983452"/>
      <w:bookmarkStart w:id="735" w:name="_Toc339482546"/>
      <w:bookmarkStart w:id="736" w:name="_Toc336325382"/>
      <w:bookmarkStart w:id="737" w:name="_Toc339224680"/>
      <w:bookmarkStart w:id="738" w:name="_Toc341965054"/>
      <w:r>
        <w:rPr>
          <w:rFonts w:ascii="宋体" w:hAnsi="宋体" w:eastAsia="宋体"/>
          <w:snapToGrid w:val="0"/>
          <w:sz w:val="21"/>
          <w:szCs w:val="21"/>
        </w:rPr>
        <w:t>8.5 混凝土（含钢筋混凝土）</w:t>
      </w:r>
      <w:bookmarkEnd w:id="733"/>
      <w:bookmarkEnd w:id="734"/>
      <w:bookmarkEnd w:id="735"/>
      <w:bookmarkEnd w:id="736"/>
      <w:bookmarkEnd w:id="737"/>
      <w:bookmarkEnd w:id="738"/>
    </w:p>
    <w:p>
      <w:pPr>
        <w:pStyle w:val="22"/>
        <w:snapToGrid w:val="0"/>
        <w:spacing w:beforeAutospacing="0" w:afterAutospacing="0" w:line="360" w:lineRule="exact"/>
        <w:ind w:firstLine="420" w:firstLineChars="200"/>
        <w:jc w:val="both"/>
        <w:rPr>
          <w:rFonts w:ascii="宋体" w:hAnsi="宋体"/>
          <w:kern w:val="2"/>
          <w:sz w:val="21"/>
          <w:szCs w:val="21"/>
        </w:rPr>
      </w:pPr>
      <w:r>
        <w:rPr>
          <w:rFonts w:ascii="宋体" w:hAnsi="宋体"/>
          <w:kern w:val="2"/>
          <w:sz w:val="21"/>
          <w:szCs w:val="21"/>
        </w:rPr>
        <w:t>混凝土的材料、配合比设计及拌和应按本章第8.2节的规定执行。</w:t>
      </w:r>
    </w:p>
    <w:p>
      <w:pPr>
        <w:pStyle w:val="7"/>
        <w:snapToGrid w:val="0"/>
        <w:spacing w:line="360" w:lineRule="exact"/>
        <w:rPr>
          <w:rFonts w:ascii="宋体" w:hAnsi="宋体" w:eastAsia="宋体"/>
          <w:sz w:val="21"/>
          <w:szCs w:val="21"/>
        </w:rPr>
      </w:pPr>
      <w:r>
        <w:rPr>
          <w:rFonts w:ascii="宋体" w:hAnsi="宋体" w:eastAsia="宋体"/>
          <w:sz w:val="21"/>
          <w:szCs w:val="21"/>
        </w:rPr>
        <w:t>8.5.1混凝土运输</w:t>
      </w:r>
    </w:p>
    <w:p>
      <w:pPr>
        <w:pStyle w:val="22"/>
        <w:snapToGrid w:val="0"/>
        <w:spacing w:beforeAutospacing="0" w:afterAutospacing="0" w:line="360" w:lineRule="exact"/>
        <w:ind w:firstLine="420" w:firstLineChars="200"/>
        <w:jc w:val="both"/>
        <w:rPr>
          <w:rFonts w:ascii="宋体" w:hAnsi="宋体"/>
          <w:kern w:val="2"/>
          <w:sz w:val="21"/>
          <w:szCs w:val="21"/>
        </w:rPr>
      </w:pPr>
      <w:r>
        <w:rPr>
          <w:rFonts w:ascii="宋体" w:hAnsi="宋体"/>
          <w:kern w:val="2"/>
          <w:sz w:val="21"/>
          <w:szCs w:val="21"/>
        </w:rPr>
        <w:t>混凝土运输应遵守DL/T 5144—2001第7.2节的规定。</w:t>
      </w:r>
    </w:p>
    <w:p>
      <w:pPr>
        <w:pStyle w:val="7"/>
        <w:snapToGrid w:val="0"/>
        <w:spacing w:line="360" w:lineRule="exact"/>
        <w:rPr>
          <w:rFonts w:ascii="宋体" w:hAnsi="宋体" w:eastAsia="宋体"/>
          <w:sz w:val="21"/>
          <w:szCs w:val="21"/>
        </w:rPr>
      </w:pPr>
      <w:r>
        <w:rPr>
          <w:rFonts w:ascii="宋体" w:hAnsi="宋体" w:eastAsia="宋体"/>
          <w:sz w:val="21"/>
          <w:szCs w:val="21"/>
        </w:rPr>
        <w:t>8.5.</w:t>
      </w:r>
      <w:r>
        <w:rPr>
          <w:rFonts w:hint="eastAsia" w:ascii="宋体" w:hAnsi="宋体" w:eastAsia="宋体"/>
          <w:sz w:val="21"/>
          <w:szCs w:val="21"/>
        </w:rPr>
        <w:t xml:space="preserve">2 </w:t>
      </w:r>
      <w:r>
        <w:rPr>
          <w:rFonts w:ascii="宋体" w:hAnsi="宋体" w:eastAsia="宋体"/>
          <w:sz w:val="21"/>
          <w:szCs w:val="21"/>
        </w:rPr>
        <w:t>混凝土浇筑</w:t>
      </w:r>
    </w:p>
    <w:p>
      <w:pPr>
        <w:pStyle w:val="22"/>
        <w:snapToGrid w:val="0"/>
        <w:spacing w:beforeAutospacing="0" w:afterAutospacing="0" w:line="360" w:lineRule="exact"/>
        <w:ind w:firstLine="420" w:firstLineChars="200"/>
        <w:jc w:val="both"/>
        <w:rPr>
          <w:rFonts w:ascii="宋体" w:hAnsi="宋体"/>
          <w:kern w:val="2"/>
          <w:sz w:val="21"/>
          <w:szCs w:val="21"/>
        </w:rPr>
      </w:pPr>
      <w:r>
        <w:rPr>
          <w:rFonts w:ascii="宋体" w:hAnsi="宋体"/>
          <w:kern w:val="2"/>
          <w:sz w:val="21"/>
          <w:szCs w:val="21"/>
        </w:rPr>
        <w:t>（1）浇筑前准备应遵守DL/T 5144—2001第7.3.1~7.3.4条的规定。</w:t>
      </w:r>
    </w:p>
    <w:p>
      <w:pPr>
        <w:pStyle w:val="22"/>
        <w:snapToGrid w:val="0"/>
        <w:spacing w:beforeAutospacing="0" w:afterAutospacing="0" w:line="360" w:lineRule="exact"/>
        <w:ind w:firstLine="420" w:firstLineChars="200"/>
        <w:jc w:val="both"/>
        <w:rPr>
          <w:rFonts w:ascii="宋体" w:hAnsi="宋体"/>
          <w:kern w:val="2"/>
          <w:sz w:val="21"/>
          <w:szCs w:val="21"/>
        </w:rPr>
      </w:pPr>
      <w:r>
        <w:rPr>
          <w:rFonts w:ascii="宋体" w:hAnsi="宋体"/>
          <w:kern w:val="2"/>
          <w:sz w:val="21"/>
          <w:szCs w:val="21"/>
        </w:rPr>
        <w:t>（2）在岩基或软基建基面的浇筑混凝土浇筑应遵守DL/T 5144—2001第7.3节的规定。</w:t>
      </w:r>
    </w:p>
    <w:p>
      <w:pPr>
        <w:pStyle w:val="22"/>
        <w:snapToGrid w:val="0"/>
        <w:spacing w:beforeAutospacing="0" w:afterAutospacing="0" w:line="360" w:lineRule="exact"/>
        <w:ind w:firstLine="420" w:firstLineChars="200"/>
        <w:jc w:val="both"/>
        <w:rPr>
          <w:rFonts w:ascii="宋体" w:hAnsi="宋体"/>
          <w:kern w:val="2"/>
          <w:sz w:val="21"/>
          <w:szCs w:val="21"/>
        </w:rPr>
      </w:pPr>
      <w:r>
        <w:rPr>
          <w:rFonts w:ascii="宋体" w:hAnsi="宋体"/>
          <w:kern w:val="2"/>
          <w:sz w:val="21"/>
          <w:szCs w:val="21"/>
        </w:rPr>
        <w:t>（3）混凝土分层浇筑作业应遵守DL/T 5144—2001第7.3.6~7.3.8条的有关规定。</w:t>
      </w:r>
    </w:p>
    <w:p>
      <w:pPr>
        <w:pStyle w:val="22"/>
        <w:snapToGrid w:val="0"/>
        <w:spacing w:beforeAutospacing="0" w:afterAutospacing="0" w:line="360" w:lineRule="exact"/>
        <w:ind w:firstLine="420" w:firstLineChars="200"/>
        <w:jc w:val="both"/>
        <w:rPr>
          <w:rFonts w:ascii="宋体" w:hAnsi="宋体"/>
          <w:kern w:val="2"/>
          <w:sz w:val="21"/>
          <w:szCs w:val="21"/>
        </w:rPr>
      </w:pPr>
      <w:r>
        <w:rPr>
          <w:rFonts w:ascii="宋体" w:hAnsi="宋体"/>
          <w:kern w:val="2"/>
          <w:sz w:val="21"/>
          <w:szCs w:val="21"/>
        </w:rPr>
        <w:t>（4）混凝土浇筑的振捣应遵守DL/T 5144—2001第7.3.9条的规定。</w:t>
      </w:r>
    </w:p>
    <w:p>
      <w:pPr>
        <w:pStyle w:val="22"/>
        <w:snapToGrid w:val="0"/>
        <w:spacing w:beforeAutospacing="0" w:afterAutospacing="0" w:line="360" w:lineRule="exact"/>
        <w:ind w:firstLine="420" w:firstLineChars="200"/>
        <w:jc w:val="both"/>
        <w:rPr>
          <w:rFonts w:ascii="宋体" w:hAnsi="宋体"/>
          <w:kern w:val="2"/>
          <w:sz w:val="21"/>
          <w:szCs w:val="21"/>
        </w:rPr>
      </w:pPr>
      <w:r>
        <w:rPr>
          <w:rFonts w:ascii="宋体" w:hAnsi="宋体"/>
          <w:kern w:val="2"/>
          <w:sz w:val="21"/>
          <w:szCs w:val="21"/>
        </w:rPr>
        <w:t>（5）混凝土浇筑应保持连续性，浇筑混凝土允许间歇时间应通过试验确定，并应遵守DL/T 5144—2001第7.3.11条的有关规定。</w:t>
      </w:r>
    </w:p>
    <w:p>
      <w:pPr>
        <w:pStyle w:val="22"/>
        <w:snapToGrid w:val="0"/>
        <w:spacing w:beforeAutospacing="0" w:afterAutospacing="0" w:line="360" w:lineRule="exact"/>
        <w:ind w:firstLine="420" w:firstLineChars="200"/>
        <w:jc w:val="both"/>
        <w:rPr>
          <w:rFonts w:ascii="宋体" w:hAnsi="宋体"/>
          <w:kern w:val="2"/>
          <w:sz w:val="21"/>
          <w:szCs w:val="21"/>
        </w:rPr>
      </w:pPr>
      <w:r>
        <w:rPr>
          <w:rFonts w:ascii="宋体" w:hAnsi="宋体"/>
          <w:kern w:val="2"/>
          <w:sz w:val="21"/>
          <w:szCs w:val="21"/>
        </w:rPr>
        <w:t>（6）应在混凝土浇筑工艺设计中，根据搅拌、运输和浇筑的设备能力、振捣性能及气温等因素，详细确定混凝土浇筑层厚度。其浇筑层允许最大厚度应参照DL/T 5144—2001表7.3.7的有关数据选定。</w:t>
      </w:r>
    </w:p>
    <w:p>
      <w:pPr>
        <w:pStyle w:val="22"/>
        <w:snapToGrid w:val="0"/>
        <w:spacing w:beforeAutospacing="0" w:afterAutospacing="0" w:line="360" w:lineRule="exact"/>
        <w:ind w:firstLine="420" w:firstLineChars="200"/>
        <w:jc w:val="both"/>
        <w:rPr>
          <w:rFonts w:ascii="宋体" w:hAnsi="宋体"/>
          <w:kern w:val="2"/>
          <w:sz w:val="21"/>
          <w:szCs w:val="21"/>
        </w:rPr>
      </w:pPr>
      <w:r>
        <w:rPr>
          <w:rFonts w:ascii="宋体" w:hAnsi="宋体"/>
          <w:kern w:val="2"/>
          <w:sz w:val="21"/>
          <w:szCs w:val="21"/>
        </w:rPr>
        <w:t>（7）混凝土浇筑施工缝的处理应按DL/T 5144—2001第7.3.14条的规定执行。</w:t>
      </w:r>
    </w:p>
    <w:p>
      <w:pPr>
        <w:pStyle w:val="7"/>
        <w:snapToGrid w:val="0"/>
        <w:spacing w:line="360" w:lineRule="exact"/>
        <w:rPr>
          <w:rFonts w:ascii="宋体" w:hAnsi="宋体" w:eastAsia="宋体"/>
          <w:sz w:val="21"/>
          <w:szCs w:val="21"/>
        </w:rPr>
      </w:pPr>
      <w:r>
        <w:rPr>
          <w:rFonts w:ascii="宋体" w:hAnsi="宋体" w:eastAsia="宋体"/>
          <w:sz w:val="21"/>
          <w:szCs w:val="21"/>
        </w:rPr>
        <w:t>8.5.3混凝土养护</w:t>
      </w:r>
    </w:p>
    <w:p>
      <w:pPr>
        <w:pStyle w:val="22"/>
        <w:snapToGrid w:val="0"/>
        <w:spacing w:beforeAutospacing="0" w:afterAutospacing="0" w:line="360" w:lineRule="exact"/>
        <w:ind w:firstLine="420" w:firstLineChars="200"/>
        <w:jc w:val="both"/>
        <w:rPr>
          <w:rFonts w:ascii="宋体" w:hAnsi="宋体"/>
          <w:kern w:val="2"/>
          <w:sz w:val="21"/>
          <w:szCs w:val="21"/>
        </w:rPr>
      </w:pPr>
      <w:r>
        <w:rPr>
          <w:rFonts w:ascii="宋体" w:hAnsi="宋体"/>
          <w:kern w:val="2"/>
          <w:sz w:val="21"/>
          <w:szCs w:val="21"/>
        </w:rPr>
        <w:t>混凝土养护应遵守DL/T 5144—2001第7.5节的有关规定。</w:t>
      </w:r>
    </w:p>
    <w:p>
      <w:pPr>
        <w:pStyle w:val="7"/>
        <w:snapToGrid w:val="0"/>
        <w:spacing w:line="360" w:lineRule="exact"/>
        <w:rPr>
          <w:rFonts w:ascii="宋体" w:hAnsi="宋体" w:eastAsia="宋体"/>
          <w:sz w:val="21"/>
          <w:szCs w:val="21"/>
        </w:rPr>
      </w:pPr>
      <w:r>
        <w:rPr>
          <w:rFonts w:ascii="宋体" w:hAnsi="宋体" w:eastAsia="宋体"/>
          <w:sz w:val="21"/>
          <w:szCs w:val="21"/>
        </w:rPr>
        <w:t>8.5.4混凝土温度控制</w:t>
      </w:r>
    </w:p>
    <w:p>
      <w:pPr>
        <w:pStyle w:val="22"/>
        <w:snapToGrid w:val="0"/>
        <w:spacing w:beforeAutospacing="0" w:afterAutospacing="0" w:line="360" w:lineRule="exact"/>
        <w:ind w:firstLine="420" w:firstLineChars="200"/>
        <w:jc w:val="both"/>
        <w:rPr>
          <w:rFonts w:ascii="宋体" w:hAnsi="宋体"/>
          <w:kern w:val="2"/>
          <w:sz w:val="21"/>
          <w:szCs w:val="21"/>
        </w:rPr>
      </w:pPr>
      <w:r>
        <w:rPr>
          <w:rFonts w:ascii="宋体" w:hAnsi="宋体"/>
          <w:kern w:val="2"/>
          <w:sz w:val="21"/>
          <w:szCs w:val="21"/>
        </w:rPr>
        <w:t>承包人应根据本合同施工图纸所设置的混凝土工程建筑物的浇筑纵横缝、分层厚度、浇筑间歇时间、混凝土允许最高温度及其它温度控制要求，编制温度控制措施技术文件，提交监理人批准；</w:t>
      </w:r>
    </w:p>
    <w:p>
      <w:pPr>
        <w:pStyle w:val="22"/>
        <w:snapToGrid w:val="0"/>
        <w:spacing w:beforeAutospacing="0" w:afterAutospacing="0" w:line="360" w:lineRule="exact"/>
        <w:ind w:firstLine="420" w:firstLineChars="200"/>
        <w:jc w:val="both"/>
        <w:rPr>
          <w:rFonts w:ascii="宋体" w:hAnsi="宋体"/>
          <w:kern w:val="2"/>
          <w:sz w:val="21"/>
          <w:szCs w:val="21"/>
        </w:rPr>
      </w:pPr>
      <w:r>
        <w:rPr>
          <w:rFonts w:ascii="宋体" w:hAnsi="宋体"/>
          <w:kern w:val="2"/>
          <w:sz w:val="21"/>
          <w:szCs w:val="21"/>
        </w:rPr>
        <w:t>承包人应采取有效措施控制混凝土搅拌机出机口温度，以及运输、浇筑过程中的温度回升，混凝土允许浇筑温度应符合本合同技术条款和施工图纸的要求；</w:t>
      </w:r>
    </w:p>
    <w:p>
      <w:pPr>
        <w:pStyle w:val="22"/>
        <w:snapToGrid w:val="0"/>
        <w:spacing w:beforeAutospacing="0" w:afterAutospacing="0" w:line="360" w:lineRule="exact"/>
        <w:ind w:firstLine="420" w:firstLineChars="200"/>
        <w:jc w:val="both"/>
        <w:rPr>
          <w:rFonts w:ascii="宋体" w:hAnsi="宋体"/>
          <w:kern w:val="2"/>
          <w:sz w:val="21"/>
          <w:szCs w:val="21"/>
        </w:rPr>
      </w:pPr>
      <w:r>
        <w:rPr>
          <w:rFonts w:ascii="宋体" w:hAnsi="宋体"/>
          <w:kern w:val="2"/>
          <w:sz w:val="21"/>
          <w:szCs w:val="21"/>
        </w:rPr>
        <w:t>为提高混凝土抗裂能力，混凝土质量除应满足强度保证率要求外，还至少应达到DL/T5144—2001表11.5.1</w:t>
      </w:r>
      <w:r>
        <w:rPr>
          <w:rFonts w:hint="eastAsia" w:ascii="宋体" w:hAnsi="宋体"/>
          <w:kern w:val="2"/>
          <w:sz w:val="21"/>
          <w:szCs w:val="21"/>
        </w:rPr>
        <w:t>1</w:t>
      </w:r>
      <w:r>
        <w:rPr>
          <w:rFonts w:ascii="宋体" w:hAnsi="宋体"/>
          <w:kern w:val="2"/>
          <w:sz w:val="21"/>
          <w:szCs w:val="21"/>
        </w:rPr>
        <w:t>中混凝土生产质量优良的等级水平。</w:t>
      </w:r>
    </w:p>
    <w:p>
      <w:pPr>
        <w:pStyle w:val="22"/>
        <w:snapToGrid w:val="0"/>
        <w:spacing w:beforeAutospacing="0" w:afterAutospacing="0" w:line="360" w:lineRule="exact"/>
        <w:ind w:firstLine="420" w:firstLineChars="200"/>
        <w:jc w:val="both"/>
        <w:rPr>
          <w:rFonts w:ascii="宋体" w:hAnsi="宋体"/>
          <w:kern w:val="2"/>
          <w:sz w:val="21"/>
          <w:szCs w:val="21"/>
        </w:rPr>
      </w:pPr>
      <w:r>
        <w:rPr>
          <w:rFonts w:ascii="宋体" w:hAnsi="宋体"/>
          <w:kern w:val="2"/>
          <w:sz w:val="21"/>
          <w:szCs w:val="21"/>
        </w:rPr>
        <w:t>混凝土表面保护应遵守DL/T 5144—2001第7.2.4条的规定。混凝土低温季节施工应遵守DL/T5144—2001第9章的有关规定。</w:t>
      </w:r>
    </w:p>
    <w:p>
      <w:pPr>
        <w:pStyle w:val="7"/>
        <w:snapToGrid w:val="0"/>
        <w:spacing w:line="360" w:lineRule="exact"/>
        <w:rPr>
          <w:rFonts w:ascii="宋体" w:hAnsi="宋体" w:eastAsia="宋体"/>
          <w:sz w:val="21"/>
          <w:szCs w:val="21"/>
        </w:rPr>
      </w:pPr>
      <w:r>
        <w:rPr>
          <w:rFonts w:ascii="宋体" w:hAnsi="宋体" w:eastAsia="宋体"/>
          <w:sz w:val="21"/>
          <w:szCs w:val="21"/>
        </w:rPr>
        <w:t>8.5.</w:t>
      </w:r>
      <w:r>
        <w:rPr>
          <w:rFonts w:hint="eastAsia" w:ascii="宋体" w:hAnsi="宋体" w:eastAsia="宋体"/>
          <w:sz w:val="21"/>
          <w:szCs w:val="21"/>
        </w:rPr>
        <w:t>5</w:t>
      </w:r>
      <w:r>
        <w:rPr>
          <w:rFonts w:ascii="宋体" w:hAnsi="宋体" w:eastAsia="宋体"/>
          <w:sz w:val="21"/>
          <w:szCs w:val="21"/>
        </w:rPr>
        <w:t>止水、伸缩缝和排水</w:t>
      </w:r>
    </w:p>
    <w:p>
      <w:pPr>
        <w:pStyle w:val="22"/>
        <w:snapToGrid w:val="0"/>
        <w:spacing w:beforeAutospacing="0" w:afterAutospacing="0" w:line="360" w:lineRule="exact"/>
        <w:ind w:firstLine="420" w:firstLineChars="200"/>
        <w:jc w:val="both"/>
        <w:rPr>
          <w:rFonts w:ascii="宋体" w:hAnsi="宋体"/>
          <w:kern w:val="2"/>
          <w:sz w:val="21"/>
          <w:szCs w:val="21"/>
        </w:rPr>
      </w:pPr>
      <w:r>
        <w:rPr>
          <w:rFonts w:ascii="宋体" w:hAnsi="宋体"/>
          <w:kern w:val="2"/>
          <w:sz w:val="21"/>
          <w:szCs w:val="21"/>
        </w:rPr>
        <w:t>止水、伸缩缝和排水施工应遵守DL/T 5144—2001第10.2节的有关规定。</w:t>
      </w:r>
    </w:p>
    <w:p>
      <w:pPr>
        <w:pStyle w:val="7"/>
        <w:snapToGrid w:val="0"/>
        <w:spacing w:line="360" w:lineRule="exact"/>
        <w:rPr>
          <w:rFonts w:ascii="宋体" w:hAnsi="宋体" w:eastAsia="宋体"/>
          <w:sz w:val="21"/>
          <w:szCs w:val="21"/>
        </w:rPr>
      </w:pPr>
      <w:r>
        <w:rPr>
          <w:rFonts w:ascii="宋体" w:hAnsi="宋体" w:eastAsia="宋体"/>
          <w:sz w:val="21"/>
          <w:szCs w:val="21"/>
        </w:rPr>
        <w:t>8.5.</w:t>
      </w:r>
      <w:r>
        <w:rPr>
          <w:rFonts w:hint="eastAsia" w:ascii="宋体" w:hAnsi="宋体" w:eastAsia="宋体"/>
          <w:sz w:val="21"/>
          <w:szCs w:val="21"/>
        </w:rPr>
        <w:t xml:space="preserve">6 </w:t>
      </w:r>
      <w:r>
        <w:rPr>
          <w:rFonts w:ascii="宋体" w:hAnsi="宋体" w:eastAsia="宋体"/>
          <w:sz w:val="21"/>
          <w:szCs w:val="21"/>
        </w:rPr>
        <w:t>质量检查和验收</w:t>
      </w:r>
    </w:p>
    <w:p>
      <w:pPr>
        <w:pStyle w:val="22"/>
        <w:snapToGrid w:val="0"/>
        <w:spacing w:beforeAutospacing="0" w:afterAutospacing="0" w:line="360" w:lineRule="exact"/>
        <w:ind w:firstLine="420" w:firstLineChars="200"/>
        <w:jc w:val="both"/>
        <w:rPr>
          <w:rFonts w:ascii="宋体" w:hAnsi="宋体"/>
          <w:kern w:val="2"/>
          <w:sz w:val="21"/>
          <w:szCs w:val="21"/>
        </w:rPr>
      </w:pPr>
      <w:r>
        <w:rPr>
          <w:rFonts w:ascii="宋体" w:hAnsi="宋体"/>
          <w:kern w:val="2"/>
          <w:sz w:val="21"/>
          <w:szCs w:val="21"/>
        </w:rPr>
        <w:t>（1）混凝土原材料的质量检验和验收</w:t>
      </w:r>
    </w:p>
    <w:p>
      <w:pPr>
        <w:pStyle w:val="22"/>
        <w:snapToGrid w:val="0"/>
        <w:spacing w:beforeAutospacing="0" w:afterAutospacing="0" w:line="360" w:lineRule="exact"/>
        <w:ind w:firstLine="420" w:firstLineChars="200"/>
        <w:jc w:val="both"/>
        <w:rPr>
          <w:rFonts w:ascii="宋体" w:hAnsi="宋体"/>
          <w:kern w:val="2"/>
          <w:sz w:val="21"/>
          <w:szCs w:val="21"/>
        </w:rPr>
      </w:pPr>
      <w:r>
        <w:rPr>
          <w:rFonts w:ascii="宋体" w:hAnsi="宋体"/>
          <w:kern w:val="2"/>
          <w:sz w:val="21"/>
          <w:szCs w:val="21"/>
        </w:rPr>
        <w:t>承包人应会同监理人，按本章第8.2.1条的规定，对本工程混凝土原材料进行现场抽样检验和入库验收，检验成果应提交监理人。</w:t>
      </w:r>
    </w:p>
    <w:p>
      <w:pPr>
        <w:pStyle w:val="22"/>
        <w:snapToGrid w:val="0"/>
        <w:spacing w:beforeAutospacing="0" w:afterAutospacing="0" w:line="360" w:lineRule="exact"/>
        <w:ind w:firstLine="420" w:firstLineChars="200"/>
        <w:jc w:val="both"/>
        <w:rPr>
          <w:rFonts w:ascii="宋体" w:hAnsi="宋体"/>
          <w:kern w:val="2"/>
          <w:sz w:val="21"/>
          <w:szCs w:val="21"/>
        </w:rPr>
      </w:pPr>
      <w:r>
        <w:rPr>
          <w:rFonts w:ascii="宋体" w:hAnsi="宋体"/>
          <w:kern w:val="2"/>
          <w:sz w:val="21"/>
          <w:szCs w:val="21"/>
        </w:rPr>
        <w:t>（2）混凝土拌和物的质量检验</w:t>
      </w:r>
    </w:p>
    <w:p>
      <w:pPr>
        <w:pStyle w:val="22"/>
        <w:snapToGrid w:val="0"/>
        <w:spacing w:beforeAutospacing="0" w:afterAutospacing="0" w:line="360" w:lineRule="exact"/>
        <w:ind w:firstLine="420" w:firstLineChars="200"/>
        <w:jc w:val="both"/>
        <w:rPr>
          <w:rFonts w:ascii="宋体" w:hAnsi="宋体"/>
          <w:kern w:val="2"/>
          <w:sz w:val="21"/>
          <w:szCs w:val="21"/>
        </w:rPr>
      </w:pPr>
      <w:r>
        <w:rPr>
          <w:rFonts w:ascii="宋体" w:hAnsi="宋体"/>
          <w:kern w:val="2"/>
          <w:sz w:val="21"/>
          <w:szCs w:val="21"/>
        </w:rPr>
        <w:t>承包人应会同监理人，按本章第8.2.3条的规定进行混凝土拌和物的现场抽样检验，检验成果应提交监理人。</w:t>
      </w:r>
    </w:p>
    <w:p>
      <w:pPr>
        <w:pStyle w:val="22"/>
        <w:snapToGrid w:val="0"/>
        <w:spacing w:beforeAutospacing="0" w:afterAutospacing="0" w:line="360" w:lineRule="exact"/>
        <w:ind w:firstLine="420" w:firstLineChars="200"/>
        <w:jc w:val="both"/>
        <w:rPr>
          <w:rFonts w:ascii="宋体" w:hAnsi="宋体"/>
          <w:kern w:val="2"/>
          <w:sz w:val="21"/>
          <w:szCs w:val="21"/>
        </w:rPr>
      </w:pPr>
      <w:r>
        <w:rPr>
          <w:rFonts w:ascii="宋体" w:hAnsi="宋体"/>
          <w:kern w:val="2"/>
          <w:sz w:val="21"/>
          <w:szCs w:val="21"/>
        </w:rPr>
        <w:t>（3）建筑物的混凝土浇筑和成型质量的检查和验收：</w:t>
      </w:r>
    </w:p>
    <w:p>
      <w:pPr>
        <w:pStyle w:val="22"/>
        <w:snapToGrid w:val="0"/>
        <w:spacing w:beforeAutospacing="0" w:afterAutospacing="0" w:line="360" w:lineRule="exact"/>
        <w:ind w:firstLine="420" w:firstLineChars="200"/>
        <w:jc w:val="both"/>
        <w:rPr>
          <w:rFonts w:ascii="宋体" w:hAnsi="宋体"/>
          <w:kern w:val="2"/>
          <w:sz w:val="21"/>
          <w:szCs w:val="21"/>
        </w:rPr>
      </w:pPr>
      <w:r>
        <w:rPr>
          <w:rFonts w:ascii="宋体" w:hAnsi="宋体"/>
          <w:kern w:val="2"/>
          <w:sz w:val="21"/>
          <w:szCs w:val="21"/>
        </w:rPr>
        <w:t>1）建基面混凝土浇筑前，应由承包人会同监理人对建基面的测量放样成果和建基面的基础清理质量进行检查与验收；</w:t>
      </w:r>
    </w:p>
    <w:p>
      <w:pPr>
        <w:pStyle w:val="22"/>
        <w:snapToGrid w:val="0"/>
        <w:spacing w:beforeAutospacing="0" w:afterAutospacing="0" w:line="360" w:lineRule="exact"/>
        <w:ind w:firstLine="420" w:firstLineChars="200"/>
        <w:jc w:val="both"/>
        <w:rPr>
          <w:rFonts w:ascii="宋体" w:hAnsi="宋体"/>
          <w:kern w:val="2"/>
          <w:sz w:val="21"/>
          <w:szCs w:val="21"/>
        </w:rPr>
      </w:pPr>
      <w:r>
        <w:rPr>
          <w:rFonts w:ascii="宋体" w:hAnsi="宋体"/>
          <w:kern w:val="2"/>
          <w:sz w:val="21"/>
          <w:szCs w:val="21"/>
        </w:rPr>
        <w:t>2）混凝土浇筑过程中，承包人应会同监理人对混凝土建筑物的测量放样成果进行检查和验收。其测量放样成果应提交监理人；</w:t>
      </w:r>
    </w:p>
    <w:p>
      <w:pPr>
        <w:pStyle w:val="22"/>
        <w:snapToGrid w:val="0"/>
        <w:spacing w:beforeAutospacing="0" w:afterAutospacing="0" w:line="360" w:lineRule="exact"/>
        <w:ind w:firstLine="420" w:firstLineChars="200"/>
        <w:jc w:val="both"/>
        <w:rPr>
          <w:rFonts w:ascii="宋体" w:hAnsi="宋体"/>
          <w:kern w:val="2"/>
          <w:sz w:val="21"/>
          <w:szCs w:val="21"/>
        </w:rPr>
      </w:pPr>
      <w:r>
        <w:rPr>
          <w:rFonts w:ascii="宋体" w:hAnsi="宋体"/>
          <w:kern w:val="2"/>
          <w:sz w:val="21"/>
          <w:szCs w:val="21"/>
        </w:rPr>
        <w:t>3）监理人应会同承包人按DL/T 5144—2001的有关规定，对现场浇筑的混凝土的强度、浇筑温度和坝体内温度进行检验和检测，其检验和检测成果应提交监理人；</w:t>
      </w:r>
    </w:p>
    <w:p>
      <w:pPr>
        <w:pStyle w:val="22"/>
        <w:snapToGrid w:val="0"/>
        <w:spacing w:beforeAutospacing="0" w:afterAutospacing="0" w:line="360" w:lineRule="exact"/>
        <w:ind w:firstLine="420" w:firstLineChars="200"/>
        <w:jc w:val="both"/>
        <w:rPr>
          <w:rFonts w:ascii="宋体" w:hAnsi="宋体"/>
          <w:kern w:val="2"/>
          <w:sz w:val="21"/>
          <w:szCs w:val="21"/>
        </w:rPr>
      </w:pPr>
      <w:r>
        <w:rPr>
          <w:rFonts w:ascii="宋体" w:hAnsi="宋体"/>
          <w:kern w:val="2"/>
          <w:sz w:val="21"/>
          <w:szCs w:val="21"/>
        </w:rPr>
        <w:t>4）混凝土浇筑过程中，承包人会同监理人对各浇筑面的施工浇筑质量和养护质量，以及各种埋设件的埋设质量进行质量检查和验收，检查和验收记录应提交监理人；</w:t>
      </w:r>
    </w:p>
    <w:p>
      <w:pPr>
        <w:pStyle w:val="22"/>
        <w:snapToGrid w:val="0"/>
        <w:spacing w:beforeAutospacing="0" w:afterAutospacing="0" w:line="360" w:lineRule="exact"/>
        <w:ind w:firstLine="420" w:firstLineChars="200"/>
        <w:jc w:val="both"/>
        <w:rPr>
          <w:rFonts w:ascii="宋体" w:hAnsi="宋体"/>
          <w:kern w:val="2"/>
          <w:sz w:val="21"/>
          <w:szCs w:val="21"/>
        </w:rPr>
      </w:pPr>
      <w:r>
        <w:rPr>
          <w:rFonts w:ascii="宋体" w:hAnsi="宋体"/>
          <w:kern w:val="2"/>
          <w:sz w:val="21"/>
          <w:szCs w:val="21"/>
        </w:rPr>
        <w:t>5）混凝土工程建筑物浇筑完成后，承包人应会同监理人对混凝土工程建筑物永久结构面的成型质量进行检查和验收。检查和验收记录应提交监理人。</w:t>
      </w:r>
    </w:p>
    <w:p>
      <w:pPr>
        <w:pStyle w:val="22"/>
        <w:snapToGrid w:val="0"/>
        <w:spacing w:beforeAutospacing="0" w:afterAutospacing="0" w:line="360" w:lineRule="exact"/>
        <w:ind w:firstLine="420" w:firstLineChars="200"/>
        <w:jc w:val="both"/>
        <w:rPr>
          <w:rFonts w:ascii="宋体" w:hAnsi="宋体"/>
          <w:kern w:val="2"/>
          <w:sz w:val="21"/>
          <w:szCs w:val="21"/>
        </w:rPr>
      </w:pPr>
      <w:r>
        <w:rPr>
          <w:rFonts w:ascii="宋体" w:hAnsi="宋体"/>
          <w:kern w:val="2"/>
          <w:sz w:val="21"/>
          <w:szCs w:val="21"/>
        </w:rPr>
        <w:t>（</w:t>
      </w:r>
      <w:r>
        <w:rPr>
          <w:rFonts w:hint="eastAsia" w:ascii="宋体" w:hAnsi="宋体"/>
          <w:kern w:val="2"/>
          <w:sz w:val="21"/>
          <w:szCs w:val="21"/>
        </w:rPr>
        <w:t>4</w:t>
      </w:r>
      <w:r>
        <w:rPr>
          <w:rFonts w:ascii="宋体" w:hAnsi="宋体"/>
          <w:kern w:val="2"/>
          <w:sz w:val="21"/>
          <w:szCs w:val="21"/>
        </w:rPr>
        <w:t>）完工验收</w:t>
      </w:r>
    </w:p>
    <w:p>
      <w:pPr>
        <w:pStyle w:val="22"/>
        <w:snapToGrid w:val="0"/>
        <w:spacing w:beforeAutospacing="0" w:afterAutospacing="0" w:line="360" w:lineRule="exact"/>
        <w:ind w:firstLine="420" w:firstLineChars="200"/>
        <w:jc w:val="both"/>
        <w:rPr>
          <w:rFonts w:ascii="宋体" w:hAnsi="宋体"/>
          <w:kern w:val="2"/>
          <w:sz w:val="21"/>
          <w:szCs w:val="21"/>
        </w:rPr>
      </w:pPr>
      <w:r>
        <w:rPr>
          <w:rFonts w:ascii="宋体" w:hAnsi="宋体"/>
          <w:kern w:val="2"/>
          <w:sz w:val="21"/>
          <w:szCs w:val="21"/>
        </w:rPr>
        <w:t>混凝土工程建筑物全部完工后，承包人应向发包人申请完工验收，并提交以下完工资料：</w:t>
      </w:r>
    </w:p>
    <w:p>
      <w:pPr>
        <w:pStyle w:val="22"/>
        <w:snapToGrid w:val="0"/>
        <w:spacing w:beforeAutospacing="0" w:afterAutospacing="0" w:line="360" w:lineRule="exact"/>
        <w:ind w:firstLine="420" w:firstLineChars="200"/>
        <w:jc w:val="both"/>
        <w:rPr>
          <w:rFonts w:ascii="宋体" w:hAnsi="宋体"/>
          <w:kern w:val="2"/>
          <w:sz w:val="21"/>
          <w:szCs w:val="21"/>
        </w:rPr>
      </w:pPr>
      <w:r>
        <w:rPr>
          <w:rFonts w:ascii="宋体" w:hAnsi="宋体"/>
          <w:kern w:val="2"/>
          <w:sz w:val="21"/>
          <w:szCs w:val="21"/>
        </w:rPr>
        <w:t>1）混凝土工程建筑物竣工图（包括布置图和主要结构图）；</w:t>
      </w:r>
    </w:p>
    <w:p>
      <w:pPr>
        <w:pStyle w:val="22"/>
        <w:snapToGrid w:val="0"/>
        <w:spacing w:beforeAutospacing="0" w:afterAutospacing="0" w:line="360" w:lineRule="exact"/>
        <w:ind w:firstLine="420" w:firstLineChars="200"/>
        <w:jc w:val="both"/>
        <w:rPr>
          <w:rFonts w:ascii="宋体" w:hAnsi="宋体"/>
          <w:kern w:val="2"/>
          <w:sz w:val="21"/>
          <w:szCs w:val="21"/>
        </w:rPr>
      </w:pPr>
      <w:r>
        <w:rPr>
          <w:rFonts w:ascii="宋体" w:hAnsi="宋体"/>
          <w:kern w:val="2"/>
          <w:sz w:val="21"/>
          <w:szCs w:val="21"/>
        </w:rPr>
        <w:t>2）混凝土工程建筑物的隐蔽工程及工程隐蔽部位的质量检查验收报告；</w:t>
      </w:r>
    </w:p>
    <w:p>
      <w:pPr>
        <w:pStyle w:val="22"/>
        <w:snapToGrid w:val="0"/>
        <w:spacing w:beforeAutospacing="0" w:afterAutospacing="0" w:line="360" w:lineRule="exact"/>
        <w:ind w:firstLine="420" w:firstLineChars="200"/>
        <w:jc w:val="both"/>
        <w:rPr>
          <w:rFonts w:ascii="宋体" w:hAnsi="宋体"/>
          <w:kern w:val="2"/>
          <w:sz w:val="21"/>
          <w:szCs w:val="21"/>
        </w:rPr>
      </w:pPr>
      <w:r>
        <w:rPr>
          <w:rFonts w:ascii="宋体" w:hAnsi="宋体"/>
          <w:kern w:val="2"/>
          <w:sz w:val="21"/>
          <w:szCs w:val="21"/>
        </w:rPr>
        <w:t>3）混凝土工程建筑物的永久观测设施的竣工资料及建筑物观测成果；</w:t>
      </w:r>
    </w:p>
    <w:p>
      <w:pPr>
        <w:pStyle w:val="22"/>
        <w:snapToGrid w:val="0"/>
        <w:spacing w:beforeAutospacing="0" w:afterAutospacing="0" w:line="360" w:lineRule="exact"/>
        <w:ind w:firstLine="420" w:firstLineChars="200"/>
        <w:jc w:val="both"/>
        <w:rPr>
          <w:rFonts w:ascii="宋体" w:hAnsi="宋体"/>
          <w:kern w:val="2"/>
          <w:sz w:val="21"/>
          <w:szCs w:val="21"/>
        </w:rPr>
      </w:pPr>
      <w:r>
        <w:rPr>
          <w:rFonts w:ascii="宋体" w:hAnsi="宋体"/>
          <w:kern w:val="2"/>
          <w:sz w:val="21"/>
          <w:szCs w:val="21"/>
        </w:rPr>
        <w:t>4）混凝土建筑物的缺陷修补和质量事故处理报告；</w:t>
      </w:r>
    </w:p>
    <w:p>
      <w:pPr>
        <w:pStyle w:val="22"/>
        <w:snapToGrid w:val="0"/>
        <w:spacing w:beforeAutospacing="0" w:afterAutospacing="0" w:line="360" w:lineRule="exact"/>
        <w:ind w:firstLine="420" w:firstLineChars="200"/>
        <w:jc w:val="both"/>
        <w:rPr>
          <w:rFonts w:ascii="宋体" w:hAnsi="宋体"/>
          <w:kern w:val="2"/>
          <w:sz w:val="21"/>
          <w:szCs w:val="21"/>
        </w:rPr>
      </w:pPr>
      <w:r>
        <w:rPr>
          <w:rFonts w:ascii="宋体" w:hAnsi="宋体"/>
          <w:kern w:val="2"/>
          <w:sz w:val="21"/>
          <w:szCs w:val="21"/>
        </w:rPr>
        <w:t>5）混凝土工程建筑物成型复测成果；</w:t>
      </w:r>
    </w:p>
    <w:p>
      <w:pPr>
        <w:pStyle w:val="22"/>
        <w:snapToGrid w:val="0"/>
        <w:spacing w:beforeAutospacing="0" w:afterAutospacing="0" w:line="360" w:lineRule="exact"/>
        <w:ind w:firstLine="420" w:firstLineChars="200"/>
        <w:jc w:val="both"/>
        <w:rPr>
          <w:rFonts w:ascii="宋体" w:hAnsi="宋体"/>
          <w:kern w:val="2"/>
          <w:sz w:val="21"/>
          <w:szCs w:val="21"/>
        </w:rPr>
      </w:pPr>
      <w:r>
        <w:rPr>
          <w:rFonts w:ascii="宋体" w:hAnsi="宋体"/>
          <w:kern w:val="2"/>
          <w:sz w:val="21"/>
          <w:szCs w:val="21"/>
        </w:rPr>
        <w:t>6）监理人要求提交的其它完工资料。</w:t>
      </w:r>
    </w:p>
    <w:p>
      <w:pPr>
        <w:pStyle w:val="6"/>
        <w:snapToGrid w:val="0"/>
        <w:spacing w:line="360" w:lineRule="exact"/>
        <w:rPr>
          <w:rFonts w:ascii="宋体" w:hAnsi="宋体" w:eastAsia="宋体"/>
          <w:snapToGrid w:val="0"/>
          <w:sz w:val="21"/>
          <w:szCs w:val="21"/>
        </w:rPr>
      </w:pPr>
      <w:bookmarkStart w:id="739" w:name="_Toc339482548"/>
      <w:bookmarkStart w:id="740" w:name="_Toc339224682"/>
      <w:bookmarkStart w:id="741" w:name="_Toc16085"/>
      <w:bookmarkStart w:id="742" w:name="_Toc339983454"/>
      <w:bookmarkStart w:id="743" w:name="_Toc341965055"/>
      <w:bookmarkStart w:id="744" w:name="_Toc336325384"/>
      <w:r>
        <w:rPr>
          <w:rFonts w:ascii="宋体" w:hAnsi="宋体" w:eastAsia="宋体"/>
          <w:snapToGrid w:val="0"/>
          <w:sz w:val="21"/>
          <w:szCs w:val="21"/>
        </w:rPr>
        <w:t>8.</w:t>
      </w:r>
      <w:r>
        <w:rPr>
          <w:rFonts w:hint="eastAsia" w:ascii="宋体" w:hAnsi="宋体" w:eastAsia="宋体"/>
          <w:snapToGrid w:val="0"/>
          <w:sz w:val="21"/>
          <w:szCs w:val="21"/>
        </w:rPr>
        <w:t xml:space="preserve">6 </w:t>
      </w:r>
      <w:r>
        <w:rPr>
          <w:rFonts w:ascii="宋体" w:hAnsi="宋体" w:eastAsia="宋体"/>
          <w:snapToGrid w:val="0"/>
          <w:sz w:val="21"/>
          <w:szCs w:val="21"/>
        </w:rPr>
        <w:t>计量和支付</w:t>
      </w:r>
      <w:bookmarkEnd w:id="739"/>
      <w:bookmarkEnd w:id="740"/>
      <w:bookmarkEnd w:id="741"/>
      <w:bookmarkEnd w:id="742"/>
      <w:bookmarkEnd w:id="743"/>
      <w:bookmarkEnd w:id="744"/>
    </w:p>
    <w:p>
      <w:pPr>
        <w:pStyle w:val="7"/>
        <w:snapToGrid w:val="0"/>
        <w:spacing w:line="360" w:lineRule="exact"/>
        <w:rPr>
          <w:rFonts w:ascii="宋体" w:hAnsi="宋体" w:eastAsia="宋体"/>
          <w:sz w:val="21"/>
          <w:szCs w:val="21"/>
        </w:rPr>
      </w:pPr>
      <w:r>
        <w:rPr>
          <w:rFonts w:ascii="宋体" w:hAnsi="宋体" w:eastAsia="宋体"/>
          <w:sz w:val="21"/>
          <w:szCs w:val="21"/>
        </w:rPr>
        <w:t>8.</w:t>
      </w:r>
      <w:r>
        <w:rPr>
          <w:rFonts w:hint="eastAsia" w:ascii="宋体" w:hAnsi="宋体" w:eastAsia="宋体"/>
          <w:sz w:val="21"/>
          <w:szCs w:val="21"/>
        </w:rPr>
        <w:t>6</w:t>
      </w:r>
      <w:r>
        <w:rPr>
          <w:rFonts w:ascii="宋体" w:hAnsi="宋体" w:eastAsia="宋体"/>
          <w:sz w:val="21"/>
          <w:szCs w:val="21"/>
        </w:rPr>
        <w:t>.1模扳</w:t>
      </w:r>
    </w:p>
    <w:p>
      <w:pPr>
        <w:pStyle w:val="22"/>
        <w:snapToGrid w:val="0"/>
        <w:spacing w:beforeAutospacing="0" w:afterAutospacing="0" w:line="360" w:lineRule="exact"/>
        <w:ind w:firstLine="420" w:firstLineChars="200"/>
        <w:jc w:val="both"/>
        <w:rPr>
          <w:rFonts w:ascii="宋体" w:hAnsi="宋体"/>
          <w:sz w:val="21"/>
          <w:szCs w:val="21"/>
        </w:rPr>
      </w:pPr>
      <w:r>
        <w:rPr>
          <w:rFonts w:ascii="宋体" w:hAnsi="宋体"/>
          <w:sz w:val="21"/>
          <w:szCs w:val="21"/>
        </w:rPr>
        <w:t>（1）除合同另有约定外，现浇混凝土的模板费用，包含在《工程量清单》相应混凝土或</w:t>
      </w:r>
      <w:r>
        <w:rPr>
          <w:rFonts w:hint="eastAsia" w:ascii="宋体" w:hAnsi="宋体"/>
          <w:sz w:val="21"/>
          <w:szCs w:val="21"/>
        </w:rPr>
        <w:t>钢</w:t>
      </w:r>
      <w:r>
        <w:rPr>
          <w:rFonts w:ascii="宋体" w:hAnsi="宋体"/>
          <w:sz w:val="21"/>
          <w:szCs w:val="21"/>
        </w:rPr>
        <w:t>筋混凝土项目有效工程量的每立方米工程单价中，发包人不另行计量和支付。</w:t>
      </w:r>
    </w:p>
    <w:p>
      <w:pPr>
        <w:pStyle w:val="22"/>
        <w:snapToGrid w:val="0"/>
        <w:spacing w:beforeAutospacing="0" w:afterAutospacing="0" w:line="360" w:lineRule="exact"/>
        <w:ind w:firstLine="420" w:firstLineChars="200"/>
        <w:jc w:val="both"/>
        <w:rPr>
          <w:rFonts w:ascii="宋体" w:hAnsi="宋体"/>
          <w:sz w:val="21"/>
          <w:szCs w:val="21"/>
        </w:rPr>
      </w:pPr>
      <w:r>
        <w:rPr>
          <w:rFonts w:ascii="宋体" w:hAnsi="宋体"/>
          <w:sz w:val="21"/>
          <w:szCs w:val="21"/>
        </w:rPr>
        <w:t>（2）混凝土预制构件模板所需费用，包含在《工程量清单》相应预制混凝土构件项目有效工程量的工程单价中，发包人不另行支付。</w:t>
      </w:r>
    </w:p>
    <w:p>
      <w:pPr>
        <w:pStyle w:val="7"/>
        <w:snapToGrid w:val="0"/>
        <w:spacing w:line="360" w:lineRule="exact"/>
        <w:rPr>
          <w:rFonts w:ascii="宋体" w:hAnsi="宋体" w:eastAsia="宋体"/>
          <w:sz w:val="21"/>
          <w:szCs w:val="21"/>
        </w:rPr>
      </w:pPr>
      <w:r>
        <w:rPr>
          <w:rFonts w:ascii="宋体" w:hAnsi="宋体" w:eastAsia="宋体"/>
          <w:sz w:val="21"/>
          <w:szCs w:val="21"/>
        </w:rPr>
        <w:t>8.</w:t>
      </w:r>
      <w:r>
        <w:rPr>
          <w:rFonts w:hint="eastAsia" w:ascii="宋体" w:hAnsi="宋体" w:eastAsia="宋体"/>
          <w:sz w:val="21"/>
          <w:szCs w:val="21"/>
        </w:rPr>
        <w:t>7</w:t>
      </w:r>
      <w:r>
        <w:rPr>
          <w:rFonts w:ascii="宋体" w:hAnsi="宋体" w:eastAsia="宋体"/>
          <w:sz w:val="21"/>
          <w:szCs w:val="21"/>
        </w:rPr>
        <w:t>.2钢筋</w:t>
      </w:r>
    </w:p>
    <w:p>
      <w:pPr>
        <w:pStyle w:val="22"/>
        <w:snapToGrid w:val="0"/>
        <w:spacing w:beforeAutospacing="0" w:afterAutospacing="0" w:line="360" w:lineRule="exact"/>
        <w:ind w:firstLine="420" w:firstLineChars="200"/>
        <w:jc w:val="both"/>
        <w:rPr>
          <w:rFonts w:ascii="宋体" w:hAnsi="宋体"/>
          <w:sz w:val="21"/>
          <w:szCs w:val="21"/>
        </w:rPr>
      </w:pPr>
      <w:r>
        <w:rPr>
          <w:rFonts w:ascii="宋体" w:hAnsi="宋体"/>
          <w:sz w:val="21"/>
          <w:szCs w:val="21"/>
        </w:rPr>
        <w:t>按施工图纸所示钢筋强度等级、直径和长度计算的有效重量以吨为单位计量，由发包人按《工程量清单》相应项目有效工程量的每吨工程单价支付。施工架立筋、搭接、套筒连接、加工及安装过程中操作损耗等所需费用，均包含在《工程量清单》相应项目有效工程量的每吨工程单价中，发包人不另行支付。</w:t>
      </w:r>
    </w:p>
    <w:p>
      <w:pPr>
        <w:pStyle w:val="7"/>
        <w:snapToGrid w:val="0"/>
        <w:spacing w:line="360" w:lineRule="exact"/>
        <w:rPr>
          <w:rFonts w:ascii="宋体" w:hAnsi="宋体" w:eastAsia="宋体"/>
          <w:sz w:val="21"/>
          <w:szCs w:val="21"/>
        </w:rPr>
      </w:pPr>
      <w:r>
        <w:rPr>
          <w:rFonts w:hint="eastAsia" w:ascii="宋体" w:hAnsi="宋体" w:eastAsia="宋体"/>
          <w:sz w:val="21"/>
          <w:szCs w:val="21"/>
        </w:rPr>
        <w:t>8</w:t>
      </w:r>
      <w:r>
        <w:rPr>
          <w:rFonts w:ascii="宋体" w:hAnsi="宋体" w:eastAsia="宋体"/>
          <w:sz w:val="21"/>
          <w:szCs w:val="21"/>
        </w:rPr>
        <w:t>.</w:t>
      </w:r>
      <w:r>
        <w:rPr>
          <w:rFonts w:hint="eastAsia" w:ascii="宋体" w:hAnsi="宋体" w:eastAsia="宋体"/>
          <w:sz w:val="21"/>
          <w:szCs w:val="21"/>
        </w:rPr>
        <w:t>7</w:t>
      </w:r>
      <w:r>
        <w:rPr>
          <w:rFonts w:ascii="宋体" w:hAnsi="宋体" w:eastAsia="宋体"/>
          <w:sz w:val="21"/>
          <w:szCs w:val="21"/>
        </w:rPr>
        <w:t>.3普通混凝土</w:t>
      </w:r>
    </w:p>
    <w:p>
      <w:pPr>
        <w:pStyle w:val="22"/>
        <w:snapToGrid w:val="0"/>
        <w:spacing w:beforeAutospacing="0" w:afterAutospacing="0" w:line="360" w:lineRule="exact"/>
        <w:ind w:firstLine="420" w:firstLineChars="200"/>
        <w:jc w:val="both"/>
        <w:rPr>
          <w:rFonts w:ascii="宋体" w:hAnsi="宋体"/>
          <w:sz w:val="21"/>
          <w:szCs w:val="21"/>
        </w:rPr>
      </w:pPr>
      <w:r>
        <w:rPr>
          <w:rFonts w:ascii="宋体" w:hAnsi="宋体"/>
          <w:sz w:val="21"/>
          <w:szCs w:val="21"/>
        </w:rPr>
        <w:t>（1）普通混凝土按施工图纸所示尺寸计算的有效体积以立方米为单位计量，由发包人按《工程量清单》相应项目有效工程量的每立方米工程单价支付。</w:t>
      </w:r>
    </w:p>
    <w:p>
      <w:pPr>
        <w:pStyle w:val="22"/>
        <w:snapToGrid w:val="0"/>
        <w:spacing w:beforeAutospacing="0" w:afterAutospacing="0" w:line="360" w:lineRule="exact"/>
        <w:ind w:firstLine="420" w:firstLineChars="200"/>
        <w:jc w:val="both"/>
        <w:rPr>
          <w:rFonts w:ascii="宋体" w:hAnsi="宋体"/>
          <w:sz w:val="21"/>
          <w:szCs w:val="21"/>
        </w:rPr>
      </w:pPr>
      <w:r>
        <w:rPr>
          <w:rFonts w:ascii="宋体" w:hAnsi="宋体"/>
          <w:sz w:val="21"/>
          <w:szCs w:val="21"/>
        </w:rPr>
        <w:t>（2）混凝土有效工程量不扣除设计单体体积小于0.1m3的圆角或斜角，单体占用的空间体积小于0.1m3的钢筋和金属件，单体横截面积小于0.1m2的孔洞、排水管、预埋管和凹槽等所占的体积，按设计要求对上述孔洞回填的混凝土也不予计量。</w:t>
      </w:r>
    </w:p>
    <w:p>
      <w:pPr>
        <w:pStyle w:val="22"/>
        <w:snapToGrid w:val="0"/>
        <w:spacing w:beforeAutospacing="0" w:afterAutospacing="0" w:line="360" w:lineRule="exact"/>
        <w:ind w:firstLine="420" w:firstLineChars="200"/>
        <w:jc w:val="both"/>
        <w:rPr>
          <w:rFonts w:ascii="宋体" w:hAnsi="宋体"/>
          <w:sz w:val="21"/>
          <w:szCs w:val="21"/>
        </w:rPr>
      </w:pPr>
      <w:r>
        <w:rPr>
          <w:rFonts w:ascii="宋体" w:hAnsi="宋体"/>
          <w:sz w:val="21"/>
          <w:szCs w:val="21"/>
        </w:rPr>
        <w:t>（3）不可预见地质原因超挖引起的超填工程量所发生的费用，由发包人按《工程量清单》相应项目或变更项目的每立方米工程单价支付。除此之外，同一承包人由于其他原因超挖引起的超填工程量和由此增加的其他工作所需的费用，均应包含在《工程量清单》相应项目有效工程量的每立方米工程单价中，发包人不另行支付。</w:t>
      </w:r>
    </w:p>
    <w:p>
      <w:pPr>
        <w:pStyle w:val="22"/>
        <w:snapToGrid w:val="0"/>
        <w:spacing w:beforeAutospacing="0" w:afterAutospacing="0" w:line="360" w:lineRule="exact"/>
        <w:ind w:firstLine="420" w:firstLineChars="200"/>
        <w:jc w:val="both"/>
        <w:rPr>
          <w:rFonts w:ascii="宋体" w:hAnsi="宋体"/>
          <w:sz w:val="21"/>
          <w:szCs w:val="21"/>
        </w:rPr>
      </w:pPr>
      <w:r>
        <w:rPr>
          <w:rFonts w:ascii="宋体" w:hAnsi="宋体"/>
          <w:sz w:val="21"/>
          <w:szCs w:val="21"/>
        </w:rPr>
        <w:t>（4）混凝土在冲（凿）毛、拌和、运输和浇筑过程中的操作损耗，以及为临时性施工措施增加的附加混凝土量所需的费用，应包含在《工程量清单》相应项目有效工程量的每立方米工程单价中，发包人不另行支付。</w:t>
      </w:r>
    </w:p>
    <w:p>
      <w:pPr>
        <w:pStyle w:val="22"/>
        <w:snapToGrid w:val="0"/>
        <w:spacing w:beforeAutospacing="0" w:afterAutospacing="0" w:line="360" w:lineRule="exact"/>
        <w:ind w:firstLine="420" w:firstLineChars="200"/>
        <w:jc w:val="both"/>
        <w:rPr>
          <w:rFonts w:ascii="宋体" w:hAnsi="宋体"/>
          <w:sz w:val="21"/>
          <w:szCs w:val="21"/>
        </w:rPr>
      </w:pPr>
      <w:r>
        <w:rPr>
          <w:rFonts w:ascii="宋体" w:hAnsi="宋体"/>
          <w:sz w:val="21"/>
          <w:szCs w:val="21"/>
        </w:rPr>
        <w:t>（5）施工过程中，承包人按本合同技术条款规定进行的各项混凝土试验所需的费用</w:t>
      </w:r>
      <w:r>
        <w:rPr>
          <w:rFonts w:hint="eastAsia" w:ascii="宋体" w:hAnsi="宋体"/>
          <w:snapToGrid w:val="0"/>
          <w:sz w:val="21"/>
          <w:szCs w:val="21"/>
        </w:rPr>
        <w:t>以及按本章有关规定进行质量检查和验收的费用</w:t>
      </w:r>
      <w:r>
        <w:rPr>
          <w:rFonts w:ascii="宋体" w:hAnsi="宋体"/>
          <w:sz w:val="21"/>
          <w:szCs w:val="21"/>
        </w:rPr>
        <w:t>，均包含在《工程量清单》相应项目有效工程量的每立方米工程单价中，发包人不另行支付。</w:t>
      </w:r>
    </w:p>
    <w:p>
      <w:pPr>
        <w:pStyle w:val="22"/>
        <w:snapToGrid w:val="0"/>
        <w:spacing w:beforeAutospacing="0" w:afterAutospacing="0" w:line="360" w:lineRule="exact"/>
        <w:ind w:firstLine="420" w:firstLineChars="200"/>
        <w:jc w:val="both"/>
        <w:rPr>
          <w:rFonts w:ascii="宋体" w:hAnsi="宋体"/>
          <w:sz w:val="21"/>
          <w:szCs w:val="21"/>
        </w:rPr>
      </w:pPr>
      <w:r>
        <w:rPr>
          <w:rFonts w:ascii="宋体" w:hAnsi="宋体"/>
          <w:sz w:val="21"/>
          <w:szCs w:val="21"/>
        </w:rPr>
        <w:t>（6）止水、止浆、伸缩缝等按施工图纸所示各种材料数量以米（或平方米）为单位计量，由发包人按《工程量清单》相应项目有效工程量的每米（或平方米）工程单价支付。</w:t>
      </w:r>
    </w:p>
    <w:p>
      <w:pPr>
        <w:pStyle w:val="22"/>
        <w:snapToGrid w:val="0"/>
        <w:spacing w:beforeAutospacing="0" w:afterAutospacing="0" w:line="360" w:lineRule="exact"/>
        <w:ind w:firstLine="420" w:firstLineChars="200"/>
        <w:jc w:val="both"/>
        <w:rPr>
          <w:rFonts w:ascii="宋体" w:hAnsi="宋体"/>
          <w:sz w:val="21"/>
          <w:szCs w:val="21"/>
        </w:rPr>
      </w:pPr>
      <w:r>
        <w:rPr>
          <w:rFonts w:ascii="宋体" w:hAnsi="宋体"/>
          <w:sz w:val="21"/>
          <w:szCs w:val="21"/>
        </w:rPr>
        <w:t>（7）混凝土温度控制措施费（包括冷却水管埋设及通水冷却费用、混凝土收缩缝和冷却水管的灌浆费用，以及混凝土坝体的保温费用）包含在《工程量清单》相应混凝土项目有效工程量的每立方米工程单价中，发包人不另行支付。</w:t>
      </w:r>
    </w:p>
    <w:p>
      <w:pPr>
        <w:pStyle w:val="22"/>
        <w:snapToGrid w:val="0"/>
        <w:spacing w:beforeAutospacing="0" w:afterAutospacing="0" w:line="360" w:lineRule="exact"/>
        <w:ind w:firstLine="420" w:firstLineChars="200"/>
        <w:jc w:val="both"/>
        <w:rPr>
          <w:rFonts w:ascii="宋体" w:hAnsi="宋体"/>
          <w:snapToGrid w:val="0"/>
          <w:sz w:val="21"/>
          <w:szCs w:val="21"/>
        </w:rPr>
      </w:pPr>
      <w:r>
        <w:rPr>
          <w:rFonts w:ascii="宋体" w:hAnsi="宋体"/>
          <w:sz w:val="21"/>
          <w:szCs w:val="21"/>
        </w:rPr>
        <w:t>（</w:t>
      </w:r>
      <w:r>
        <w:rPr>
          <w:rFonts w:hint="eastAsia" w:ascii="宋体" w:hAnsi="宋体"/>
          <w:sz w:val="21"/>
          <w:szCs w:val="21"/>
        </w:rPr>
        <w:t>8</w:t>
      </w:r>
      <w:r>
        <w:rPr>
          <w:rFonts w:ascii="宋体" w:hAnsi="宋体"/>
          <w:sz w:val="21"/>
          <w:szCs w:val="21"/>
        </w:rPr>
        <w:t>）</w:t>
      </w:r>
      <w:r>
        <w:rPr>
          <w:rFonts w:hint="eastAsia" w:ascii="宋体" w:hAnsi="宋体"/>
          <w:snapToGrid w:val="0"/>
          <w:sz w:val="21"/>
          <w:szCs w:val="21"/>
        </w:rPr>
        <w:t>混凝土浇筑所用的材料（包括水泥、掺和料、骨料、外加剂等）的采购、运输、保管、贮存，立模以及混凝土的生产、浇筑、养护、表面保护、试验和辅助工作等所需的人工、材料及使用设备和辅助设施等一切费用均包括在混凝土每立方米单价中。</w:t>
      </w:r>
    </w:p>
    <w:p>
      <w:pPr>
        <w:pStyle w:val="4"/>
        <w:rPr>
          <w:bCs/>
          <w:sz w:val="32"/>
          <w:szCs w:val="32"/>
        </w:rPr>
      </w:pPr>
      <w:r>
        <w:rPr>
          <w:rFonts w:ascii="宋体" w:hAnsi="宋体"/>
          <w:snapToGrid w:val="0"/>
          <w:sz w:val="21"/>
          <w:szCs w:val="21"/>
        </w:rPr>
        <w:t>（</w:t>
      </w:r>
      <w:r>
        <w:rPr>
          <w:rFonts w:hint="eastAsia" w:ascii="宋体" w:hAnsi="宋体"/>
          <w:snapToGrid w:val="0"/>
          <w:sz w:val="21"/>
          <w:szCs w:val="21"/>
        </w:rPr>
        <w:t>9</w:t>
      </w:r>
      <w:r>
        <w:rPr>
          <w:rFonts w:ascii="宋体" w:hAnsi="宋体"/>
          <w:snapToGrid w:val="0"/>
          <w:sz w:val="21"/>
          <w:szCs w:val="21"/>
        </w:rPr>
        <w:t>）</w:t>
      </w:r>
      <w:r>
        <w:rPr>
          <w:rFonts w:hint="eastAsia" w:ascii="宋体" w:hAnsi="宋体"/>
          <w:snapToGrid w:val="0"/>
          <w:sz w:val="21"/>
          <w:szCs w:val="21"/>
        </w:rPr>
        <w:t>混凝土表面的修整费用不予单列，应包括在混凝土每立方米单价。</w:t>
      </w:r>
    </w:p>
    <w:p>
      <w:pPr>
        <w:pStyle w:val="5"/>
        <w:numPr>
          <w:ilvl w:val="0"/>
          <w:numId w:val="11"/>
        </w:numPr>
        <w:jc w:val="center"/>
        <w:rPr>
          <w:sz w:val="32"/>
          <w:szCs w:val="32"/>
        </w:rPr>
      </w:pPr>
      <w:bookmarkStart w:id="745" w:name="_Toc28105"/>
      <w:r>
        <w:rPr>
          <w:rFonts w:hint="eastAsia"/>
          <w:bCs/>
          <w:sz w:val="32"/>
          <w:szCs w:val="32"/>
        </w:rPr>
        <w:t>竞包文件</w:t>
      </w:r>
      <w:r>
        <w:rPr>
          <w:bCs/>
          <w:sz w:val="32"/>
          <w:szCs w:val="32"/>
        </w:rPr>
        <w:t>格式</w:t>
      </w:r>
      <w:bookmarkEnd w:id="384"/>
      <w:bookmarkEnd w:id="745"/>
    </w:p>
    <w:p>
      <w:pPr>
        <w:pStyle w:val="4"/>
        <w:spacing w:line="360" w:lineRule="auto"/>
        <w:ind w:firstLine="0"/>
        <w:rPr>
          <w:bCs/>
          <w:snapToGrid w:val="0"/>
          <w:sz w:val="28"/>
          <w:szCs w:val="28"/>
        </w:rPr>
      </w:pPr>
      <w:bookmarkStart w:id="746" w:name="_Toc336325393"/>
      <w:bookmarkStart w:id="747" w:name="_Toc217457095"/>
      <w:bookmarkStart w:id="748" w:name="_Toc15691"/>
      <w:bookmarkStart w:id="749" w:name="_Toc217819174"/>
      <w:r>
        <w:rPr>
          <w:rFonts w:hint="eastAsia"/>
          <w:bCs/>
          <w:snapToGrid w:val="0"/>
          <w:sz w:val="28"/>
          <w:szCs w:val="28"/>
        </w:rPr>
        <w:t>技术文件</w:t>
      </w:r>
      <w:r>
        <w:rPr>
          <w:bCs/>
          <w:snapToGrid w:val="0"/>
          <w:sz w:val="28"/>
          <w:szCs w:val="28"/>
        </w:rPr>
        <w:t>目录</w:t>
      </w:r>
      <w:bookmarkEnd w:id="746"/>
      <w:bookmarkEnd w:id="747"/>
      <w:bookmarkEnd w:id="748"/>
      <w:bookmarkEnd w:id="749"/>
    </w:p>
    <w:p>
      <w:pPr>
        <w:pStyle w:val="4"/>
        <w:ind w:firstLine="480" w:firstLineChars="200"/>
        <w:rPr>
          <w:snapToGrid w:val="0"/>
        </w:rPr>
      </w:pPr>
    </w:p>
    <w:p>
      <w:pPr>
        <w:spacing w:line="360" w:lineRule="auto"/>
        <w:ind w:firstLine="480" w:firstLineChars="200"/>
        <w:rPr>
          <w:rFonts w:ascii="宋体" w:hAnsi="宋体"/>
          <w:snapToGrid w:val="0"/>
          <w:szCs w:val="24"/>
        </w:rPr>
      </w:pPr>
      <w:r>
        <w:rPr>
          <w:rFonts w:hint="eastAsia" w:ascii="宋体" w:hAnsi="宋体"/>
          <w:snapToGrid w:val="0"/>
          <w:szCs w:val="24"/>
        </w:rPr>
        <w:t>一、技术文件特征值表</w:t>
      </w:r>
    </w:p>
    <w:p>
      <w:pPr>
        <w:spacing w:line="360" w:lineRule="auto"/>
        <w:ind w:firstLine="480" w:firstLineChars="200"/>
        <w:rPr>
          <w:rFonts w:ascii="宋体" w:hAnsi="宋体"/>
          <w:snapToGrid w:val="0"/>
          <w:szCs w:val="24"/>
        </w:rPr>
      </w:pPr>
      <w:r>
        <w:rPr>
          <w:rFonts w:hint="eastAsia" w:ascii="宋体" w:hAnsi="宋体"/>
          <w:snapToGrid w:val="0"/>
          <w:szCs w:val="24"/>
        </w:rPr>
        <w:t>二、</w:t>
      </w:r>
      <w:r>
        <w:rPr>
          <w:rFonts w:ascii="宋体" w:hAnsi="宋体"/>
          <w:snapToGrid w:val="0"/>
          <w:szCs w:val="24"/>
        </w:rPr>
        <w:t>法定代表人身份证明</w:t>
      </w:r>
      <w:r>
        <w:rPr>
          <w:rFonts w:hint="eastAsia" w:ascii="宋体" w:hAnsi="宋体"/>
          <w:snapToGrid w:val="0"/>
          <w:szCs w:val="24"/>
        </w:rPr>
        <w:t>或附有法定代表人身份证明的授权委托书</w:t>
      </w:r>
    </w:p>
    <w:p>
      <w:pPr>
        <w:spacing w:line="360" w:lineRule="auto"/>
        <w:ind w:firstLine="480" w:firstLineChars="200"/>
        <w:rPr>
          <w:rFonts w:ascii="宋体" w:hAnsi="宋体"/>
          <w:snapToGrid w:val="0"/>
          <w:szCs w:val="24"/>
        </w:rPr>
      </w:pPr>
      <w:r>
        <w:rPr>
          <w:rFonts w:hint="eastAsia" w:ascii="宋体" w:hAnsi="宋体"/>
          <w:snapToGrid w:val="0"/>
          <w:szCs w:val="24"/>
        </w:rPr>
        <w:t>三、竞包保证金</w:t>
      </w:r>
    </w:p>
    <w:p>
      <w:pPr>
        <w:spacing w:line="360" w:lineRule="auto"/>
        <w:ind w:firstLine="480" w:firstLineChars="200"/>
        <w:rPr>
          <w:rFonts w:ascii="宋体" w:hAnsi="宋体"/>
          <w:snapToGrid w:val="0"/>
          <w:szCs w:val="24"/>
        </w:rPr>
      </w:pPr>
      <w:r>
        <w:rPr>
          <w:rFonts w:hint="eastAsia" w:ascii="宋体" w:hAnsi="宋体"/>
          <w:snapToGrid w:val="0"/>
          <w:szCs w:val="24"/>
        </w:rPr>
        <w:t>四、</w:t>
      </w:r>
      <w:r>
        <w:rPr>
          <w:rFonts w:ascii="宋体" w:hAnsi="宋体"/>
          <w:snapToGrid w:val="0"/>
          <w:szCs w:val="24"/>
        </w:rPr>
        <w:t>施工组织设计</w:t>
      </w:r>
    </w:p>
    <w:p>
      <w:pPr>
        <w:spacing w:line="360" w:lineRule="auto"/>
        <w:ind w:firstLine="480" w:firstLineChars="200"/>
        <w:rPr>
          <w:rFonts w:ascii="宋体" w:hAnsi="宋体"/>
          <w:snapToGrid w:val="0"/>
          <w:szCs w:val="24"/>
        </w:rPr>
      </w:pPr>
      <w:r>
        <w:rPr>
          <w:rFonts w:hint="eastAsia" w:ascii="宋体" w:hAnsi="宋体"/>
          <w:snapToGrid w:val="0"/>
          <w:szCs w:val="24"/>
        </w:rPr>
        <w:t>五、</w:t>
      </w:r>
      <w:r>
        <w:rPr>
          <w:rFonts w:ascii="宋体" w:hAnsi="宋体"/>
          <w:snapToGrid w:val="0"/>
          <w:szCs w:val="24"/>
        </w:rPr>
        <w:t>项目管理机构</w:t>
      </w:r>
    </w:p>
    <w:p>
      <w:pPr>
        <w:spacing w:line="360" w:lineRule="auto"/>
        <w:ind w:firstLine="480" w:firstLineChars="200"/>
        <w:rPr>
          <w:rFonts w:ascii="宋体" w:hAnsi="宋体"/>
          <w:snapToGrid w:val="0"/>
          <w:szCs w:val="24"/>
        </w:rPr>
      </w:pPr>
      <w:r>
        <w:rPr>
          <w:rFonts w:hint="eastAsia" w:ascii="宋体" w:hAnsi="宋体"/>
          <w:snapToGrid w:val="0"/>
          <w:szCs w:val="24"/>
        </w:rPr>
        <w:t>六、</w:t>
      </w:r>
      <w:r>
        <w:rPr>
          <w:rFonts w:ascii="宋体" w:hAnsi="宋体"/>
          <w:snapToGrid w:val="0"/>
          <w:szCs w:val="24"/>
        </w:rPr>
        <w:t>资格审查资料</w:t>
      </w:r>
    </w:p>
    <w:p>
      <w:pPr>
        <w:spacing w:line="360" w:lineRule="auto"/>
        <w:ind w:firstLine="480" w:firstLineChars="200"/>
        <w:rPr>
          <w:rFonts w:ascii="宋体" w:hAnsi="宋体"/>
          <w:snapToGrid w:val="0"/>
          <w:szCs w:val="24"/>
        </w:rPr>
      </w:pPr>
      <w:r>
        <w:rPr>
          <w:rFonts w:hint="eastAsia" w:ascii="宋体" w:hAnsi="宋体"/>
          <w:snapToGrid w:val="0"/>
          <w:szCs w:val="24"/>
        </w:rPr>
        <w:t xml:space="preserve">七、原件的扫描件或电子件 </w:t>
      </w:r>
    </w:p>
    <w:p>
      <w:pPr>
        <w:spacing w:line="360" w:lineRule="auto"/>
        <w:ind w:firstLine="480" w:firstLineChars="200"/>
        <w:rPr>
          <w:rFonts w:ascii="宋体" w:hAnsi="宋体"/>
          <w:snapToGrid w:val="0"/>
          <w:szCs w:val="24"/>
        </w:rPr>
      </w:pPr>
      <w:r>
        <w:rPr>
          <w:rFonts w:hint="eastAsia" w:ascii="宋体" w:hAnsi="宋体"/>
          <w:snapToGrid w:val="0"/>
          <w:szCs w:val="24"/>
        </w:rPr>
        <w:t>八、</w:t>
      </w:r>
      <w:r>
        <w:rPr>
          <w:rFonts w:ascii="宋体" w:hAnsi="宋体"/>
          <w:snapToGrid w:val="0"/>
          <w:szCs w:val="24"/>
        </w:rPr>
        <w:t>其他材料</w:t>
      </w:r>
    </w:p>
    <w:p>
      <w:pPr>
        <w:rPr>
          <w:snapToGrid w:val="0"/>
          <w:szCs w:val="21"/>
        </w:rPr>
      </w:pPr>
    </w:p>
    <w:p>
      <w:pPr>
        <w:pStyle w:val="6"/>
        <w:jc w:val="center"/>
        <w:rPr>
          <w:rFonts w:ascii="宋体" w:hAnsi="宋体" w:eastAsia="宋体"/>
          <w:sz w:val="32"/>
          <w:szCs w:val="32"/>
        </w:rPr>
      </w:pPr>
      <w:bookmarkStart w:id="750" w:name="_Toc259802278"/>
      <w:bookmarkStart w:id="751" w:name="_Toc217457097"/>
      <w:bookmarkStart w:id="752" w:name="_Toc184635139"/>
      <w:bookmarkStart w:id="753" w:name="_Toc336325394"/>
      <w:r>
        <w:rPr>
          <w:snapToGrid w:val="0"/>
          <w:sz w:val="28"/>
          <w:szCs w:val="28"/>
        </w:rPr>
        <w:br w:type="page"/>
      </w:r>
      <w:bookmarkStart w:id="754" w:name="_Toc240864054"/>
      <w:bookmarkStart w:id="755" w:name="_Toc309712972"/>
      <w:bookmarkStart w:id="756" w:name="_Toc232080205"/>
      <w:bookmarkStart w:id="757" w:name="_Toc306762950"/>
      <w:bookmarkStart w:id="758" w:name="_Toc28005"/>
      <w:r>
        <w:rPr>
          <w:rFonts w:hint="eastAsia" w:ascii="宋体" w:hAnsi="宋体" w:eastAsia="宋体"/>
          <w:snapToGrid w:val="0"/>
          <w:sz w:val="32"/>
          <w:szCs w:val="32"/>
        </w:rPr>
        <w:t>一</w:t>
      </w:r>
      <w:r>
        <w:rPr>
          <w:rFonts w:ascii="宋体" w:hAnsi="宋体" w:eastAsia="宋体"/>
          <w:snapToGrid w:val="0"/>
          <w:sz w:val="32"/>
          <w:szCs w:val="32"/>
        </w:rPr>
        <w:t>、</w:t>
      </w:r>
      <w:r>
        <w:rPr>
          <w:rFonts w:hint="eastAsia" w:ascii="宋体" w:hAnsi="宋体" w:eastAsia="宋体"/>
          <w:snapToGrid w:val="0"/>
          <w:sz w:val="32"/>
          <w:szCs w:val="32"/>
        </w:rPr>
        <w:t>技术文件特征值表</w:t>
      </w:r>
      <w:bookmarkEnd w:id="754"/>
      <w:bookmarkEnd w:id="755"/>
      <w:bookmarkEnd w:id="756"/>
      <w:bookmarkEnd w:id="757"/>
      <w:bookmarkEnd w:id="758"/>
    </w:p>
    <w:p>
      <w:pPr>
        <w:tabs>
          <w:tab w:val="left" w:pos="6000"/>
        </w:tabs>
        <w:ind w:firstLine="480" w:firstLineChars="200"/>
        <w:rPr>
          <w:rFonts w:ascii="宋体" w:hAnsi="宋体"/>
          <w:snapToGrid w:val="0"/>
          <w:szCs w:val="21"/>
        </w:rPr>
      </w:pPr>
      <w:r>
        <w:rPr>
          <w:rFonts w:ascii="宋体" w:hAnsi="宋体"/>
          <w:snapToGrid w:val="0"/>
          <w:szCs w:val="21"/>
        </w:rPr>
        <w:tab/>
      </w:r>
    </w:p>
    <w:tbl>
      <w:tblPr>
        <w:tblStyle w:val="24"/>
        <w:tblW w:w="91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9"/>
        <w:gridCol w:w="2755"/>
        <w:gridCol w:w="3396"/>
        <w:gridCol w:w="1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1039" w:type="dxa"/>
            <w:vAlign w:val="center"/>
          </w:tcPr>
          <w:p>
            <w:pPr>
              <w:spacing w:line="360" w:lineRule="auto"/>
              <w:jc w:val="center"/>
              <w:rPr>
                <w:rFonts w:ascii="宋体" w:hAnsi="宋体"/>
                <w:snapToGrid w:val="0"/>
                <w:kern w:val="2"/>
                <w:szCs w:val="21"/>
              </w:rPr>
            </w:pPr>
            <w:r>
              <w:rPr>
                <w:rFonts w:ascii="宋体" w:hAnsi="宋体"/>
                <w:snapToGrid w:val="0"/>
                <w:kern w:val="2"/>
                <w:szCs w:val="21"/>
              </w:rPr>
              <w:t>序号</w:t>
            </w:r>
          </w:p>
        </w:tc>
        <w:tc>
          <w:tcPr>
            <w:tcW w:w="2755" w:type="dxa"/>
            <w:vAlign w:val="center"/>
          </w:tcPr>
          <w:p>
            <w:pPr>
              <w:spacing w:line="360" w:lineRule="auto"/>
              <w:jc w:val="center"/>
              <w:rPr>
                <w:rFonts w:ascii="宋体" w:hAnsi="宋体"/>
                <w:snapToGrid w:val="0"/>
                <w:kern w:val="2"/>
                <w:szCs w:val="21"/>
              </w:rPr>
            </w:pPr>
            <w:r>
              <w:rPr>
                <w:rFonts w:ascii="宋体" w:hAnsi="宋体"/>
                <w:snapToGrid w:val="0"/>
                <w:kern w:val="2"/>
                <w:szCs w:val="21"/>
              </w:rPr>
              <w:t>条款名称</w:t>
            </w:r>
          </w:p>
        </w:tc>
        <w:tc>
          <w:tcPr>
            <w:tcW w:w="3396" w:type="dxa"/>
            <w:vAlign w:val="center"/>
          </w:tcPr>
          <w:p>
            <w:pPr>
              <w:spacing w:line="360" w:lineRule="auto"/>
              <w:jc w:val="center"/>
              <w:rPr>
                <w:rFonts w:ascii="宋体" w:hAnsi="宋体"/>
                <w:snapToGrid w:val="0"/>
                <w:kern w:val="2"/>
                <w:szCs w:val="21"/>
              </w:rPr>
            </w:pPr>
            <w:r>
              <w:rPr>
                <w:rFonts w:ascii="宋体" w:hAnsi="宋体"/>
                <w:snapToGrid w:val="0"/>
                <w:kern w:val="2"/>
                <w:szCs w:val="21"/>
              </w:rPr>
              <w:t>约定内容</w:t>
            </w:r>
          </w:p>
        </w:tc>
        <w:tc>
          <w:tcPr>
            <w:tcW w:w="1985" w:type="dxa"/>
            <w:vAlign w:val="center"/>
          </w:tcPr>
          <w:p>
            <w:pPr>
              <w:spacing w:line="360" w:lineRule="auto"/>
              <w:jc w:val="center"/>
              <w:rPr>
                <w:rFonts w:ascii="宋体" w:hAnsi="宋体"/>
                <w:snapToGrid w:val="0"/>
                <w:kern w:val="2"/>
                <w:szCs w:val="21"/>
              </w:rPr>
            </w:pPr>
            <w:r>
              <w:rPr>
                <w:rFonts w:ascii="宋体" w:hAnsi="宋体"/>
                <w:snapToGrid w:val="0"/>
                <w:kern w:val="2"/>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1039" w:type="dxa"/>
            <w:vAlign w:val="center"/>
          </w:tcPr>
          <w:p>
            <w:pPr>
              <w:spacing w:line="360" w:lineRule="auto"/>
              <w:jc w:val="center"/>
              <w:rPr>
                <w:rFonts w:ascii="宋体" w:hAnsi="宋体"/>
                <w:snapToGrid w:val="0"/>
                <w:kern w:val="2"/>
                <w:szCs w:val="21"/>
              </w:rPr>
            </w:pPr>
            <w:r>
              <w:rPr>
                <w:rFonts w:ascii="宋体" w:hAnsi="宋体"/>
                <w:snapToGrid w:val="0"/>
                <w:kern w:val="2"/>
                <w:szCs w:val="21"/>
              </w:rPr>
              <w:t>1</w:t>
            </w:r>
          </w:p>
        </w:tc>
        <w:tc>
          <w:tcPr>
            <w:tcW w:w="2755" w:type="dxa"/>
            <w:vAlign w:val="center"/>
          </w:tcPr>
          <w:p>
            <w:pPr>
              <w:spacing w:line="360" w:lineRule="auto"/>
              <w:rPr>
                <w:rFonts w:ascii="宋体" w:hAnsi="宋体"/>
                <w:snapToGrid w:val="0"/>
                <w:kern w:val="2"/>
                <w:szCs w:val="21"/>
              </w:rPr>
            </w:pPr>
            <w:r>
              <w:rPr>
                <w:rFonts w:ascii="宋体" w:hAnsi="宋体"/>
                <w:snapToGrid w:val="0"/>
                <w:kern w:val="2"/>
                <w:szCs w:val="21"/>
              </w:rPr>
              <w:t>项目负责人</w:t>
            </w:r>
          </w:p>
        </w:tc>
        <w:tc>
          <w:tcPr>
            <w:tcW w:w="3396" w:type="dxa"/>
            <w:vAlign w:val="center"/>
          </w:tcPr>
          <w:p>
            <w:pPr>
              <w:spacing w:line="360" w:lineRule="auto"/>
              <w:rPr>
                <w:rFonts w:ascii="宋体" w:hAnsi="宋体"/>
                <w:snapToGrid w:val="0"/>
                <w:kern w:val="2"/>
                <w:szCs w:val="21"/>
                <w:u w:val="single"/>
              </w:rPr>
            </w:pPr>
            <w:r>
              <w:rPr>
                <w:rFonts w:ascii="宋体" w:hAnsi="宋体"/>
                <w:snapToGrid w:val="0"/>
                <w:kern w:val="2"/>
                <w:szCs w:val="21"/>
              </w:rPr>
              <w:t>姓名：</w:t>
            </w:r>
          </w:p>
        </w:tc>
        <w:tc>
          <w:tcPr>
            <w:tcW w:w="1985" w:type="dxa"/>
          </w:tcPr>
          <w:p>
            <w:pPr>
              <w:spacing w:line="360" w:lineRule="auto"/>
              <w:rPr>
                <w:rFonts w:ascii="宋体" w:hAnsi="宋体"/>
                <w:snapToGrid w:val="0"/>
                <w:kern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1039" w:type="dxa"/>
            <w:vAlign w:val="center"/>
          </w:tcPr>
          <w:p>
            <w:pPr>
              <w:spacing w:line="360" w:lineRule="auto"/>
              <w:jc w:val="center"/>
              <w:rPr>
                <w:rFonts w:ascii="宋体" w:hAnsi="宋体"/>
                <w:snapToGrid w:val="0"/>
                <w:kern w:val="2"/>
                <w:szCs w:val="21"/>
              </w:rPr>
            </w:pPr>
            <w:r>
              <w:rPr>
                <w:rFonts w:hint="eastAsia" w:ascii="宋体" w:hAnsi="宋体"/>
                <w:snapToGrid w:val="0"/>
                <w:kern w:val="2"/>
                <w:szCs w:val="21"/>
              </w:rPr>
              <w:t>2</w:t>
            </w:r>
          </w:p>
        </w:tc>
        <w:tc>
          <w:tcPr>
            <w:tcW w:w="2755" w:type="dxa"/>
            <w:vAlign w:val="center"/>
          </w:tcPr>
          <w:p>
            <w:pPr>
              <w:spacing w:line="360" w:lineRule="auto"/>
              <w:rPr>
                <w:rFonts w:ascii="宋体" w:hAnsi="宋体"/>
                <w:snapToGrid w:val="0"/>
                <w:kern w:val="2"/>
                <w:szCs w:val="21"/>
              </w:rPr>
            </w:pPr>
            <w:r>
              <w:rPr>
                <w:rFonts w:hint="eastAsia" w:ascii="宋体" w:hAnsi="宋体"/>
                <w:snapToGrid w:val="0"/>
                <w:kern w:val="2"/>
                <w:szCs w:val="21"/>
              </w:rPr>
              <w:t>技术负责人</w:t>
            </w:r>
          </w:p>
        </w:tc>
        <w:tc>
          <w:tcPr>
            <w:tcW w:w="3396" w:type="dxa"/>
            <w:vAlign w:val="center"/>
          </w:tcPr>
          <w:p>
            <w:pPr>
              <w:spacing w:line="360" w:lineRule="auto"/>
              <w:rPr>
                <w:rFonts w:ascii="宋体" w:hAnsi="宋体"/>
                <w:snapToGrid w:val="0"/>
                <w:kern w:val="2"/>
                <w:szCs w:val="21"/>
              </w:rPr>
            </w:pPr>
            <w:r>
              <w:rPr>
                <w:rFonts w:ascii="宋体" w:hAnsi="宋体"/>
                <w:snapToGrid w:val="0"/>
                <w:kern w:val="2"/>
                <w:szCs w:val="21"/>
              </w:rPr>
              <w:t>姓名：</w:t>
            </w:r>
          </w:p>
        </w:tc>
        <w:tc>
          <w:tcPr>
            <w:tcW w:w="1985" w:type="dxa"/>
          </w:tcPr>
          <w:p>
            <w:pPr>
              <w:spacing w:line="360" w:lineRule="auto"/>
              <w:rPr>
                <w:rFonts w:ascii="宋体" w:hAnsi="宋体"/>
                <w:snapToGrid w:val="0"/>
                <w:kern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1039" w:type="dxa"/>
            <w:vAlign w:val="center"/>
          </w:tcPr>
          <w:p>
            <w:pPr>
              <w:spacing w:line="360" w:lineRule="auto"/>
              <w:jc w:val="center"/>
              <w:rPr>
                <w:rFonts w:ascii="宋体" w:hAnsi="宋体"/>
                <w:snapToGrid w:val="0"/>
                <w:kern w:val="2"/>
                <w:szCs w:val="21"/>
              </w:rPr>
            </w:pPr>
            <w:r>
              <w:rPr>
                <w:rFonts w:hint="eastAsia" w:ascii="宋体" w:hAnsi="宋体"/>
                <w:snapToGrid w:val="0"/>
                <w:kern w:val="2"/>
                <w:szCs w:val="21"/>
              </w:rPr>
              <w:t>3</w:t>
            </w:r>
          </w:p>
        </w:tc>
        <w:tc>
          <w:tcPr>
            <w:tcW w:w="2755" w:type="dxa"/>
            <w:vAlign w:val="center"/>
          </w:tcPr>
          <w:p>
            <w:pPr>
              <w:spacing w:line="360" w:lineRule="auto"/>
              <w:rPr>
                <w:rFonts w:ascii="宋体" w:hAnsi="宋体"/>
                <w:snapToGrid w:val="0"/>
                <w:kern w:val="2"/>
                <w:szCs w:val="21"/>
              </w:rPr>
            </w:pPr>
            <w:r>
              <w:rPr>
                <w:rFonts w:ascii="宋体" w:hAnsi="宋体"/>
                <w:snapToGrid w:val="0"/>
                <w:kern w:val="2"/>
                <w:szCs w:val="21"/>
              </w:rPr>
              <w:t>工期</w:t>
            </w:r>
            <w:r>
              <w:rPr>
                <w:rFonts w:hint="eastAsia" w:ascii="宋体" w:hAnsi="宋体"/>
                <w:snapToGrid w:val="0"/>
                <w:kern w:val="2"/>
                <w:szCs w:val="21"/>
              </w:rPr>
              <w:t>（日历天）</w:t>
            </w:r>
          </w:p>
        </w:tc>
        <w:tc>
          <w:tcPr>
            <w:tcW w:w="3396" w:type="dxa"/>
            <w:vAlign w:val="center"/>
          </w:tcPr>
          <w:p>
            <w:pPr>
              <w:spacing w:line="360" w:lineRule="auto"/>
              <w:rPr>
                <w:rFonts w:ascii="宋体" w:hAnsi="宋体"/>
                <w:snapToGrid w:val="0"/>
                <w:kern w:val="2"/>
                <w:szCs w:val="21"/>
              </w:rPr>
            </w:pPr>
          </w:p>
        </w:tc>
        <w:tc>
          <w:tcPr>
            <w:tcW w:w="1985" w:type="dxa"/>
          </w:tcPr>
          <w:p>
            <w:pPr>
              <w:spacing w:line="360" w:lineRule="auto"/>
              <w:rPr>
                <w:rFonts w:ascii="宋体" w:hAnsi="宋体"/>
                <w:snapToGrid w:val="0"/>
                <w:kern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1039" w:type="dxa"/>
            <w:vAlign w:val="center"/>
          </w:tcPr>
          <w:p>
            <w:pPr>
              <w:spacing w:line="360" w:lineRule="auto"/>
              <w:jc w:val="center"/>
              <w:rPr>
                <w:rFonts w:ascii="宋体" w:hAnsi="宋体"/>
                <w:snapToGrid w:val="0"/>
                <w:kern w:val="2"/>
                <w:szCs w:val="21"/>
              </w:rPr>
            </w:pPr>
            <w:r>
              <w:rPr>
                <w:rFonts w:hint="eastAsia" w:ascii="宋体" w:hAnsi="宋体"/>
                <w:snapToGrid w:val="0"/>
                <w:kern w:val="2"/>
                <w:szCs w:val="21"/>
              </w:rPr>
              <w:t>4</w:t>
            </w:r>
          </w:p>
        </w:tc>
        <w:tc>
          <w:tcPr>
            <w:tcW w:w="2755" w:type="dxa"/>
            <w:vAlign w:val="center"/>
          </w:tcPr>
          <w:p>
            <w:pPr>
              <w:spacing w:line="360" w:lineRule="auto"/>
              <w:rPr>
                <w:rFonts w:ascii="宋体" w:hAnsi="宋体"/>
                <w:snapToGrid w:val="0"/>
                <w:kern w:val="2"/>
                <w:szCs w:val="21"/>
              </w:rPr>
            </w:pPr>
            <w:r>
              <w:rPr>
                <w:rFonts w:ascii="宋体" w:hAnsi="宋体"/>
                <w:snapToGrid w:val="0"/>
                <w:kern w:val="2"/>
                <w:szCs w:val="21"/>
              </w:rPr>
              <w:t>缺陷责任期</w:t>
            </w:r>
          </w:p>
        </w:tc>
        <w:tc>
          <w:tcPr>
            <w:tcW w:w="3396" w:type="dxa"/>
            <w:vAlign w:val="center"/>
          </w:tcPr>
          <w:p>
            <w:pPr>
              <w:spacing w:line="360" w:lineRule="auto"/>
              <w:jc w:val="center"/>
              <w:rPr>
                <w:rFonts w:ascii="宋体" w:hAnsi="宋体"/>
                <w:snapToGrid w:val="0"/>
                <w:kern w:val="2"/>
                <w:szCs w:val="21"/>
                <w:u w:val="single"/>
              </w:rPr>
            </w:pPr>
          </w:p>
        </w:tc>
        <w:tc>
          <w:tcPr>
            <w:tcW w:w="1985" w:type="dxa"/>
          </w:tcPr>
          <w:p>
            <w:pPr>
              <w:spacing w:line="360" w:lineRule="auto"/>
              <w:rPr>
                <w:rFonts w:ascii="宋体" w:hAnsi="宋体"/>
                <w:snapToGrid w:val="0"/>
                <w:kern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1039" w:type="dxa"/>
            <w:vAlign w:val="center"/>
          </w:tcPr>
          <w:p>
            <w:pPr>
              <w:spacing w:line="360" w:lineRule="auto"/>
              <w:jc w:val="center"/>
              <w:rPr>
                <w:rFonts w:ascii="宋体" w:hAnsi="宋体"/>
                <w:snapToGrid w:val="0"/>
                <w:kern w:val="2"/>
                <w:szCs w:val="21"/>
              </w:rPr>
            </w:pPr>
            <w:r>
              <w:rPr>
                <w:rFonts w:hint="eastAsia" w:ascii="宋体" w:hAnsi="宋体"/>
                <w:snapToGrid w:val="0"/>
                <w:kern w:val="2"/>
                <w:szCs w:val="21"/>
              </w:rPr>
              <w:t>5</w:t>
            </w:r>
          </w:p>
        </w:tc>
        <w:tc>
          <w:tcPr>
            <w:tcW w:w="2755" w:type="dxa"/>
            <w:vAlign w:val="center"/>
          </w:tcPr>
          <w:p>
            <w:pPr>
              <w:spacing w:line="360" w:lineRule="auto"/>
              <w:rPr>
                <w:rFonts w:ascii="宋体" w:hAnsi="宋体"/>
                <w:snapToGrid w:val="0"/>
                <w:kern w:val="2"/>
                <w:szCs w:val="21"/>
              </w:rPr>
            </w:pPr>
            <w:r>
              <w:rPr>
                <w:rFonts w:ascii="宋体" w:hAnsi="宋体"/>
                <w:snapToGrid w:val="0"/>
                <w:kern w:val="2"/>
                <w:szCs w:val="21"/>
              </w:rPr>
              <w:t>分包</w:t>
            </w:r>
          </w:p>
        </w:tc>
        <w:tc>
          <w:tcPr>
            <w:tcW w:w="3396" w:type="dxa"/>
            <w:vAlign w:val="center"/>
          </w:tcPr>
          <w:p>
            <w:pPr>
              <w:spacing w:line="360" w:lineRule="auto"/>
              <w:jc w:val="center"/>
              <w:rPr>
                <w:rFonts w:ascii="宋体" w:hAnsi="宋体"/>
                <w:snapToGrid w:val="0"/>
                <w:kern w:val="2"/>
                <w:szCs w:val="21"/>
              </w:rPr>
            </w:pPr>
          </w:p>
        </w:tc>
        <w:tc>
          <w:tcPr>
            <w:tcW w:w="1985" w:type="dxa"/>
          </w:tcPr>
          <w:p>
            <w:pPr>
              <w:spacing w:line="360" w:lineRule="auto"/>
              <w:rPr>
                <w:rFonts w:ascii="宋体" w:hAnsi="宋体"/>
                <w:snapToGrid w:val="0"/>
                <w:kern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1039" w:type="dxa"/>
            <w:vAlign w:val="center"/>
          </w:tcPr>
          <w:p>
            <w:pPr>
              <w:spacing w:line="360" w:lineRule="auto"/>
              <w:jc w:val="center"/>
              <w:rPr>
                <w:rFonts w:ascii="宋体" w:hAnsi="宋体"/>
                <w:snapToGrid w:val="0"/>
                <w:kern w:val="2"/>
                <w:szCs w:val="21"/>
              </w:rPr>
            </w:pPr>
            <w:r>
              <w:rPr>
                <w:rFonts w:hint="eastAsia" w:ascii="宋体" w:hAnsi="宋体"/>
                <w:snapToGrid w:val="0"/>
                <w:kern w:val="2"/>
                <w:szCs w:val="21"/>
              </w:rPr>
              <w:t>6</w:t>
            </w:r>
          </w:p>
        </w:tc>
        <w:tc>
          <w:tcPr>
            <w:tcW w:w="2755" w:type="dxa"/>
            <w:vAlign w:val="center"/>
          </w:tcPr>
          <w:p>
            <w:pPr>
              <w:spacing w:line="360" w:lineRule="auto"/>
              <w:rPr>
                <w:rFonts w:ascii="宋体" w:hAnsi="宋体"/>
                <w:snapToGrid w:val="0"/>
                <w:kern w:val="2"/>
                <w:szCs w:val="21"/>
              </w:rPr>
            </w:pPr>
            <w:r>
              <w:rPr>
                <w:rFonts w:ascii="宋体" w:hAnsi="宋体"/>
                <w:snapToGrid w:val="0"/>
                <w:kern w:val="2"/>
                <w:szCs w:val="21"/>
              </w:rPr>
              <w:t>质量目标</w:t>
            </w:r>
          </w:p>
        </w:tc>
        <w:tc>
          <w:tcPr>
            <w:tcW w:w="3396" w:type="dxa"/>
            <w:vAlign w:val="center"/>
          </w:tcPr>
          <w:p>
            <w:pPr>
              <w:spacing w:line="360" w:lineRule="auto"/>
              <w:jc w:val="center"/>
              <w:rPr>
                <w:rFonts w:ascii="宋体" w:hAnsi="宋体"/>
                <w:snapToGrid w:val="0"/>
                <w:kern w:val="2"/>
                <w:szCs w:val="21"/>
              </w:rPr>
            </w:pPr>
          </w:p>
        </w:tc>
        <w:tc>
          <w:tcPr>
            <w:tcW w:w="1985" w:type="dxa"/>
          </w:tcPr>
          <w:p>
            <w:pPr>
              <w:spacing w:line="360" w:lineRule="auto"/>
              <w:rPr>
                <w:rFonts w:ascii="宋体" w:hAnsi="宋体"/>
                <w:snapToGrid w:val="0"/>
                <w:kern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1039" w:type="dxa"/>
            <w:vAlign w:val="center"/>
          </w:tcPr>
          <w:p>
            <w:pPr>
              <w:spacing w:line="360" w:lineRule="auto"/>
              <w:jc w:val="center"/>
              <w:rPr>
                <w:rFonts w:ascii="宋体" w:hAnsi="宋体"/>
                <w:snapToGrid w:val="0"/>
                <w:kern w:val="2"/>
                <w:szCs w:val="21"/>
              </w:rPr>
            </w:pPr>
            <w:r>
              <w:rPr>
                <w:rFonts w:hint="eastAsia" w:ascii="宋体" w:hAnsi="宋体"/>
                <w:snapToGrid w:val="0"/>
                <w:kern w:val="2"/>
                <w:szCs w:val="21"/>
              </w:rPr>
              <w:t>7</w:t>
            </w:r>
          </w:p>
        </w:tc>
        <w:tc>
          <w:tcPr>
            <w:tcW w:w="2755" w:type="dxa"/>
            <w:vAlign w:val="center"/>
          </w:tcPr>
          <w:p>
            <w:pPr>
              <w:spacing w:line="360" w:lineRule="auto"/>
              <w:rPr>
                <w:rFonts w:ascii="宋体" w:hAnsi="宋体"/>
                <w:snapToGrid w:val="0"/>
                <w:kern w:val="2"/>
                <w:szCs w:val="21"/>
              </w:rPr>
            </w:pPr>
            <w:r>
              <w:rPr>
                <w:rFonts w:hint="eastAsia" w:ascii="宋体" w:hAnsi="宋体"/>
                <w:snapToGrid w:val="0"/>
                <w:kern w:val="2"/>
                <w:szCs w:val="21"/>
              </w:rPr>
              <w:t>企业资质类别及等级</w:t>
            </w:r>
          </w:p>
        </w:tc>
        <w:tc>
          <w:tcPr>
            <w:tcW w:w="3396" w:type="dxa"/>
            <w:vAlign w:val="center"/>
          </w:tcPr>
          <w:p>
            <w:pPr>
              <w:spacing w:line="360" w:lineRule="auto"/>
              <w:jc w:val="center"/>
              <w:rPr>
                <w:rFonts w:ascii="宋体" w:hAnsi="宋体"/>
                <w:snapToGrid w:val="0"/>
                <w:kern w:val="2"/>
                <w:szCs w:val="21"/>
              </w:rPr>
            </w:pPr>
          </w:p>
        </w:tc>
        <w:tc>
          <w:tcPr>
            <w:tcW w:w="1985" w:type="dxa"/>
          </w:tcPr>
          <w:p>
            <w:pPr>
              <w:spacing w:line="360" w:lineRule="auto"/>
              <w:rPr>
                <w:rFonts w:ascii="宋体" w:hAnsi="宋体"/>
                <w:snapToGrid w:val="0"/>
                <w:kern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1039" w:type="dxa"/>
            <w:vAlign w:val="center"/>
          </w:tcPr>
          <w:p>
            <w:pPr>
              <w:spacing w:line="360" w:lineRule="auto"/>
              <w:jc w:val="center"/>
              <w:rPr>
                <w:rFonts w:ascii="宋体" w:hAnsi="宋体"/>
                <w:snapToGrid w:val="0"/>
                <w:kern w:val="2"/>
                <w:szCs w:val="21"/>
              </w:rPr>
            </w:pPr>
            <w:r>
              <w:rPr>
                <w:rFonts w:ascii="宋体" w:hAnsi="宋体"/>
                <w:snapToGrid w:val="0"/>
                <w:kern w:val="2"/>
                <w:szCs w:val="21"/>
              </w:rPr>
              <w:t>…</w:t>
            </w:r>
          </w:p>
        </w:tc>
        <w:tc>
          <w:tcPr>
            <w:tcW w:w="2755" w:type="dxa"/>
            <w:vAlign w:val="center"/>
          </w:tcPr>
          <w:p>
            <w:pPr>
              <w:spacing w:line="360" w:lineRule="auto"/>
              <w:rPr>
                <w:rFonts w:ascii="宋体" w:hAnsi="宋体"/>
                <w:snapToGrid w:val="0"/>
                <w:kern w:val="2"/>
                <w:szCs w:val="21"/>
              </w:rPr>
            </w:pPr>
            <w:r>
              <w:rPr>
                <w:rFonts w:ascii="宋体" w:hAnsi="宋体"/>
                <w:snapToGrid w:val="0"/>
                <w:kern w:val="2"/>
                <w:szCs w:val="21"/>
              </w:rPr>
              <w:t>…</w:t>
            </w:r>
          </w:p>
        </w:tc>
        <w:tc>
          <w:tcPr>
            <w:tcW w:w="3396" w:type="dxa"/>
            <w:vAlign w:val="center"/>
          </w:tcPr>
          <w:p>
            <w:pPr>
              <w:spacing w:line="360" w:lineRule="auto"/>
              <w:rPr>
                <w:rFonts w:ascii="宋体" w:hAnsi="宋体"/>
                <w:snapToGrid w:val="0"/>
                <w:kern w:val="2"/>
                <w:szCs w:val="21"/>
              </w:rPr>
            </w:pPr>
          </w:p>
        </w:tc>
        <w:tc>
          <w:tcPr>
            <w:tcW w:w="1985" w:type="dxa"/>
          </w:tcPr>
          <w:p>
            <w:pPr>
              <w:spacing w:line="360" w:lineRule="auto"/>
              <w:rPr>
                <w:rFonts w:ascii="宋体" w:hAnsi="宋体"/>
                <w:snapToGrid w:val="0"/>
                <w:kern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1039" w:type="dxa"/>
            <w:vAlign w:val="center"/>
          </w:tcPr>
          <w:p>
            <w:pPr>
              <w:spacing w:line="360" w:lineRule="auto"/>
              <w:jc w:val="center"/>
              <w:rPr>
                <w:rFonts w:ascii="宋体" w:hAnsi="宋体"/>
                <w:snapToGrid w:val="0"/>
                <w:kern w:val="2"/>
                <w:szCs w:val="21"/>
              </w:rPr>
            </w:pPr>
            <w:r>
              <w:rPr>
                <w:rFonts w:ascii="宋体" w:hAnsi="宋体"/>
                <w:snapToGrid w:val="0"/>
                <w:kern w:val="2"/>
                <w:szCs w:val="21"/>
              </w:rPr>
              <w:t>…</w:t>
            </w:r>
          </w:p>
        </w:tc>
        <w:tc>
          <w:tcPr>
            <w:tcW w:w="2755" w:type="dxa"/>
            <w:vAlign w:val="center"/>
          </w:tcPr>
          <w:p>
            <w:pPr>
              <w:spacing w:line="360" w:lineRule="auto"/>
              <w:rPr>
                <w:rFonts w:ascii="宋体" w:hAnsi="宋体"/>
                <w:snapToGrid w:val="0"/>
                <w:kern w:val="2"/>
                <w:szCs w:val="21"/>
              </w:rPr>
            </w:pPr>
            <w:r>
              <w:rPr>
                <w:rFonts w:ascii="宋体" w:hAnsi="宋体"/>
                <w:snapToGrid w:val="0"/>
                <w:kern w:val="2"/>
                <w:szCs w:val="21"/>
              </w:rPr>
              <w:t>…</w:t>
            </w:r>
          </w:p>
        </w:tc>
        <w:tc>
          <w:tcPr>
            <w:tcW w:w="3396" w:type="dxa"/>
            <w:vAlign w:val="center"/>
          </w:tcPr>
          <w:p>
            <w:pPr>
              <w:spacing w:line="360" w:lineRule="auto"/>
              <w:rPr>
                <w:rFonts w:ascii="宋体" w:hAnsi="宋体"/>
                <w:snapToGrid w:val="0"/>
                <w:kern w:val="2"/>
                <w:szCs w:val="21"/>
              </w:rPr>
            </w:pPr>
          </w:p>
        </w:tc>
        <w:tc>
          <w:tcPr>
            <w:tcW w:w="1985" w:type="dxa"/>
          </w:tcPr>
          <w:p>
            <w:pPr>
              <w:spacing w:line="360" w:lineRule="auto"/>
              <w:rPr>
                <w:rFonts w:ascii="宋体" w:hAnsi="宋体"/>
                <w:snapToGrid w:val="0"/>
                <w:kern w:val="2"/>
                <w:szCs w:val="21"/>
              </w:rPr>
            </w:pPr>
          </w:p>
        </w:tc>
      </w:tr>
    </w:tbl>
    <w:p>
      <w:pPr>
        <w:pStyle w:val="6"/>
        <w:spacing w:line="360" w:lineRule="auto"/>
        <w:jc w:val="center"/>
        <w:rPr>
          <w:snapToGrid w:val="0"/>
          <w:sz w:val="28"/>
          <w:szCs w:val="28"/>
        </w:rPr>
      </w:pPr>
    </w:p>
    <w:p>
      <w:pPr>
        <w:pStyle w:val="6"/>
        <w:jc w:val="center"/>
        <w:rPr>
          <w:rFonts w:ascii="宋体" w:hAnsi="宋体" w:eastAsia="宋体"/>
          <w:snapToGrid w:val="0"/>
          <w:sz w:val="28"/>
          <w:szCs w:val="28"/>
        </w:rPr>
      </w:pPr>
      <w:r>
        <w:rPr>
          <w:snapToGrid w:val="0"/>
          <w:sz w:val="28"/>
          <w:szCs w:val="28"/>
        </w:rPr>
        <w:br w:type="page"/>
      </w:r>
      <w:bookmarkEnd w:id="750"/>
      <w:bookmarkEnd w:id="751"/>
      <w:bookmarkEnd w:id="752"/>
      <w:bookmarkEnd w:id="753"/>
      <w:bookmarkStart w:id="759" w:name="_Toc309712973"/>
      <w:bookmarkStart w:id="760" w:name="_Toc306762951"/>
      <w:bookmarkStart w:id="761" w:name="_Toc17059"/>
      <w:r>
        <w:rPr>
          <w:rFonts w:ascii="宋体" w:hAnsi="宋体" w:eastAsia="宋体"/>
          <w:snapToGrid w:val="0"/>
          <w:sz w:val="32"/>
          <w:szCs w:val="32"/>
        </w:rPr>
        <w:t>二、法定代表人身份证明</w:t>
      </w:r>
      <w:bookmarkEnd w:id="759"/>
      <w:bookmarkEnd w:id="760"/>
      <w:bookmarkEnd w:id="761"/>
    </w:p>
    <w:p>
      <w:pPr>
        <w:ind w:firstLine="480" w:firstLineChars="200"/>
        <w:rPr>
          <w:rFonts w:ascii="宋体" w:hAnsi="宋体"/>
          <w:snapToGrid w:val="0"/>
          <w:szCs w:val="21"/>
        </w:rPr>
      </w:pPr>
    </w:p>
    <w:p>
      <w:pPr>
        <w:spacing w:line="360" w:lineRule="auto"/>
        <w:ind w:firstLine="480" w:firstLineChars="200"/>
        <w:rPr>
          <w:rFonts w:ascii="宋体" w:hAnsi="宋体"/>
          <w:snapToGrid w:val="0"/>
          <w:szCs w:val="21"/>
        </w:rPr>
      </w:pPr>
      <w:r>
        <w:rPr>
          <w:rFonts w:hint="eastAsia" w:ascii="宋体" w:hAnsi="宋体"/>
          <w:snapToGrid w:val="0"/>
          <w:szCs w:val="21"/>
        </w:rPr>
        <w:t>竞包人</w:t>
      </w:r>
      <w:r>
        <w:rPr>
          <w:rFonts w:ascii="宋体" w:hAnsi="宋体"/>
          <w:snapToGrid w:val="0"/>
          <w:szCs w:val="21"/>
        </w:rPr>
        <w:t>名称：</w:t>
      </w:r>
      <w:r>
        <w:rPr>
          <w:rFonts w:hint="eastAsia" w:ascii="宋体" w:hAnsi="宋体"/>
          <w:snapToGrid w:val="0"/>
          <w:szCs w:val="21"/>
        </w:rPr>
        <w:t>___________________________________</w:t>
      </w:r>
    </w:p>
    <w:p>
      <w:pPr>
        <w:spacing w:line="360" w:lineRule="auto"/>
        <w:ind w:firstLine="480" w:firstLineChars="200"/>
        <w:rPr>
          <w:rFonts w:ascii="宋体" w:hAnsi="宋体"/>
          <w:snapToGrid w:val="0"/>
          <w:szCs w:val="21"/>
        </w:rPr>
      </w:pPr>
      <w:r>
        <w:rPr>
          <w:rFonts w:ascii="宋体" w:hAnsi="宋体"/>
          <w:snapToGrid w:val="0"/>
          <w:szCs w:val="21"/>
        </w:rPr>
        <w:t>单位性质：</w:t>
      </w:r>
      <w:r>
        <w:rPr>
          <w:rFonts w:hint="eastAsia" w:ascii="宋体" w:hAnsi="宋体"/>
          <w:snapToGrid w:val="0"/>
          <w:szCs w:val="21"/>
        </w:rPr>
        <w:t>________________________________________</w:t>
      </w:r>
    </w:p>
    <w:p>
      <w:pPr>
        <w:spacing w:line="360" w:lineRule="auto"/>
        <w:ind w:firstLine="480" w:firstLineChars="200"/>
        <w:rPr>
          <w:rFonts w:ascii="宋体" w:hAnsi="宋体"/>
          <w:snapToGrid w:val="0"/>
          <w:szCs w:val="21"/>
        </w:rPr>
      </w:pPr>
      <w:r>
        <w:rPr>
          <w:rFonts w:ascii="宋体" w:hAnsi="宋体"/>
          <w:snapToGrid w:val="0"/>
          <w:szCs w:val="21"/>
        </w:rPr>
        <w:t>地址：</w:t>
      </w:r>
      <w:r>
        <w:rPr>
          <w:rFonts w:hint="eastAsia" w:ascii="宋体" w:hAnsi="宋体"/>
          <w:snapToGrid w:val="0"/>
          <w:szCs w:val="21"/>
        </w:rPr>
        <w:t>_____________________________________________</w:t>
      </w:r>
    </w:p>
    <w:p>
      <w:pPr>
        <w:spacing w:line="360" w:lineRule="auto"/>
        <w:ind w:firstLine="480" w:firstLineChars="200"/>
        <w:rPr>
          <w:rFonts w:ascii="宋体" w:hAnsi="宋体"/>
          <w:snapToGrid w:val="0"/>
          <w:szCs w:val="21"/>
        </w:rPr>
      </w:pPr>
      <w:r>
        <w:rPr>
          <w:rFonts w:ascii="宋体" w:hAnsi="宋体"/>
          <w:snapToGrid w:val="0"/>
          <w:szCs w:val="21"/>
        </w:rPr>
        <w:t>成立时间：</w:t>
      </w:r>
      <w:r>
        <w:rPr>
          <w:rFonts w:hint="eastAsia" w:ascii="宋体" w:hAnsi="宋体"/>
          <w:snapToGrid w:val="0"/>
          <w:szCs w:val="21"/>
        </w:rPr>
        <w:t>______</w:t>
      </w:r>
      <w:r>
        <w:rPr>
          <w:rFonts w:ascii="宋体" w:hAnsi="宋体"/>
          <w:snapToGrid w:val="0"/>
          <w:szCs w:val="21"/>
        </w:rPr>
        <w:t>年</w:t>
      </w:r>
      <w:r>
        <w:rPr>
          <w:rFonts w:hint="eastAsia" w:ascii="宋体" w:hAnsi="宋体"/>
          <w:snapToGrid w:val="0"/>
          <w:szCs w:val="21"/>
        </w:rPr>
        <w:t>______</w:t>
      </w:r>
      <w:r>
        <w:rPr>
          <w:rFonts w:ascii="宋体" w:hAnsi="宋体"/>
          <w:snapToGrid w:val="0"/>
          <w:szCs w:val="21"/>
        </w:rPr>
        <w:t>月</w:t>
      </w:r>
      <w:r>
        <w:rPr>
          <w:rFonts w:hint="eastAsia" w:ascii="宋体" w:hAnsi="宋体"/>
          <w:snapToGrid w:val="0"/>
          <w:szCs w:val="21"/>
        </w:rPr>
        <w:t>______</w:t>
      </w:r>
      <w:r>
        <w:rPr>
          <w:rFonts w:ascii="宋体" w:hAnsi="宋体"/>
          <w:snapToGrid w:val="0"/>
          <w:szCs w:val="21"/>
        </w:rPr>
        <w:t>日</w:t>
      </w:r>
    </w:p>
    <w:p>
      <w:pPr>
        <w:spacing w:line="360" w:lineRule="auto"/>
        <w:ind w:firstLine="480" w:firstLineChars="200"/>
        <w:rPr>
          <w:rFonts w:ascii="宋体" w:hAnsi="宋体"/>
          <w:snapToGrid w:val="0"/>
          <w:szCs w:val="21"/>
        </w:rPr>
      </w:pPr>
      <w:r>
        <w:rPr>
          <w:rFonts w:ascii="宋体" w:hAnsi="宋体"/>
          <w:snapToGrid w:val="0"/>
          <w:szCs w:val="21"/>
        </w:rPr>
        <w:t>经营期限：</w:t>
      </w:r>
      <w:r>
        <w:rPr>
          <w:rFonts w:hint="eastAsia" w:ascii="宋体" w:hAnsi="宋体"/>
          <w:snapToGrid w:val="0"/>
          <w:szCs w:val="21"/>
        </w:rPr>
        <w:t>______________________</w:t>
      </w:r>
    </w:p>
    <w:p>
      <w:pPr>
        <w:spacing w:line="360" w:lineRule="auto"/>
        <w:ind w:firstLine="480" w:firstLineChars="200"/>
        <w:rPr>
          <w:rFonts w:ascii="宋体" w:hAnsi="宋体"/>
          <w:snapToGrid w:val="0"/>
          <w:szCs w:val="21"/>
        </w:rPr>
      </w:pPr>
      <w:r>
        <w:rPr>
          <w:rFonts w:ascii="宋体" w:hAnsi="宋体"/>
          <w:snapToGrid w:val="0"/>
          <w:szCs w:val="21"/>
        </w:rPr>
        <w:t>姓名：</w:t>
      </w:r>
      <w:r>
        <w:rPr>
          <w:rFonts w:hint="eastAsia" w:ascii="宋体" w:hAnsi="宋体"/>
          <w:snapToGrid w:val="0"/>
          <w:szCs w:val="21"/>
        </w:rPr>
        <w:t>__________</w:t>
      </w:r>
      <w:r>
        <w:rPr>
          <w:rFonts w:ascii="宋体" w:hAnsi="宋体"/>
          <w:snapToGrid w:val="0"/>
          <w:szCs w:val="21"/>
        </w:rPr>
        <w:t>性别：</w:t>
      </w:r>
      <w:r>
        <w:rPr>
          <w:rFonts w:hint="eastAsia" w:ascii="宋体" w:hAnsi="宋体"/>
          <w:snapToGrid w:val="0"/>
          <w:szCs w:val="21"/>
        </w:rPr>
        <w:t>_________</w:t>
      </w:r>
      <w:r>
        <w:rPr>
          <w:rFonts w:ascii="宋体" w:hAnsi="宋体"/>
          <w:snapToGrid w:val="0"/>
          <w:szCs w:val="21"/>
        </w:rPr>
        <w:t>年龄：</w:t>
      </w:r>
      <w:r>
        <w:rPr>
          <w:rFonts w:hint="eastAsia" w:ascii="宋体" w:hAnsi="宋体"/>
          <w:snapToGrid w:val="0"/>
          <w:szCs w:val="21"/>
        </w:rPr>
        <w:t>________</w:t>
      </w:r>
      <w:r>
        <w:rPr>
          <w:rFonts w:ascii="宋体" w:hAnsi="宋体"/>
          <w:snapToGrid w:val="0"/>
          <w:szCs w:val="21"/>
        </w:rPr>
        <w:t>职务：_</w:t>
      </w:r>
      <w:r>
        <w:rPr>
          <w:rFonts w:hint="eastAsia" w:ascii="宋体" w:hAnsi="宋体"/>
          <w:snapToGrid w:val="0"/>
          <w:szCs w:val="21"/>
        </w:rPr>
        <w:t>_______</w:t>
      </w:r>
    </w:p>
    <w:p>
      <w:pPr>
        <w:spacing w:line="360" w:lineRule="auto"/>
        <w:ind w:firstLine="480" w:firstLineChars="200"/>
        <w:rPr>
          <w:rFonts w:ascii="宋体" w:hAnsi="宋体"/>
          <w:snapToGrid w:val="0"/>
          <w:szCs w:val="21"/>
        </w:rPr>
      </w:pPr>
      <w:r>
        <w:rPr>
          <w:rFonts w:ascii="宋体" w:hAnsi="宋体"/>
          <w:snapToGrid w:val="0"/>
          <w:szCs w:val="21"/>
        </w:rPr>
        <w:t>系</w:t>
      </w:r>
      <w:r>
        <w:rPr>
          <w:rFonts w:hint="eastAsia" w:ascii="宋体" w:hAnsi="宋体"/>
          <w:snapToGrid w:val="0"/>
          <w:szCs w:val="21"/>
        </w:rPr>
        <w:t>___________________</w:t>
      </w:r>
      <w:r>
        <w:rPr>
          <w:rFonts w:ascii="宋体" w:hAnsi="宋体"/>
          <w:snapToGrid w:val="0"/>
          <w:szCs w:val="21"/>
        </w:rPr>
        <w:t>（</w:t>
      </w:r>
      <w:r>
        <w:rPr>
          <w:rFonts w:hint="eastAsia" w:ascii="宋体" w:hAnsi="宋体"/>
          <w:snapToGrid w:val="0"/>
          <w:szCs w:val="21"/>
        </w:rPr>
        <w:t>竞包人</w:t>
      </w:r>
      <w:r>
        <w:rPr>
          <w:rFonts w:ascii="宋体" w:hAnsi="宋体"/>
          <w:snapToGrid w:val="0"/>
          <w:szCs w:val="21"/>
        </w:rPr>
        <w:t>名称）的法定代表人。</w:t>
      </w:r>
    </w:p>
    <w:p>
      <w:pPr>
        <w:spacing w:line="360" w:lineRule="auto"/>
        <w:ind w:firstLine="960" w:firstLineChars="400"/>
        <w:rPr>
          <w:rFonts w:ascii="宋体" w:hAnsi="宋体"/>
          <w:snapToGrid w:val="0"/>
          <w:szCs w:val="21"/>
        </w:rPr>
      </w:pPr>
      <w:r>
        <w:rPr>
          <w:rFonts w:ascii="宋体" w:hAnsi="宋体"/>
          <w:snapToGrid w:val="0"/>
          <w:szCs w:val="21"/>
        </w:rPr>
        <w:t>特此证明。</w:t>
      </w:r>
    </w:p>
    <w:p>
      <w:pPr>
        <w:spacing w:line="360" w:lineRule="auto"/>
        <w:ind w:firstLine="480" w:firstLineChars="200"/>
        <w:rPr>
          <w:rFonts w:ascii="宋体" w:hAnsi="宋体"/>
          <w:snapToGrid w:val="0"/>
          <w:szCs w:val="21"/>
        </w:rPr>
      </w:pPr>
    </w:p>
    <w:p>
      <w:pPr>
        <w:spacing w:line="360" w:lineRule="auto"/>
        <w:ind w:firstLine="480" w:firstLineChars="200"/>
        <w:rPr>
          <w:rFonts w:ascii="宋体" w:hAnsi="宋体"/>
          <w:snapToGrid w:val="0"/>
          <w:szCs w:val="21"/>
        </w:rPr>
      </w:pPr>
    </w:p>
    <w:p>
      <w:pPr>
        <w:spacing w:line="360" w:lineRule="auto"/>
        <w:ind w:firstLine="4636" w:firstLineChars="1932"/>
        <w:rPr>
          <w:rFonts w:ascii="宋体" w:hAnsi="宋体"/>
          <w:snapToGrid w:val="0"/>
          <w:szCs w:val="21"/>
        </w:rPr>
      </w:pPr>
      <w:r>
        <w:rPr>
          <w:rFonts w:hint="eastAsia" w:ascii="宋体" w:hAnsi="宋体"/>
          <w:snapToGrid w:val="0"/>
          <w:szCs w:val="21"/>
        </w:rPr>
        <w:t>竞包人</w:t>
      </w:r>
      <w:r>
        <w:rPr>
          <w:rFonts w:ascii="宋体" w:hAnsi="宋体"/>
          <w:snapToGrid w:val="0"/>
          <w:szCs w:val="21"/>
        </w:rPr>
        <w:t>：</w:t>
      </w:r>
      <w:r>
        <w:rPr>
          <w:rFonts w:hint="eastAsia" w:ascii="宋体" w:hAnsi="宋体"/>
          <w:snapToGrid w:val="0"/>
          <w:szCs w:val="21"/>
        </w:rPr>
        <w:t>_________________</w:t>
      </w:r>
      <w:r>
        <w:rPr>
          <w:rFonts w:ascii="宋体" w:hAnsi="宋体"/>
          <w:snapToGrid w:val="0"/>
          <w:szCs w:val="21"/>
        </w:rPr>
        <w:t>（盖单位章）</w:t>
      </w:r>
    </w:p>
    <w:p>
      <w:pPr>
        <w:spacing w:line="360" w:lineRule="auto"/>
        <w:ind w:firstLine="5160" w:firstLineChars="2150"/>
        <w:rPr>
          <w:rFonts w:ascii="宋体" w:hAnsi="宋体"/>
          <w:snapToGrid w:val="0"/>
          <w:szCs w:val="21"/>
          <w:u w:val="single"/>
        </w:rPr>
      </w:pPr>
    </w:p>
    <w:p>
      <w:pPr>
        <w:spacing w:line="360" w:lineRule="auto"/>
        <w:ind w:firstLine="5160" w:firstLineChars="2150"/>
        <w:rPr>
          <w:rFonts w:ascii="宋体" w:hAnsi="宋体"/>
          <w:snapToGrid w:val="0"/>
          <w:szCs w:val="21"/>
        </w:rPr>
      </w:pPr>
      <w:r>
        <w:rPr>
          <w:rFonts w:hint="eastAsia" w:ascii="宋体" w:hAnsi="宋体"/>
          <w:snapToGrid w:val="0"/>
          <w:szCs w:val="21"/>
        </w:rPr>
        <w:t>_______</w:t>
      </w:r>
      <w:r>
        <w:rPr>
          <w:rFonts w:ascii="宋体" w:hAnsi="宋体"/>
          <w:snapToGrid w:val="0"/>
          <w:szCs w:val="21"/>
        </w:rPr>
        <w:t>年</w:t>
      </w:r>
      <w:r>
        <w:rPr>
          <w:rFonts w:hint="eastAsia" w:ascii="宋体" w:hAnsi="宋体"/>
          <w:snapToGrid w:val="0"/>
          <w:szCs w:val="21"/>
        </w:rPr>
        <w:t>______</w:t>
      </w:r>
      <w:r>
        <w:rPr>
          <w:rFonts w:ascii="宋体" w:hAnsi="宋体"/>
          <w:snapToGrid w:val="0"/>
          <w:szCs w:val="21"/>
        </w:rPr>
        <w:t>月</w:t>
      </w:r>
      <w:r>
        <w:rPr>
          <w:rFonts w:hint="eastAsia" w:ascii="宋体" w:hAnsi="宋体"/>
          <w:snapToGrid w:val="0"/>
          <w:szCs w:val="21"/>
        </w:rPr>
        <w:t>______</w:t>
      </w:r>
      <w:r>
        <w:rPr>
          <w:rFonts w:ascii="宋体" w:hAnsi="宋体"/>
          <w:snapToGrid w:val="0"/>
          <w:szCs w:val="21"/>
        </w:rPr>
        <w:t>日</w:t>
      </w:r>
    </w:p>
    <w:p>
      <w:pPr>
        <w:spacing w:line="360" w:lineRule="auto"/>
        <w:ind w:firstLine="480" w:firstLineChars="200"/>
        <w:rPr>
          <w:rFonts w:ascii="宋体" w:hAnsi="宋体"/>
          <w:snapToGrid w:val="0"/>
          <w:szCs w:val="21"/>
        </w:rPr>
      </w:pPr>
    </w:p>
    <w:p>
      <w:pPr>
        <w:spacing w:line="360" w:lineRule="auto"/>
        <w:ind w:firstLine="480" w:firstLineChars="200"/>
        <w:rPr>
          <w:rFonts w:ascii="宋体" w:hAnsi="宋体"/>
          <w:snapToGrid w:val="0"/>
          <w:szCs w:val="21"/>
        </w:rPr>
      </w:pPr>
    </w:p>
    <w:p>
      <w:pPr>
        <w:pStyle w:val="2"/>
      </w:pPr>
    </w:p>
    <w:p>
      <w:pPr>
        <w:pStyle w:val="6"/>
        <w:spacing w:line="360" w:lineRule="auto"/>
        <w:jc w:val="center"/>
        <w:rPr>
          <w:rFonts w:ascii="宋体" w:hAnsi="宋体" w:eastAsia="宋体"/>
          <w:snapToGrid w:val="0"/>
          <w:sz w:val="28"/>
          <w:szCs w:val="28"/>
        </w:rPr>
      </w:pPr>
      <w:r>
        <w:rPr>
          <w:rFonts w:ascii="宋体" w:hAnsi="宋体" w:eastAsia="宋体"/>
          <w:snapToGrid w:val="0"/>
          <w:sz w:val="28"/>
          <w:szCs w:val="28"/>
        </w:rPr>
        <w:br w:type="page"/>
      </w:r>
      <w:bookmarkStart w:id="762" w:name="_Toc3575"/>
      <w:bookmarkStart w:id="763" w:name="_Toc240864056"/>
      <w:bookmarkStart w:id="764" w:name="_Toc306762952"/>
      <w:bookmarkStart w:id="765" w:name="_Toc232080207"/>
      <w:bookmarkStart w:id="766" w:name="_Toc309712974"/>
      <w:r>
        <w:rPr>
          <w:rFonts w:hint="eastAsia" w:ascii="宋体" w:hAnsi="宋体" w:eastAsia="宋体"/>
          <w:snapToGrid w:val="0"/>
          <w:sz w:val="28"/>
          <w:szCs w:val="28"/>
        </w:rPr>
        <w:t>二</w:t>
      </w:r>
      <w:r>
        <w:rPr>
          <w:rFonts w:ascii="宋体" w:hAnsi="宋体" w:eastAsia="宋体"/>
          <w:snapToGrid w:val="0"/>
          <w:sz w:val="32"/>
          <w:szCs w:val="32"/>
        </w:rPr>
        <w:t>、授权委托书</w:t>
      </w:r>
      <w:bookmarkEnd w:id="762"/>
      <w:bookmarkEnd w:id="763"/>
      <w:bookmarkEnd w:id="764"/>
      <w:bookmarkEnd w:id="765"/>
      <w:bookmarkEnd w:id="766"/>
    </w:p>
    <w:p>
      <w:pPr>
        <w:ind w:firstLine="480" w:firstLineChars="200"/>
        <w:rPr>
          <w:rFonts w:ascii="宋体" w:hAnsi="宋体"/>
          <w:snapToGrid w:val="0"/>
          <w:szCs w:val="21"/>
        </w:rPr>
      </w:pPr>
    </w:p>
    <w:p>
      <w:pPr>
        <w:spacing w:line="360" w:lineRule="auto"/>
        <w:ind w:firstLine="480" w:firstLineChars="200"/>
        <w:rPr>
          <w:rFonts w:ascii="宋体" w:hAnsi="宋体"/>
          <w:snapToGrid w:val="0"/>
          <w:szCs w:val="21"/>
        </w:rPr>
      </w:pPr>
      <w:r>
        <w:rPr>
          <w:rFonts w:ascii="宋体" w:hAnsi="宋体"/>
          <w:snapToGrid w:val="0"/>
          <w:szCs w:val="21"/>
        </w:rPr>
        <w:t>本人</w:t>
      </w:r>
      <w:r>
        <w:rPr>
          <w:rFonts w:hint="eastAsia" w:ascii="宋体" w:hAnsi="宋体"/>
          <w:snapToGrid w:val="0"/>
          <w:szCs w:val="21"/>
        </w:rPr>
        <w:t>_________</w:t>
      </w:r>
      <w:r>
        <w:rPr>
          <w:rFonts w:ascii="宋体" w:hAnsi="宋体"/>
          <w:snapToGrid w:val="0"/>
          <w:szCs w:val="21"/>
        </w:rPr>
        <w:t>（姓名）系</w:t>
      </w:r>
      <w:r>
        <w:rPr>
          <w:rFonts w:hint="eastAsia" w:ascii="宋体" w:hAnsi="宋体"/>
          <w:snapToGrid w:val="0"/>
          <w:szCs w:val="21"/>
        </w:rPr>
        <w:t>_____________</w:t>
      </w:r>
      <w:r>
        <w:rPr>
          <w:rFonts w:ascii="宋体" w:hAnsi="宋体"/>
          <w:snapToGrid w:val="0"/>
          <w:szCs w:val="21"/>
        </w:rPr>
        <w:t>（</w:t>
      </w:r>
      <w:r>
        <w:rPr>
          <w:rFonts w:hint="eastAsia" w:ascii="宋体" w:hAnsi="宋体"/>
          <w:snapToGrid w:val="0"/>
          <w:szCs w:val="21"/>
        </w:rPr>
        <w:t>竞包人</w:t>
      </w:r>
      <w:r>
        <w:rPr>
          <w:rFonts w:ascii="宋体" w:hAnsi="宋体"/>
          <w:snapToGrid w:val="0"/>
          <w:szCs w:val="21"/>
        </w:rPr>
        <w:t>名称）的法定代表人，现委托</w:t>
      </w:r>
      <w:r>
        <w:rPr>
          <w:rFonts w:hint="eastAsia" w:ascii="宋体" w:hAnsi="宋体"/>
          <w:snapToGrid w:val="0"/>
          <w:szCs w:val="21"/>
        </w:rPr>
        <w:t>__________</w:t>
      </w:r>
      <w:r>
        <w:rPr>
          <w:rFonts w:ascii="宋体" w:hAnsi="宋体"/>
          <w:snapToGrid w:val="0"/>
          <w:szCs w:val="21"/>
        </w:rPr>
        <w:t>（姓名）为我方代理人。代理人根据授权，以我方名义签署、澄清、说明、补正、递交、撤回、修改</w:t>
      </w:r>
      <w:r>
        <w:rPr>
          <w:rFonts w:hint="eastAsia" w:ascii="宋体" w:hAnsi="宋体"/>
          <w:snapToGrid w:val="0"/>
          <w:szCs w:val="21"/>
        </w:rPr>
        <w:t>__________________</w:t>
      </w:r>
      <w:r>
        <w:rPr>
          <w:rFonts w:ascii="宋体" w:hAnsi="宋体"/>
          <w:snapToGrid w:val="0"/>
          <w:szCs w:val="21"/>
        </w:rPr>
        <w:t>（项目名称）标段施工</w:t>
      </w:r>
      <w:r>
        <w:rPr>
          <w:rFonts w:hint="eastAsia" w:ascii="宋体" w:hAnsi="宋体"/>
          <w:snapToGrid w:val="0"/>
          <w:szCs w:val="21"/>
        </w:rPr>
        <w:t>竞包文件</w:t>
      </w:r>
      <w:r>
        <w:rPr>
          <w:rFonts w:ascii="宋体" w:hAnsi="宋体"/>
          <w:snapToGrid w:val="0"/>
          <w:szCs w:val="21"/>
        </w:rPr>
        <w:t>、签订合同和处理有关事宜，其法律后果由我方承担。</w:t>
      </w:r>
    </w:p>
    <w:p>
      <w:pPr>
        <w:spacing w:line="360" w:lineRule="auto"/>
        <w:ind w:firstLine="480" w:firstLineChars="200"/>
        <w:rPr>
          <w:rFonts w:ascii="宋体" w:hAnsi="宋体"/>
          <w:snapToGrid w:val="0"/>
          <w:szCs w:val="21"/>
        </w:rPr>
      </w:pPr>
      <w:r>
        <w:rPr>
          <w:rFonts w:ascii="宋体" w:hAnsi="宋体"/>
          <w:snapToGrid w:val="0"/>
          <w:szCs w:val="21"/>
        </w:rPr>
        <w:t>委托期限：</w:t>
      </w:r>
      <w:r>
        <w:rPr>
          <w:rFonts w:hint="eastAsia" w:ascii="宋体" w:hAnsi="宋体"/>
          <w:snapToGrid w:val="0"/>
          <w:szCs w:val="21"/>
        </w:rPr>
        <w:t>______________________________</w:t>
      </w:r>
    </w:p>
    <w:p>
      <w:pPr>
        <w:spacing w:line="360" w:lineRule="auto"/>
        <w:ind w:firstLine="480" w:firstLineChars="200"/>
        <w:rPr>
          <w:rFonts w:ascii="宋体" w:hAnsi="宋体"/>
          <w:snapToGrid w:val="0"/>
          <w:szCs w:val="21"/>
        </w:rPr>
      </w:pPr>
      <w:r>
        <w:rPr>
          <w:rFonts w:ascii="宋体" w:hAnsi="宋体"/>
          <w:snapToGrid w:val="0"/>
          <w:szCs w:val="21"/>
        </w:rPr>
        <w:t>代理人无转委托权。</w:t>
      </w:r>
    </w:p>
    <w:p>
      <w:pPr>
        <w:spacing w:line="360" w:lineRule="auto"/>
        <w:ind w:firstLine="480" w:firstLineChars="200"/>
        <w:rPr>
          <w:rFonts w:ascii="宋体" w:hAnsi="宋体"/>
          <w:snapToGrid w:val="0"/>
          <w:szCs w:val="21"/>
        </w:rPr>
      </w:pPr>
      <w:r>
        <w:rPr>
          <w:rFonts w:ascii="宋体" w:hAnsi="宋体"/>
          <w:snapToGrid w:val="0"/>
          <w:szCs w:val="21"/>
        </w:rPr>
        <w:t>附：法定代表人身份证明</w:t>
      </w:r>
      <w:r>
        <w:rPr>
          <w:rFonts w:hint="eastAsia" w:ascii="宋体" w:hAnsi="宋体"/>
          <w:snapToGrid w:val="0"/>
          <w:szCs w:val="21"/>
        </w:rPr>
        <w:t>、身份证</w:t>
      </w:r>
    </w:p>
    <w:p>
      <w:pPr>
        <w:spacing w:line="360" w:lineRule="auto"/>
        <w:rPr>
          <w:rFonts w:ascii="宋体" w:hAnsi="宋体"/>
          <w:snapToGrid w:val="0"/>
          <w:szCs w:val="21"/>
        </w:rPr>
      </w:pPr>
    </w:p>
    <w:p>
      <w:pPr>
        <w:spacing w:line="360" w:lineRule="auto"/>
        <w:ind w:firstLine="3360" w:firstLineChars="1400"/>
        <w:rPr>
          <w:rFonts w:ascii="宋体" w:hAnsi="宋体"/>
          <w:snapToGrid w:val="0"/>
          <w:szCs w:val="21"/>
        </w:rPr>
      </w:pPr>
      <w:r>
        <w:rPr>
          <w:rFonts w:hint="eastAsia" w:ascii="宋体" w:hAnsi="宋体"/>
          <w:snapToGrid w:val="0"/>
          <w:szCs w:val="21"/>
        </w:rPr>
        <w:t>竞包人</w:t>
      </w:r>
      <w:r>
        <w:rPr>
          <w:rFonts w:ascii="宋体" w:hAnsi="宋体"/>
          <w:snapToGrid w:val="0"/>
          <w:szCs w:val="21"/>
        </w:rPr>
        <w:t>：</w:t>
      </w:r>
      <w:r>
        <w:rPr>
          <w:rFonts w:hint="eastAsia" w:ascii="宋体" w:hAnsi="宋体"/>
          <w:snapToGrid w:val="0"/>
          <w:szCs w:val="21"/>
        </w:rPr>
        <w:t>________________________</w:t>
      </w:r>
      <w:r>
        <w:rPr>
          <w:rFonts w:ascii="宋体" w:hAnsi="宋体"/>
          <w:snapToGrid w:val="0"/>
          <w:szCs w:val="21"/>
        </w:rPr>
        <w:t>（盖单位章）</w:t>
      </w:r>
    </w:p>
    <w:p>
      <w:pPr>
        <w:spacing w:line="360" w:lineRule="auto"/>
        <w:ind w:firstLine="3360" w:firstLineChars="1400"/>
        <w:rPr>
          <w:rFonts w:ascii="宋体" w:hAnsi="宋体"/>
          <w:snapToGrid w:val="0"/>
          <w:szCs w:val="21"/>
        </w:rPr>
      </w:pPr>
      <w:r>
        <w:rPr>
          <w:rFonts w:ascii="宋体" w:hAnsi="宋体"/>
          <w:snapToGrid w:val="0"/>
          <w:szCs w:val="21"/>
        </w:rPr>
        <w:t>法定代表人：</w:t>
      </w:r>
      <w:r>
        <w:rPr>
          <w:rFonts w:hint="eastAsia" w:ascii="宋体" w:hAnsi="宋体"/>
          <w:snapToGrid w:val="0"/>
          <w:szCs w:val="21"/>
        </w:rPr>
        <w:t>______________</w:t>
      </w:r>
      <w:r>
        <w:rPr>
          <w:rFonts w:ascii="宋体" w:hAnsi="宋体"/>
          <w:snapToGrid w:val="0"/>
          <w:szCs w:val="21"/>
        </w:rPr>
        <w:t>（签字</w:t>
      </w:r>
      <w:r>
        <w:rPr>
          <w:rFonts w:hint="eastAsia" w:ascii="宋体" w:hAnsi="宋体"/>
          <w:snapToGrid w:val="0"/>
          <w:szCs w:val="21"/>
        </w:rPr>
        <w:t>或盖章</w:t>
      </w:r>
      <w:r>
        <w:rPr>
          <w:rFonts w:ascii="宋体" w:hAnsi="宋体"/>
          <w:snapToGrid w:val="0"/>
          <w:szCs w:val="21"/>
        </w:rPr>
        <w:t>）</w:t>
      </w:r>
    </w:p>
    <w:p>
      <w:pPr>
        <w:spacing w:line="360" w:lineRule="auto"/>
        <w:ind w:firstLine="3360" w:firstLineChars="1400"/>
        <w:rPr>
          <w:rFonts w:ascii="宋体" w:hAnsi="宋体"/>
          <w:snapToGrid w:val="0"/>
          <w:szCs w:val="21"/>
        </w:rPr>
      </w:pPr>
      <w:r>
        <w:rPr>
          <w:rFonts w:ascii="宋体" w:hAnsi="宋体"/>
          <w:snapToGrid w:val="0"/>
          <w:szCs w:val="21"/>
        </w:rPr>
        <w:t>身份证号码：</w:t>
      </w:r>
      <w:r>
        <w:rPr>
          <w:rFonts w:hint="eastAsia" w:ascii="宋体" w:hAnsi="宋体"/>
          <w:snapToGrid w:val="0"/>
          <w:szCs w:val="21"/>
        </w:rPr>
        <w:t>_________________________</w:t>
      </w:r>
    </w:p>
    <w:p>
      <w:pPr>
        <w:spacing w:line="360" w:lineRule="auto"/>
        <w:ind w:firstLine="3360" w:firstLineChars="1400"/>
        <w:rPr>
          <w:rFonts w:ascii="宋体" w:hAnsi="宋体"/>
          <w:snapToGrid w:val="0"/>
          <w:szCs w:val="21"/>
        </w:rPr>
      </w:pPr>
      <w:r>
        <w:rPr>
          <w:rFonts w:ascii="宋体" w:hAnsi="宋体"/>
          <w:snapToGrid w:val="0"/>
          <w:szCs w:val="21"/>
        </w:rPr>
        <w:t>委托代理人：</w:t>
      </w:r>
      <w:r>
        <w:rPr>
          <w:rFonts w:hint="eastAsia" w:ascii="宋体" w:hAnsi="宋体"/>
          <w:snapToGrid w:val="0"/>
          <w:szCs w:val="21"/>
        </w:rPr>
        <w:t>_____________________</w:t>
      </w:r>
      <w:r>
        <w:rPr>
          <w:rFonts w:ascii="宋体" w:hAnsi="宋体"/>
          <w:snapToGrid w:val="0"/>
          <w:szCs w:val="21"/>
        </w:rPr>
        <w:t>（签字）</w:t>
      </w:r>
    </w:p>
    <w:p>
      <w:pPr>
        <w:spacing w:line="360" w:lineRule="auto"/>
        <w:ind w:firstLine="3360" w:firstLineChars="1400"/>
        <w:rPr>
          <w:rFonts w:ascii="宋体" w:hAnsi="宋体"/>
          <w:snapToGrid w:val="0"/>
          <w:szCs w:val="21"/>
        </w:rPr>
      </w:pPr>
      <w:r>
        <w:rPr>
          <w:rFonts w:ascii="宋体" w:hAnsi="宋体"/>
          <w:snapToGrid w:val="0"/>
          <w:szCs w:val="21"/>
        </w:rPr>
        <w:t>身份证号码：</w:t>
      </w:r>
      <w:r>
        <w:rPr>
          <w:rFonts w:hint="eastAsia" w:ascii="宋体" w:hAnsi="宋体"/>
          <w:snapToGrid w:val="0"/>
          <w:szCs w:val="21"/>
        </w:rPr>
        <w:t>___________________________</w:t>
      </w:r>
    </w:p>
    <w:p>
      <w:pPr>
        <w:spacing w:line="360" w:lineRule="auto"/>
        <w:ind w:firstLine="5040" w:firstLineChars="2100"/>
        <w:rPr>
          <w:rFonts w:ascii="宋体" w:hAnsi="宋体"/>
          <w:snapToGrid w:val="0"/>
          <w:szCs w:val="21"/>
        </w:rPr>
      </w:pPr>
      <w:r>
        <w:rPr>
          <w:rFonts w:hint="eastAsia" w:ascii="宋体" w:hAnsi="宋体"/>
          <w:snapToGrid w:val="0"/>
          <w:szCs w:val="21"/>
        </w:rPr>
        <w:t>____</w:t>
      </w:r>
      <w:r>
        <w:rPr>
          <w:rFonts w:ascii="宋体" w:hAnsi="宋体"/>
          <w:snapToGrid w:val="0"/>
          <w:szCs w:val="21"/>
        </w:rPr>
        <w:t>年</w:t>
      </w:r>
      <w:r>
        <w:rPr>
          <w:rFonts w:hint="eastAsia" w:ascii="宋体" w:hAnsi="宋体"/>
          <w:snapToGrid w:val="0"/>
          <w:szCs w:val="21"/>
        </w:rPr>
        <w:t>_____</w:t>
      </w:r>
      <w:r>
        <w:rPr>
          <w:rFonts w:ascii="宋体" w:hAnsi="宋体"/>
          <w:snapToGrid w:val="0"/>
          <w:szCs w:val="21"/>
        </w:rPr>
        <w:t>月</w:t>
      </w:r>
      <w:r>
        <w:rPr>
          <w:rFonts w:hint="eastAsia" w:ascii="宋体" w:hAnsi="宋体"/>
          <w:snapToGrid w:val="0"/>
          <w:szCs w:val="21"/>
        </w:rPr>
        <w:t>______</w:t>
      </w:r>
      <w:r>
        <w:rPr>
          <w:rFonts w:ascii="宋体" w:hAnsi="宋体"/>
          <w:snapToGrid w:val="0"/>
          <w:szCs w:val="21"/>
        </w:rPr>
        <w:t>日</w:t>
      </w:r>
    </w:p>
    <w:p>
      <w:pPr>
        <w:ind w:firstLine="5040" w:firstLineChars="2100"/>
        <w:rPr>
          <w:rFonts w:ascii="宋体" w:hAnsi="宋体"/>
          <w:snapToGrid w:val="0"/>
          <w:szCs w:val="21"/>
        </w:rPr>
      </w:pPr>
    </w:p>
    <w:p>
      <w:pPr>
        <w:ind w:firstLine="480" w:firstLineChars="200"/>
        <w:rPr>
          <w:rFonts w:ascii="宋体" w:hAnsi="宋体"/>
          <w:snapToGrid w:val="0"/>
          <w:szCs w:val="21"/>
        </w:rPr>
      </w:pPr>
    </w:p>
    <w:p>
      <w:pPr>
        <w:rPr>
          <w:rFonts w:ascii="宋体" w:hAnsi="宋体"/>
          <w:snapToGrid w:val="0"/>
          <w:szCs w:val="21"/>
        </w:rPr>
      </w:pPr>
    </w:p>
    <w:p>
      <w:pPr>
        <w:ind w:firstLine="5040" w:firstLineChars="2100"/>
        <w:rPr>
          <w:snapToGrid w:val="0"/>
          <w:szCs w:val="21"/>
        </w:rPr>
      </w:pPr>
    </w:p>
    <w:p>
      <w:pPr>
        <w:ind w:firstLine="5040" w:firstLineChars="2100"/>
        <w:rPr>
          <w:snapToGrid w:val="0"/>
          <w:szCs w:val="21"/>
        </w:rPr>
      </w:pPr>
    </w:p>
    <w:p>
      <w:pPr>
        <w:ind w:firstLine="480" w:firstLineChars="200"/>
        <w:jc w:val="center"/>
        <w:rPr>
          <w:snapToGrid w:val="0"/>
          <w:sz w:val="28"/>
          <w:szCs w:val="28"/>
        </w:rPr>
      </w:pPr>
      <w:r>
        <w:rPr>
          <w:snapToGrid w:val="0"/>
          <w:szCs w:val="21"/>
        </w:rPr>
        <w:br w:type="page"/>
      </w:r>
      <w:r>
        <w:rPr>
          <w:rFonts w:hint="eastAsia"/>
          <w:snapToGrid w:val="0"/>
          <w:sz w:val="28"/>
          <w:szCs w:val="28"/>
        </w:rPr>
        <w:t>三、竞包保证金</w:t>
      </w:r>
    </w:p>
    <w:p>
      <w:pPr>
        <w:pStyle w:val="4"/>
      </w:pPr>
    </w:p>
    <w:tbl>
      <w:tblPr>
        <w:tblStyle w:val="24"/>
        <w:tblW w:w="8460" w:type="dxa"/>
        <w:tblInd w:w="468"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8460"/>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965" w:hRule="atLeast"/>
        </w:trPr>
        <w:tc>
          <w:tcPr>
            <w:tcW w:w="8460" w:type="dxa"/>
          </w:tcPr>
          <w:p>
            <w:pPr>
              <w:spacing w:line="360" w:lineRule="auto"/>
              <w:ind w:firstLine="5520" w:firstLineChars="2300"/>
              <w:rPr>
                <w:rFonts w:ascii="宋体" w:hAnsi="宋体"/>
                <w:snapToGrid w:val="0"/>
                <w:kern w:val="2"/>
                <w:szCs w:val="24"/>
              </w:rPr>
            </w:pPr>
          </w:p>
          <w:p>
            <w:pPr>
              <w:spacing w:line="360" w:lineRule="auto"/>
              <w:ind w:firstLine="5520" w:firstLineChars="2300"/>
              <w:rPr>
                <w:rFonts w:ascii="宋体" w:hAnsi="宋体"/>
                <w:snapToGrid w:val="0"/>
                <w:kern w:val="2"/>
                <w:szCs w:val="24"/>
              </w:rPr>
            </w:pPr>
          </w:p>
          <w:p>
            <w:pPr>
              <w:spacing w:line="360" w:lineRule="auto"/>
              <w:ind w:firstLine="5520" w:firstLineChars="2300"/>
              <w:rPr>
                <w:rFonts w:ascii="宋体" w:hAnsi="宋体"/>
                <w:snapToGrid w:val="0"/>
                <w:kern w:val="2"/>
                <w:szCs w:val="24"/>
              </w:rPr>
            </w:pPr>
          </w:p>
          <w:p>
            <w:pPr>
              <w:spacing w:line="360" w:lineRule="auto"/>
              <w:ind w:firstLine="5520" w:firstLineChars="2300"/>
              <w:rPr>
                <w:rFonts w:ascii="宋体" w:hAnsi="宋体"/>
                <w:snapToGrid w:val="0"/>
                <w:kern w:val="2"/>
                <w:szCs w:val="24"/>
              </w:rPr>
            </w:pPr>
          </w:p>
          <w:p>
            <w:pPr>
              <w:spacing w:line="360" w:lineRule="auto"/>
              <w:ind w:firstLine="5520" w:firstLineChars="2300"/>
              <w:rPr>
                <w:rFonts w:ascii="宋体" w:hAnsi="宋体"/>
                <w:snapToGrid w:val="0"/>
                <w:kern w:val="2"/>
                <w:szCs w:val="24"/>
              </w:rPr>
            </w:pPr>
          </w:p>
          <w:p>
            <w:pPr>
              <w:spacing w:line="360" w:lineRule="auto"/>
              <w:ind w:firstLine="5520" w:firstLineChars="2300"/>
              <w:rPr>
                <w:rFonts w:ascii="宋体" w:hAnsi="宋体"/>
                <w:snapToGrid w:val="0"/>
                <w:kern w:val="2"/>
                <w:szCs w:val="24"/>
              </w:rPr>
            </w:pPr>
          </w:p>
          <w:p>
            <w:pPr>
              <w:spacing w:line="360" w:lineRule="auto"/>
              <w:ind w:firstLine="5520" w:firstLineChars="2300"/>
              <w:rPr>
                <w:rFonts w:ascii="宋体" w:hAnsi="宋体"/>
                <w:snapToGrid w:val="0"/>
                <w:kern w:val="2"/>
                <w:szCs w:val="24"/>
              </w:rPr>
            </w:pPr>
          </w:p>
          <w:p>
            <w:pPr>
              <w:spacing w:line="360" w:lineRule="auto"/>
              <w:jc w:val="center"/>
              <w:rPr>
                <w:rFonts w:ascii="宋体" w:hAnsi="宋体"/>
                <w:snapToGrid w:val="0"/>
                <w:kern w:val="2"/>
                <w:szCs w:val="24"/>
              </w:rPr>
            </w:pPr>
            <w:r>
              <w:rPr>
                <w:rFonts w:hint="eastAsia" w:ascii="宋体" w:hAnsi="宋体"/>
                <w:snapToGrid w:val="0"/>
                <w:kern w:val="2"/>
                <w:szCs w:val="24"/>
              </w:rPr>
              <w:t>汇款凭证或收据复印件粘贴在此</w:t>
            </w:r>
          </w:p>
          <w:p>
            <w:pPr>
              <w:spacing w:line="360" w:lineRule="auto"/>
              <w:jc w:val="center"/>
              <w:rPr>
                <w:rFonts w:ascii="宋体" w:hAnsi="宋体"/>
                <w:snapToGrid w:val="0"/>
                <w:kern w:val="2"/>
                <w:szCs w:val="24"/>
              </w:rPr>
            </w:pPr>
          </w:p>
          <w:p>
            <w:pPr>
              <w:spacing w:line="360" w:lineRule="auto"/>
              <w:ind w:firstLine="5520" w:firstLineChars="2300"/>
              <w:rPr>
                <w:rFonts w:ascii="宋体" w:hAnsi="宋体"/>
                <w:snapToGrid w:val="0"/>
                <w:kern w:val="2"/>
                <w:szCs w:val="24"/>
              </w:rPr>
            </w:pPr>
          </w:p>
          <w:p>
            <w:pPr>
              <w:spacing w:line="360" w:lineRule="auto"/>
              <w:ind w:firstLine="5520" w:firstLineChars="2300"/>
              <w:rPr>
                <w:rFonts w:ascii="宋体" w:hAnsi="宋体"/>
                <w:snapToGrid w:val="0"/>
                <w:kern w:val="2"/>
                <w:szCs w:val="24"/>
              </w:rPr>
            </w:pPr>
          </w:p>
          <w:p>
            <w:pPr>
              <w:spacing w:line="360" w:lineRule="auto"/>
              <w:ind w:firstLine="5520" w:firstLineChars="2300"/>
              <w:rPr>
                <w:rFonts w:ascii="宋体" w:hAnsi="宋体"/>
                <w:snapToGrid w:val="0"/>
                <w:kern w:val="2"/>
                <w:szCs w:val="24"/>
              </w:rPr>
            </w:pPr>
          </w:p>
          <w:p>
            <w:pPr>
              <w:spacing w:line="360" w:lineRule="auto"/>
              <w:ind w:firstLine="5520" w:firstLineChars="2300"/>
              <w:rPr>
                <w:rFonts w:ascii="宋体" w:hAnsi="宋体"/>
                <w:snapToGrid w:val="0"/>
                <w:kern w:val="2"/>
                <w:szCs w:val="24"/>
              </w:rPr>
            </w:pPr>
          </w:p>
          <w:p>
            <w:pPr>
              <w:spacing w:line="360" w:lineRule="auto"/>
              <w:rPr>
                <w:rFonts w:ascii="宋体" w:hAnsi="宋体"/>
                <w:snapToGrid w:val="0"/>
                <w:kern w:val="2"/>
                <w:szCs w:val="24"/>
              </w:rPr>
            </w:pPr>
          </w:p>
        </w:tc>
      </w:tr>
    </w:tbl>
    <w:p>
      <w:pPr>
        <w:pStyle w:val="4"/>
      </w:pPr>
    </w:p>
    <w:p>
      <w:pPr>
        <w:pStyle w:val="4"/>
      </w:pPr>
    </w:p>
    <w:p>
      <w:pPr>
        <w:pStyle w:val="4"/>
        <w:ind w:firstLine="0"/>
      </w:pPr>
    </w:p>
    <w:p>
      <w:pPr>
        <w:pStyle w:val="6"/>
        <w:jc w:val="center"/>
        <w:rPr>
          <w:snapToGrid w:val="0"/>
          <w:sz w:val="28"/>
          <w:szCs w:val="28"/>
        </w:rPr>
      </w:pPr>
      <w:bookmarkStart w:id="767" w:name="_Toc217457101"/>
      <w:bookmarkStart w:id="768" w:name="_Toc217819180"/>
      <w:bookmarkStart w:id="769" w:name="_Toc336325397"/>
      <w:r>
        <w:rPr>
          <w:snapToGrid w:val="0"/>
          <w:sz w:val="28"/>
          <w:szCs w:val="28"/>
        </w:rPr>
        <w:br w:type="page"/>
      </w:r>
      <w:bookmarkStart w:id="770" w:name="_Toc6079"/>
      <w:r>
        <w:rPr>
          <w:rFonts w:hint="eastAsia"/>
          <w:snapToGrid w:val="0"/>
          <w:sz w:val="28"/>
          <w:szCs w:val="28"/>
        </w:rPr>
        <w:t>四</w:t>
      </w:r>
      <w:r>
        <w:rPr>
          <w:snapToGrid w:val="0"/>
          <w:sz w:val="28"/>
          <w:szCs w:val="28"/>
        </w:rPr>
        <w:t>、施工组织设计</w:t>
      </w:r>
      <w:bookmarkEnd w:id="767"/>
      <w:bookmarkEnd w:id="768"/>
      <w:bookmarkEnd w:id="769"/>
      <w:bookmarkEnd w:id="770"/>
    </w:p>
    <w:p>
      <w:pPr>
        <w:ind w:firstLine="480" w:firstLineChars="200"/>
        <w:rPr>
          <w:snapToGrid w:val="0"/>
          <w:szCs w:val="24"/>
        </w:rPr>
      </w:pPr>
      <w:r>
        <w:rPr>
          <w:rFonts w:hint="eastAsia"/>
          <w:snapToGrid w:val="0"/>
          <w:szCs w:val="24"/>
        </w:rPr>
        <w:t>1．竞包人编制施工组织设计时应采用文字并结合图表形式说明工程的施工组织、施工方法、技术组织措施，同时应对关键工序、复杂环节重点提出相应技术措施，如冬雨季施工技术、减少噪音、降低环境污染、地下管线及其它地上地下设施的保护加固措施等。施工组织设计还应结合工程特点提出切实可行的工程质量、工程进度、安全生产、防汛度汛、文明施工、水土保持、环境保护管理方案。</w:t>
      </w:r>
    </w:p>
    <w:p>
      <w:pPr>
        <w:ind w:firstLine="480" w:firstLineChars="200"/>
        <w:rPr>
          <w:snapToGrid w:val="0"/>
          <w:sz w:val="28"/>
          <w:szCs w:val="28"/>
        </w:rPr>
      </w:pPr>
      <w:r>
        <w:rPr>
          <w:rFonts w:hint="eastAsia"/>
          <w:snapToGrid w:val="0"/>
          <w:szCs w:val="24"/>
        </w:rPr>
        <w:t>施工组织设计应附的文字说明及附图见下表（不限于，仅供参考）：</w:t>
      </w:r>
    </w:p>
    <w:tbl>
      <w:tblPr>
        <w:tblStyle w:val="24"/>
        <w:tblW w:w="9129" w:type="dxa"/>
        <w:tblInd w:w="108" w:type="dxa"/>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tblLayout w:type="fixed"/>
        <w:tblCellMar>
          <w:top w:w="0" w:type="dxa"/>
          <w:left w:w="108" w:type="dxa"/>
          <w:bottom w:w="0" w:type="dxa"/>
          <w:right w:w="108" w:type="dxa"/>
        </w:tblCellMar>
      </w:tblPr>
      <w:tblGrid>
        <w:gridCol w:w="846"/>
        <w:gridCol w:w="6777"/>
        <w:gridCol w:w="1506"/>
      </w:tblGrid>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tblCellMar>
            <w:top w:w="0" w:type="dxa"/>
            <w:left w:w="108" w:type="dxa"/>
            <w:bottom w:w="0" w:type="dxa"/>
            <w:right w:w="108" w:type="dxa"/>
          </w:tblCellMar>
        </w:tblPrEx>
        <w:trPr>
          <w:trHeight w:val="454" w:hRule="atLeast"/>
        </w:trPr>
        <w:tc>
          <w:tcPr>
            <w:tcW w:w="846" w:type="dxa"/>
            <w:vAlign w:val="center"/>
          </w:tcPr>
          <w:p>
            <w:pPr>
              <w:snapToGrid w:val="0"/>
              <w:jc w:val="center"/>
              <w:rPr>
                <w:snapToGrid w:val="0"/>
                <w:kern w:val="2"/>
                <w:szCs w:val="24"/>
              </w:rPr>
            </w:pPr>
            <w:r>
              <w:rPr>
                <w:rFonts w:hint="eastAsia"/>
                <w:snapToGrid w:val="0"/>
                <w:kern w:val="2"/>
                <w:szCs w:val="24"/>
              </w:rPr>
              <w:t>序号</w:t>
            </w:r>
          </w:p>
        </w:tc>
        <w:tc>
          <w:tcPr>
            <w:tcW w:w="6777" w:type="dxa"/>
            <w:vAlign w:val="center"/>
          </w:tcPr>
          <w:p>
            <w:pPr>
              <w:snapToGrid w:val="0"/>
              <w:jc w:val="center"/>
              <w:rPr>
                <w:snapToGrid w:val="0"/>
                <w:kern w:val="2"/>
                <w:szCs w:val="24"/>
              </w:rPr>
            </w:pPr>
            <w:r>
              <w:rPr>
                <w:rFonts w:hint="eastAsia"/>
                <w:snapToGrid w:val="0"/>
                <w:kern w:val="2"/>
                <w:szCs w:val="24"/>
              </w:rPr>
              <w:t>名称</w:t>
            </w:r>
          </w:p>
        </w:tc>
        <w:tc>
          <w:tcPr>
            <w:tcW w:w="1506" w:type="dxa"/>
            <w:vAlign w:val="center"/>
          </w:tcPr>
          <w:p>
            <w:pPr>
              <w:snapToGrid w:val="0"/>
              <w:jc w:val="center"/>
              <w:rPr>
                <w:snapToGrid w:val="0"/>
                <w:kern w:val="2"/>
                <w:szCs w:val="24"/>
              </w:rPr>
            </w:pPr>
            <w:r>
              <w:rPr>
                <w:rFonts w:hint="eastAsia"/>
                <w:snapToGrid w:val="0"/>
                <w:kern w:val="2"/>
                <w:szCs w:val="24"/>
              </w:rPr>
              <w:t>备注</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tblCellMar>
            <w:top w:w="0" w:type="dxa"/>
            <w:left w:w="108" w:type="dxa"/>
            <w:bottom w:w="0" w:type="dxa"/>
            <w:right w:w="108" w:type="dxa"/>
          </w:tblCellMar>
        </w:tblPrEx>
        <w:trPr>
          <w:trHeight w:val="454" w:hRule="atLeast"/>
        </w:trPr>
        <w:tc>
          <w:tcPr>
            <w:tcW w:w="846" w:type="dxa"/>
            <w:vAlign w:val="center"/>
          </w:tcPr>
          <w:p>
            <w:pPr>
              <w:ind w:left="-72" w:leftChars="-30" w:right="-72" w:rightChars="-30"/>
              <w:jc w:val="center"/>
              <w:rPr>
                <w:snapToGrid w:val="0"/>
                <w:kern w:val="2"/>
                <w:szCs w:val="24"/>
              </w:rPr>
            </w:pPr>
            <w:r>
              <w:rPr>
                <w:rFonts w:hint="eastAsia"/>
                <w:snapToGrid w:val="0"/>
                <w:kern w:val="2"/>
                <w:szCs w:val="24"/>
              </w:rPr>
              <w:t>1</w:t>
            </w:r>
          </w:p>
        </w:tc>
        <w:tc>
          <w:tcPr>
            <w:tcW w:w="6777" w:type="dxa"/>
            <w:vAlign w:val="center"/>
          </w:tcPr>
          <w:p>
            <w:pPr>
              <w:ind w:left="-72" w:leftChars="-30" w:right="-72" w:rightChars="-30"/>
              <w:rPr>
                <w:snapToGrid w:val="0"/>
                <w:kern w:val="2"/>
                <w:szCs w:val="24"/>
              </w:rPr>
            </w:pPr>
            <w:r>
              <w:rPr>
                <w:rFonts w:hint="eastAsia"/>
                <w:snapToGrid w:val="0"/>
                <w:kern w:val="2"/>
                <w:szCs w:val="24"/>
              </w:rPr>
              <w:t>施工排水设计说明书及附图（包括降水方案、场地排水等）</w:t>
            </w:r>
          </w:p>
        </w:tc>
        <w:tc>
          <w:tcPr>
            <w:tcW w:w="1506" w:type="dxa"/>
            <w:vAlign w:val="center"/>
          </w:tcPr>
          <w:p>
            <w:pPr>
              <w:snapToGrid w:val="0"/>
              <w:rPr>
                <w:snapToGrid w:val="0"/>
                <w:kern w:val="2"/>
                <w:szCs w:val="24"/>
              </w:rPr>
            </w:pP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tblCellMar>
            <w:top w:w="0" w:type="dxa"/>
            <w:left w:w="108" w:type="dxa"/>
            <w:bottom w:w="0" w:type="dxa"/>
            <w:right w:w="108" w:type="dxa"/>
          </w:tblCellMar>
        </w:tblPrEx>
        <w:trPr>
          <w:trHeight w:val="454" w:hRule="atLeast"/>
        </w:trPr>
        <w:tc>
          <w:tcPr>
            <w:tcW w:w="846" w:type="dxa"/>
            <w:vAlign w:val="center"/>
          </w:tcPr>
          <w:p>
            <w:pPr>
              <w:ind w:left="-72" w:leftChars="-30" w:right="-72" w:rightChars="-30"/>
              <w:jc w:val="center"/>
              <w:rPr>
                <w:snapToGrid w:val="0"/>
                <w:kern w:val="2"/>
                <w:szCs w:val="24"/>
              </w:rPr>
            </w:pPr>
            <w:r>
              <w:rPr>
                <w:rFonts w:hint="eastAsia"/>
                <w:snapToGrid w:val="0"/>
                <w:kern w:val="2"/>
                <w:szCs w:val="24"/>
              </w:rPr>
              <w:t>2</w:t>
            </w:r>
          </w:p>
        </w:tc>
        <w:tc>
          <w:tcPr>
            <w:tcW w:w="6777" w:type="dxa"/>
            <w:vAlign w:val="center"/>
          </w:tcPr>
          <w:p>
            <w:pPr>
              <w:ind w:left="-30" w:right="-72" w:rightChars="-30"/>
              <w:rPr>
                <w:snapToGrid w:val="0"/>
                <w:kern w:val="2"/>
                <w:szCs w:val="24"/>
              </w:rPr>
            </w:pPr>
            <w:r>
              <w:rPr>
                <w:rFonts w:hint="eastAsia"/>
                <w:snapToGrid w:val="0"/>
                <w:kern w:val="2"/>
                <w:szCs w:val="24"/>
              </w:rPr>
              <w:t>土方工程施工说明书及附图（施工工艺及质量保证措施和有关试验要求，施工进度工期计划等）</w:t>
            </w:r>
          </w:p>
        </w:tc>
        <w:tc>
          <w:tcPr>
            <w:tcW w:w="1506" w:type="dxa"/>
            <w:vAlign w:val="center"/>
          </w:tcPr>
          <w:p>
            <w:pPr>
              <w:snapToGrid w:val="0"/>
              <w:rPr>
                <w:snapToGrid w:val="0"/>
                <w:kern w:val="2"/>
                <w:szCs w:val="24"/>
              </w:rPr>
            </w:pP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tblCellMar>
            <w:top w:w="0" w:type="dxa"/>
            <w:left w:w="108" w:type="dxa"/>
            <w:bottom w:w="0" w:type="dxa"/>
            <w:right w:w="108" w:type="dxa"/>
          </w:tblCellMar>
        </w:tblPrEx>
        <w:trPr>
          <w:trHeight w:val="454" w:hRule="atLeast"/>
        </w:trPr>
        <w:tc>
          <w:tcPr>
            <w:tcW w:w="846" w:type="dxa"/>
            <w:vAlign w:val="center"/>
          </w:tcPr>
          <w:p>
            <w:pPr>
              <w:spacing w:line="320" w:lineRule="exact"/>
              <w:ind w:left="-72" w:leftChars="-30" w:right="-72" w:rightChars="-30"/>
              <w:jc w:val="center"/>
              <w:rPr>
                <w:snapToGrid w:val="0"/>
                <w:kern w:val="2"/>
                <w:szCs w:val="24"/>
              </w:rPr>
            </w:pPr>
            <w:r>
              <w:rPr>
                <w:rFonts w:hint="eastAsia"/>
                <w:snapToGrid w:val="0"/>
                <w:kern w:val="2"/>
                <w:szCs w:val="24"/>
              </w:rPr>
              <w:t>3</w:t>
            </w:r>
          </w:p>
        </w:tc>
        <w:tc>
          <w:tcPr>
            <w:tcW w:w="6777" w:type="dxa"/>
            <w:vAlign w:val="center"/>
          </w:tcPr>
          <w:p>
            <w:pPr>
              <w:spacing w:line="320" w:lineRule="exact"/>
              <w:ind w:left="-72" w:leftChars="-30" w:right="-72" w:rightChars="-30"/>
              <w:rPr>
                <w:snapToGrid w:val="0"/>
                <w:kern w:val="2"/>
                <w:szCs w:val="24"/>
              </w:rPr>
            </w:pPr>
            <w:r>
              <w:rPr>
                <w:rFonts w:hint="eastAsia"/>
                <w:snapToGrid w:val="0"/>
                <w:kern w:val="2"/>
                <w:szCs w:val="24"/>
              </w:rPr>
              <w:t>主体建筑物工程施工说明书及附图（施工工艺及质量保证措施和有关试验要求，施工进度工期计划等）</w:t>
            </w:r>
          </w:p>
        </w:tc>
        <w:tc>
          <w:tcPr>
            <w:tcW w:w="1506" w:type="dxa"/>
            <w:vAlign w:val="center"/>
          </w:tcPr>
          <w:p>
            <w:pPr>
              <w:snapToGrid w:val="0"/>
              <w:rPr>
                <w:snapToGrid w:val="0"/>
                <w:kern w:val="2"/>
                <w:szCs w:val="24"/>
              </w:rPr>
            </w:pP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tblCellMar>
            <w:top w:w="0" w:type="dxa"/>
            <w:left w:w="108" w:type="dxa"/>
            <w:bottom w:w="0" w:type="dxa"/>
            <w:right w:w="108" w:type="dxa"/>
          </w:tblCellMar>
        </w:tblPrEx>
        <w:trPr>
          <w:trHeight w:val="454" w:hRule="atLeast"/>
        </w:trPr>
        <w:tc>
          <w:tcPr>
            <w:tcW w:w="846" w:type="dxa"/>
            <w:vAlign w:val="center"/>
          </w:tcPr>
          <w:p>
            <w:pPr>
              <w:spacing w:line="320" w:lineRule="exact"/>
              <w:ind w:left="-72" w:leftChars="-30" w:right="-72" w:rightChars="-30"/>
              <w:jc w:val="center"/>
              <w:rPr>
                <w:snapToGrid w:val="0"/>
                <w:kern w:val="2"/>
                <w:szCs w:val="24"/>
              </w:rPr>
            </w:pPr>
            <w:r>
              <w:rPr>
                <w:rFonts w:hint="eastAsia"/>
                <w:snapToGrid w:val="0"/>
                <w:kern w:val="2"/>
                <w:szCs w:val="24"/>
              </w:rPr>
              <w:t>4</w:t>
            </w:r>
          </w:p>
        </w:tc>
        <w:tc>
          <w:tcPr>
            <w:tcW w:w="6777" w:type="dxa"/>
            <w:vAlign w:val="center"/>
          </w:tcPr>
          <w:p>
            <w:pPr>
              <w:spacing w:line="320" w:lineRule="exact"/>
              <w:ind w:left="-72" w:leftChars="-30" w:right="-72" w:rightChars="-30"/>
              <w:rPr>
                <w:snapToGrid w:val="0"/>
                <w:kern w:val="2"/>
                <w:szCs w:val="24"/>
              </w:rPr>
            </w:pPr>
            <w:r>
              <w:rPr>
                <w:rFonts w:hint="eastAsia"/>
                <w:snapToGrid w:val="0"/>
                <w:kern w:val="2"/>
                <w:szCs w:val="24"/>
              </w:rPr>
              <w:t>施工进度计划说明书</w:t>
            </w:r>
          </w:p>
        </w:tc>
        <w:tc>
          <w:tcPr>
            <w:tcW w:w="1506" w:type="dxa"/>
            <w:vAlign w:val="center"/>
          </w:tcPr>
          <w:p>
            <w:pPr>
              <w:snapToGrid w:val="0"/>
              <w:rPr>
                <w:snapToGrid w:val="0"/>
                <w:kern w:val="2"/>
                <w:szCs w:val="24"/>
              </w:rPr>
            </w:pP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tblCellMar>
            <w:top w:w="0" w:type="dxa"/>
            <w:left w:w="108" w:type="dxa"/>
            <w:bottom w:w="0" w:type="dxa"/>
            <w:right w:w="108" w:type="dxa"/>
          </w:tblCellMar>
        </w:tblPrEx>
        <w:trPr>
          <w:trHeight w:val="454" w:hRule="atLeast"/>
        </w:trPr>
        <w:tc>
          <w:tcPr>
            <w:tcW w:w="846" w:type="dxa"/>
            <w:vAlign w:val="center"/>
          </w:tcPr>
          <w:p>
            <w:pPr>
              <w:spacing w:line="320" w:lineRule="exact"/>
              <w:ind w:left="-72" w:leftChars="-30" w:right="-72" w:rightChars="-30"/>
              <w:jc w:val="center"/>
              <w:rPr>
                <w:snapToGrid w:val="0"/>
                <w:kern w:val="2"/>
                <w:szCs w:val="24"/>
              </w:rPr>
            </w:pPr>
            <w:r>
              <w:rPr>
                <w:rFonts w:hint="eastAsia"/>
                <w:snapToGrid w:val="0"/>
                <w:kern w:val="2"/>
                <w:szCs w:val="24"/>
              </w:rPr>
              <w:t>5</w:t>
            </w:r>
          </w:p>
        </w:tc>
        <w:tc>
          <w:tcPr>
            <w:tcW w:w="6777" w:type="dxa"/>
            <w:vAlign w:val="center"/>
          </w:tcPr>
          <w:p>
            <w:pPr>
              <w:spacing w:line="320" w:lineRule="exact"/>
              <w:ind w:left="-72" w:leftChars="-30" w:right="-72" w:rightChars="-30"/>
              <w:rPr>
                <w:snapToGrid w:val="0"/>
                <w:kern w:val="2"/>
                <w:szCs w:val="24"/>
              </w:rPr>
            </w:pPr>
            <w:r>
              <w:rPr>
                <w:rFonts w:hint="eastAsia"/>
                <w:snapToGrid w:val="0"/>
                <w:kern w:val="2"/>
                <w:szCs w:val="24"/>
              </w:rPr>
              <w:t>工程质量管理方案</w:t>
            </w:r>
          </w:p>
        </w:tc>
        <w:tc>
          <w:tcPr>
            <w:tcW w:w="1506" w:type="dxa"/>
            <w:vAlign w:val="center"/>
          </w:tcPr>
          <w:p>
            <w:pPr>
              <w:snapToGrid w:val="0"/>
              <w:rPr>
                <w:snapToGrid w:val="0"/>
                <w:kern w:val="2"/>
                <w:szCs w:val="24"/>
              </w:rPr>
            </w:pP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tblCellMar>
            <w:top w:w="0" w:type="dxa"/>
            <w:left w:w="108" w:type="dxa"/>
            <w:bottom w:w="0" w:type="dxa"/>
            <w:right w:w="108" w:type="dxa"/>
          </w:tblCellMar>
        </w:tblPrEx>
        <w:trPr>
          <w:trHeight w:val="454" w:hRule="atLeast"/>
        </w:trPr>
        <w:tc>
          <w:tcPr>
            <w:tcW w:w="846" w:type="dxa"/>
            <w:vAlign w:val="center"/>
          </w:tcPr>
          <w:p>
            <w:pPr>
              <w:spacing w:line="320" w:lineRule="exact"/>
              <w:ind w:left="-72" w:leftChars="-30" w:right="-72" w:rightChars="-30"/>
              <w:jc w:val="center"/>
              <w:rPr>
                <w:snapToGrid w:val="0"/>
                <w:kern w:val="2"/>
                <w:szCs w:val="24"/>
              </w:rPr>
            </w:pPr>
            <w:r>
              <w:rPr>
                <w:rFonts w:hint="eastAsia"/>
                <w:snapToGrid w:val="0"/>
                <w:kern w:val="2"/>
                <w:szCs w:val="24"/>
              </w:rPr>
              <w:t>6</w:t>
            </w:r>
          </w:p>
        </w:tc>
        <w:tc>
          <w:tcPr>
            <w:tcW w:w="6777" w:type="dxa"/>
            <w:vAlign w:val="center"/>
          </w:tcPr>
          <w:p>
            <w:pPr>
              <w:spacing w:line="320" w:lineRule="exact"/>
              <w:ind w:left="-72" w:leftChars="-30" w:right="-72" w:rightChars="-30"/>
              <w:rPr>
                <w:snapToGrid w:val="0"/>
                <w:kern w:val="2"/>
                <w:szCs w:val="24"/>
              </w:rPr>
            </w:pPr>
            <w:r>
              <w:rPr>
                <w:rFonts w:hint="eastAsia"/>
                <w:snapToGrid w:val="0"/>
                <w:kern w:val="2"/>
                <w:szCs w:val="24"/>
              </w:rPr>
              <w:t>安全生产管理方案</w:t>
            </w:r>
          </w:p>
        </w:tc>
        <w:tc>
          <w:tcPr>
            <w:tcW w:w="1506" w:type="dxa"/>
            <w:vAlign w:val="center"/>
          </w:tcPr>
          <w:p>
            <w:pPr>
              <w:snapToGrid w:val="0"/>
              <w:rPr>
                <w:snapToGrid w:val="0"/>
                <w:kern w:val="2"/>
                <w:szCs w:val="24"/>
              </w:rPr>
            </w:pP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tblCellMar>
            <w:top w:w="0" w:type="dxa"/>
            <w:left w:w="108" w:type="dxa"/>
            <w:bottom w:w="0" w:type="dxa"/>
            <w:right w:w="108" w:type="dxa"/>
          </w:tblCellMar>
        </w:tblPrEx>
        <w:trPr>
          <w:trHeight w:val="454" w:hRule="atLeast"/>
        </w:trPr>
        <w:tc>
          <w:tcPr>
            <w:tcW w:w="846" w:type="dxa"/>
            <w:vAlign w:val="center"/>
          </w:tcPr>
          <w:p>
            <w:pPr>
              <w:spacing w:line="320" w:lineRule="exact"/>
              <w:ind w:left="-72" w:leftChars="-30" w:right="-72" w:rightChars="-30"/>
              <w:jc w:val="center"/>
              <w:rPr>
                <w:snapToGrid w:val="0"/>
                <w:kern w:val="2"/>
                <w:szCs w:val="24"/>
              </w:rPr>
            </w:pPr>
            <w:r>
              <w:rPr>
                <w:rFonts w:hint="eastAsia"/>
                <w:snapToGrid w:val="0"/>
                <w:kern w:val="2"/>
                <w:szCs w:val="24"/>
              </w:rPr>
              <w:t>7</w:t>
            </w:r>
          </w:p>
        </w:tc>
        <w:tc>
          <w:tcPr>
            <w:tcW w:w="6777" w:type="dxa"/>
            <w:vAlign w:val="center"/>
          </w:tcPr>
          <w:p>
            <w:pPr>
              <w:spacing w:line="320" w:lineRule="exact"/>
              <w:ind w:left="-30" w:right="-72" w:rightChars="-30"/>
              <w:rPr>
                <w:snapToGrid w:val="0"/>
                <w:kern w:val="2"/>
                <w:szCs w:val="24"/>
              </w:rPr>
            </w:pPr>
            <w:r>
              <w:rPr>
                <w:rFonts w:hint="eastAsia"/>
                <w:snapToGrid w:val="0"/>
                <w:kern w:val="2"/>
                <w:szCs w:val="24"/>
              </w:rPr>
              <w:t>文明工地建设措施，为其它承包人提供方便的措施等</w:t>
            </w:r>
          </w:p>
        </w:tc>
        <w:tc>
          <w:tcPr>
            <w:tcW w:w="1506" w:type="dxa"/>
            <w:vAlign w:val="center"/>
          </w:tcPr>
          <w:p>
            <w:pPr>
              <w:snapToGrid w:val="0"/>
              <w:rPr>
                <w:snapToGrid w:val="0"/>
                <w:kern w:val="2"/>
                <w:szCs w:val="24"/>
              </w:rPr>
            </w:pP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tblCellMar>
            <w:top w:w="0" w:type="dxa"/>
            <w:left w:w="108" w:type="dxa"/>
            <w:bottom w:w="0" w:type="dxa"/>
            <w:right w:w="108" w:type="dxa"/>
          </w:tblCellMar>
        </w:tblPrEx>
        <w:trPr>
          <w:trHeight w:val="454" w:hRule="atLeast"/>
        </w:trPr>
        <w:tc>
          <w:tcPr>
            <w:tcW w:w="846" w:type="dxa"/>
            <w:vAlign w:val="center"/>
          </w:tcPr>
          <w:p>
            <w:pPr>
              <w:spacing w:line="320" w:lineRule="exact"/>
              <w:ind w:left="-72" w:leftChars="-30" w:right="-72" w:rightChars="-30"/>
              <w:jc w:val="center"/>
              <w:rPr>
                <w:snapToGrid w:val="0"/>
                <w:kern w:val="2"/>
                <w:szCs w:val="24"/>
              </w:rPr>
            </w:pPr>
            <w:r>
              <w:rPr>
                <w:rFonts w:hint="eastAsia"/>
                <w:snapToGrid w:val="0"/>
                <w:kern w:val="2"/>
                <w:szCs w:val="24"/>
              </w:rPr>
              <w:t>8</w:t>
            </w:r>
          </w:p>
        </w:tc>
        <w:tc>
          <w:tcPr>
            <w:tcW w:w="6777" w:type="dxa"/>
            <w:vAlign w:val="center"/>
          </w:tcPr>
          <w:p>
            <w:pPr>
              <w:spacing w:line="320" w:lineRule="exact"/>
              <w:ind w:left="-72" w:leftChars="-30" w:right="-72" w:rightChars="-30"/>
              <w:rPr>
                <w:snapToGrid w:val="0"/>
                <w:kern w:val="2"/>
                <w:szCs w:val="24"/>
              </w:rPr>
            </w:pPr>
            <w:r>
              <w:rPr>
                <w:rFonts w:hint="eastAsia"/>
                <w:snapToGrid w:val="0"/>
                <w:kern w:val="2"/>
                <w:szCs w:val="24"/>
              </w:rPr>
              <w:t>水土保持、环境保护管理方案</w:t>
            </w:r>
          </w:p>
        </w:tc>
        <w:tc>
          <w:tcPr>
            <w:tcW w:w="1506" w:type="dxa"/>
            <w:vAlign w:val="center"/>
          </w:tcPr>
          <w:p>
            <w:pPr>
              <w:snapToGrid w:val="0"/>
              <w:rPr>
                <w:snapToGrid w:val="0"/>
                <w:kern w:val="2"/>
                <w:szCs w:val="24"/>
              </w:rPr>
            </w:pP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tblCellMar>
            <w:top w:w="0" w:type="dxa"/>
            <w:left w:w="108" w:type="dxa"/>
            <w:bottom w:w="0" w:type="dxa"/>
            <w:right w:w="108" w:type="dxa"/>
          </w:tblCellMar>
        </w:tblPrEx>
        <w:trPr>
          <w:trHeight w:val="454" w:hRule="atLeast"/>
        </w:trPr>
        <w:tc>
          <w:tcPr>
            <w:tcW w:w="846" w:type="dxa"/>
            <w:vAlign w:val="center"/>
          </w:tcPr>
          <w:p>
            <w:pPr>
              <w:spacing w:line="320" w:lineRule="exact"/>
              <w:ind w:left="-72" w:leftChars="-30" w:right="-72" w:rightChars="-30"/>
              <w:jc w:val="center"/>
              <w:rPr>
                <w:snapToGrid w:val="0"/>
                <w:kern w:val="2"/>
                <w:szCs w:val="24"/>
              </w:rPr>
            </w:pPr>
            <w:r>
              <w:rPr>
                <w:rFonts w:hint="eastAsia"/>
                <w:snapToGrid w:val="0"/>
                <w:kern w:val="2"/>
                <w:szCs w:val="24"/>
              </w:rPr>
              <w:t>9</w:t>
            </w:r>
          </w:p>
        </w:tc>
        <w:tc>
          <w:tcPr>
            <w:tcW w:w="6777" w:type="dxa"/>
            <w:vAlign w:val="center"/>
          </w:tcPr>
          <w:p>
            <w:pPr>
              <w:ind w:left="-30" w:right="-72" w:rightChars="-30"/>
              <w:rPr>
                <w:snapToGrid w:val="0"/>
                <w:kern w:val="2"/>
                <w:szCs w:val="24"/>
              </w:rPr>
            </w:pPr>
            <w:r>
              <w:rPr>
                <w:rFonts w:hint="eastAsia"/>
                <w:snapToGrid w:val="0"/>
                <w:kern w:val="2"/>
                <w:szCs w:val="24"/>
              </w:rPr>
              <w:t>其它有关工程的施工工艺及进度计划</w:t>
            </w:r>
          </w:p>
        </w:tc>
        <w:tc>
          <w:tcPr>
            <w:tcW w:w="1506" w:type="dxa"/>
            <w:vAlign w:val="center"/>
          </w:tcPr>
          <w:p>
            <w:pPr>
              <w:snapToGrid w:val="0"/>
              <w:rPr>
                <w:snapToGrid w:val="0"/>
                <w:kern w:val="2"/>
                <w:szCs w:val="24"/>
              </w:rPr>
            </w:pP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tblCellMar>
            <w:top w:w="0" w:type="dxa"/>
            <w:left w:w="108" w:type="dxa"/>
            <w:bottom w:w="0" w:type="dxa"/>
            <w:right w:w="108" w:type="dxa"/>
          </w:tblCellMar>
        </w:tblPrEx>
        <w:trPr>
          <w:trHeight w:val="454" w:hRule="atLeast"/>
        </w:trPr>
        <w:tc>
          <w:tcPr>
            <w:tcW w:w="846" w:type="dxa"/>
            <w:vAlign w:val="center"/>
          </w:tcPr>
          <w:p>
            <w:pPr>
              <w:ind w:left="-72" w:leftChars="-30" w:right="-72" w:rightChars="-30"/>
              <w:jc w:val="center"/>
              <w:rPr>
                <w:snapToGrid w:val="0"/>
                <w:kern w:val="2"/>
                <w:szCs w:val="24"/>
              </w:rPr>
            </w:pPr>
            <w:r>
              <w:rPr>
                <w:rFonts w:hint="eastAsia"/>
                <w:snapToGrid w:val="0"/>
                <w:kern w:val="2"/>
                <w:szCs w:val="24"/>
              </w:rPr>
              <w:t>10</w:t>
            </w:r>
          </w:p>
        </w:tc>
        <w:tc>
          <w:tcPr>
            <w:tcW w:w="6777" w:type="dxa"/>
            <w:vAlign w:val="center"/>
          </w:tcPr>
          <w:p>
            <w:pPr>
              <w:ind w:left="-30" w:right="-72" w:rightChars="-30"/>
              <w:rPr>
                <w:snapToGrid w:val="0"/>
                <w:kern w:val="2"/>
                <w:szCs w:val="24"/>
              </w:rPr>
            </w:pPr>
            <w:r>
              <w:rPr>
                <w:rFonts w:hint="eastAsia"/>
                <w:snapToGrid w:val="0"/>
                <w:kern w:val="2"/>
                <w:szCs w:val="24"/>
              </w:rPr>
              <w:t>有关施工建议</w:t>
            </w:r>
          </w:p>
        </w:tc>
        <w:tc>
          <w:tcPr>
            <w:tcW w:w="1506" w:type="dxa"/>
            <w:vAlign w:val="center"/>
          </w:tcPr>
          <w:p>
            <w:pPr>
              <w:snapToGrid w:val="0"/>
              <w:rPr>
                <w:snapToGrid w:val="0"/>
                <w:kern w:val="2"/>
                <w:szCs w:val="24"/>
              </w:rPr>
            </w:pPr>
          </w:p>
        </w:tc>
      </w:tr>
    </w:tbl>
    <w:p>
      <w:pPr>
        <w:ind w:firstLine="480" w:firstLineChars="200"/>
        <w:rPr>
          <w:snapToGrid w:val="0"/>
          <w:szCs w:val="24"/>
        </w:rPr>
      </w:pPr>
      <w:r>
        <w:rPr>
          <w:snapToGrid w:val="0"/>
          <w:szCs w:val="24"/>
        </w:rPr>
        <w:t>2．施工组织设计除采用文字表述外可附下列图表，图表及格式要求附后。</w:t>
      </w:r>
    </w:p>
    <w:p>
      <w:pPr>
        <w:ind w:firstLine="480" w:firstLineChars="200"/>
        <w:rPr>
          <w:snapToGrid w:val="0"/>
          <w:szCs w:val="24"/>
        </w:rPr>
      </w:pPr>
      <w:bookmarkStart w:id="771" w:name="_Toc217457102"/>
      <w:bookmarkStart w:id="772" w:name="_Toc336325398"/>
      <w:bookmarkStart w:id="773" w:name="_Toc184635145"/>
      <w:bookmarkStart w:id="774" w:name="_Toc217819181"/>
      <w:r>
        <w:rPr>
          <w:snapToGrid w:val="0"/>
          <w:szCs w:val="24"/>
        </w:rPr>
        <w:t>附表一拟投入本标段的主要施工设备表</w:t>
      </w:r>
    </w:p>
    <w:p>
      <w:pPr>
        <w:ind w:firstLine="480" w:firstLineChars="200"/>
        <w:rPr>
          <w:snapToGrid w:val="0"/>
          <w:szCs w:val="24"/>
        </w:rPr>
      </w:pPr>
      <w:r>
        <w:rPr>
          <w:snapToGrid w:val="0"/>
          <w:szCs w:val="24"/>
        </w:rPr>
        <w:t>附表二</w:t>
      </w:r>
      <w:r>
        <w:rPr>
          <w:rFonts w:hint="eastAsia"/>
          <w:snapToGrid w:val="0"/>
          <w:szCs w:val="24"/>
        </w:rPr>
        <w:t>拟投入本标段的试验和检测仪器设备表</w:t>
      </w:r>
    </w:p>
    <w:p>
      <w:pPr>
        <w:ind w:firstLine="480" w:firstLineChars="200"/>
        <w:rPr>
          <w:snapToGrid w:val="0"/>
          <w:szCs w:val="24"/>
        </w:rPr>
      </w:pPr>
      <w:r>
        <w:rPr>
          <w:snapToGrid w:val="0"/>
          <w:szCs w:val="24"/>
        </w:rPr>
        <w:t>附表三</w:t>
      </w:r>
      <w:r>
        <w:rPr>
          <w:rFonts w:hint="eastAsia"/>
          <w:snapToGrid w:val="0"/>
          <w:szCs w:val="24"/>
        </w:rPr>
        <w:t>拟投入本标段的劳动力计划表</w:t>
      </w:r>
    </w:p>
    <w:p>
      <w:pPr>
        <w:ind w:firstLine="480" w:firstLineChars="200"/>
        <w:rPr>
          <w:snapToGrid w:val="0"/>
          <w:szCs w:val="24"/>
        </w:rPr>
      </w:pPr>
      <w:r>
        <w:rPr>
          <w:snapToGrid w:val="0"/>
          <w:szCs w:val="24"/>
        </w:rPr>
        <w:t>附表</w:t>
      </w:r>
      <w:r>
        <w:rPr>
          <w:rFonts w:hint="eastAsia"/>
          <w:snapToGrid w:val="0"/>
          <w:szCs w:val="24"/>
        </w:rPr>
        <w:t>四</w:t>
      </w:r>
      <w:r>
        <w:rPr>
          <w:snapToGrid w:val="0"/>
          <w:szCs w:val="24"/>
        </w:rPr>
        <w:t>计划开、完工日期和施工进度网络图</w:t>
      </w:r>
    </w:p>
    <w:p>
      <w:pPr>
        <w:ind w:firstLine="480" w:firstLineChars="200"/>
        <w:rPr>
          <w:snapToGrid w:val="0"/>
          <w:szCs w:val="24"/>
        </w:rPr>
      </w:pPr>
      <w:r>
        <w:rPr>
          <w:snapToGrid w:val="0"/>
          <w:szCs w:val="24"/>
        </w:rPr>
        <w:t>附表</w:t>
      </w:r>
      <w:r>
        <w:rPr>
          <w:rFonts w:hint="eastAsia"/>
          <w:snapToGrid w:val="0"/>
          <w:szCs w:val="24"/>
        </w:rPr>
        <w:t>五</w:t>
      </w:r>
      <w:r>
        <w:rPr>
          <w:snapToGrid w:val="0"/>
          <w:szCs w:val="24"/>
        </w:rPr>
        <w:t>施工总平面图</w:t>
      </w:r>
    </w:p>
    <w:p>
      <w:pPr>
        <w:ind w:firstLine="480" w:firstLineChars="200"/>
        <w:rPr>
          <w:snapToGrid w:val="0"/>
          <w:szCs w:val="24"/>
        </w:rPr>
      </w:pPr>
      <w:r>
        <w:rPr>
          <w:snapToGrid w:val="0"/>
          <w:szCs w:val="24"/>
        </w:rPr>
        <w:t>附表</w:t>
      </w:r>
      <w:r>
        <w:rPr>
          <w:rFonts w:hint="eastAsia"/>
          <w:snapToGrid w:val="0"/>
          <w:szCs w:val="24"/>
        </w:rPr>
        <w:t>六临时用地表</w:t>
      </w:r>
    </w:p>
    <w:p>
      <w:pPr>
        <w:pStyle w:val="7"/>
        <w:rPr>
          <w:rFonts w:ascii="黑体" w:hAnsi="黑体" w:eastAsia="黑体"/>
          <w:szCs w:val="24"/>
        </w:rPr>
      </w:pPr>
      <w:r>
        <w:br w:type="page"/>
      </w:r>
      <w:r>
        <w:rPr>
          <w:rFonts w:ascii="黑体" w:hAnsi="黑体" w:eastAsia="黑体"/>
          <w:szCs w:val="24"/>
        </w:rPr>
        <w:t>附</w:t>
      </w:r>
      <w:r>
        <w:rPr>
          <w:rFonts w:hint="eastAsia" w:ascii="黑体" w:hAnsi="黑体" w:eastAsia="黑体"/>
          <w:szCs w:val="24"/>
        </w:rPr>
        <w:t>件</w:t>
      </w:r>
      <w:r>
        <w:rPr>
          <w:rFonts w:ascii="黑体" w:hAnsi="黑体" w:eastAsia="黑体"/>
          <w:szCs w:val="24"/>
        </w:rPr>
        <w:t>一</w:t>
      </w:r>
    </w:p>
    <w:p>
      <w:pPr>
        <w:spacing w:beforeLines="50" w:afterLines="50"/>
        <w:jc w:val="center"/>
        <w:rPr>
          <w:b/>
          <w:snapToGrid w:val="0"/>
          <w:szCs w:val="21"/>
        </w:rPr>
      </w:pPr>
      <w:r>
        <w:rPr>
          <w:b/>
          <w:snapToGrid w:val="0"/>
          <w:sz w:val="28"/>
          <w:szCs w:val="28"/>
        </w:rPr>
        <w:t>拟投入本标段的主要施工设备表</w:t>
      </w:r>
    </w:p>
    <w:tbl>
      <w:tblPr>
        <w:tblStyle w:val="24"/>
        <w:tblW w:w="9181"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674"/>
        <w:gridCol w:w="1109"/>
        <w:gridCol w:w="744"/>
        <w:gridCol w:w="764"/>
        <w:gridCol w:w="764"/>
        <w:gridCol w:w="1012"/>
        <w:gridCol w:w="1181"/>
        <w:gridCol w:w="911"/>
        <w:gridCol w:w="1012"/>
        <w:gridCol w:w="101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674" w:type="dxa"/>
            <w:vAlign w:val="center"/>
          </w:tcPr>
          <w:p>
            <w:pPr>
              <w:snapToGrid w:val="0"/>
              <w:jc w:val="center"/>
              <w:rPr>
                <w:snapToGrid w:val="0"/>
                <w:kern w:val="2"/>
                <w:sz w:val="21"/>
                <w:szCs w:val="21"/>
              </w:rPr>
            </w:pPr>
            <w:r>
              <w:rPr>
                <w:snapToGrid w:val="0"/>
                <w:kern w:val="2"/>
                <w:sz w:val="21"/>
                <w:szCs w:val="21"/>
              </w:rPr>
              <w:t>序号</w:t>
            </w:r>
          </w:p>
        </w:tc>
        <w:tc>
          <w:tcPr>
            <w:tcW w:w="1109" w:type="dxa"/>
            <w:vAlign w:val="center"/>
          </w:tcPr>
          <w:p>
            <w:pPr>
              <w:snapToGrid w:val="0"/>
              <w:jc w:val="center"/>
              <w:rPr>
                <w:snapToGrid w:val="0"/>
                <w:kern w:val="2"/>
                <w:sz w:val="21"/>
                <w:szCs w:val="21"/>
              </w:rPr>
            </w:pPr>
            <w:r>
              <w:rPr>
                <w:snapToGrid w:val="0"/>
                <w:kern w:val="2"/>
                <w:sz w:val="21"/>
                <w:szCs w:val="21"/>
              </w:rPr>
              <w:t>设备名称</w:t>
            </w:r>
          </w:p>
        </w:tc>
        <w:tc>
          <w:tcPr>
            <w:tcW w:w="744" w:type="dxa"/>
            <w:vAlign w:val="center"/>
          </w:tcPr>
          <w:p>
            <w:pPr>
              <w:snapToGrid w:val="0"/>
              <w:jc w:val="center"/>
              <w:rPr>
                <w:snapToGrid w:val="0"/>
                <w:kern w:val="2"/>
                <w:sz w:val="21"/>
                <w:szCs w:val="21"/>
              </w:rPr>
            </w:pPr>
            <w:r>
              <w:rPr>
                <w:snapToGrid w:val="0"/>
                <w:kern w:val="2"/>
                <w:sz w:val="21"/>
                <w:szCs w:val="21"/>
              </w:rPr>
              <w:t>型号</w:t>
            </w:r>
          </w:p>
          <w:p>
            <w:pPr>
              <w:snapToGrid w:val="0"/>
              <w:jc w:val="center"/>
              <w:rPr>
                <w:snapToGrid w:val="0"/>
                <w:kern w:val="2"/>
                <w:sz w:val="21"/>
                <w:szCs w:val="21"/>
              </w:rPr>
            </w:pPr>
            <w:r>
              <w:rPr>
                <w:snapToGrid w:val="0"/>
                <w:kern w:val="2"/>
                <w:sz w:val="21"/>
                <w:szCs w:val="21"/>
              </w:rPr>
              <w:t>规格</w:t>
            </w:r>
          </w:p>
        </w:tc>
        <w:tc>
          <w:tcPr>
            <w:tcW w:w="764" w:type="dxa"/>
            <w:vAlign w:val="center"/>
          </w:tcPr>
          <w:p>
            <w:pPr>
              <w:snapToGrid w:val="0"/>
              <w:jc w:val="center"/>
              <w:rPr>
                <w:snapToGrid w:val="0"/>
                <w:kern w:val="2"/>
                <w:sz w:val="21"/>
                <w:szCs w:val="21"/>
              </w:rPr>
            </w:pPr>
            <w:r>
              <w:rPr>
                <w:snapToGrid w:val="0"/>
                <w:kern w:val="2"/>
                <w:sz w:val="21"/>
                <w:szCs w:val="21"/>
              </w:rPr>
              <w:t>数量</w:t>
            </w:r>
          </w:p>
        </w:tc>
        <w:tc>
          <w:tcPr>
            <w:tcW w:w="764" w:type="dxa"/>
            <w:vAlign w:val="center"/>
          </w:tcPr>
          <w:p>
            <w:pPr>
              <w:snapToGrid w:val="0"/>
              <w:jc w:val="center"/>
              <w:rPr>
                <w:snapToGrid w:val="0"/>
                <w:kern w:val="2"/>
                <w:sz w:val="21"/>
                <w:szCs w:val="21"/>
              </w:rPr>
            </w:pPr>
            <w:r>
              <w:rPr>
                <w:snapToGrid w:val="0"/>
                <w:kern w:val="2"/>
                <w:sz w:val="21"/>
                <w:szCs w:val="21"/>
              </w:rPr>
              <w:t>国别</w:t>
            </w:r>
          </w:p>
          <w:p>
            <w:pPr>
              <w:snapToGrid w:val="0"/>
              <w:jc w:val="center"/>
              <w:rPr>
                <w:snapToGrid w:val="0"/>
                <w:kern w:val="2"/>
                <w:sz w:val="21"/>
                <w:szCs w:val="21"/>
              </w:rPr>
            </w:pPr>
            <w:r>
              <w:rPr>
                <w:snapToGrid w:val="0"/>
                <w:kern w:val="2"/>
                <w:sz w:val="21"/>
                <w:szCs w:val="21"/>
              </w:rPr>
              <w:t>产地</w:t>
            </w:r>
          </w:p>
        </w:tc>
        <w:tc>
          <w:tcPr>
            <w:tcW w:w="1012" w:type="dxa"/>
            <w:vAlign w:val="center"/>
          </w:tcPr>
          <w:p>
            <w:pPr>
              <w:snapToGrid w:val="0"/>
              <w:jc w:val="center"/>
              <w:rPr>
                <w:snapToGrid w:val="0"/>
                <w:kern w:val="2"/>
                <w:sz w:val="21"/>
                <w:szCs w:val="21"/>
              </w:rPr>
            </w:pPr>
            <w:r>
              <w:rPr>
                <w:snapToGrid w:val="0"/>
                <w:kern w:val="2"/>
                <w:sz w:val="21"/>
                <w:szCs w:val="21"/>
              </w:rPr>
              <w:t>制造</w:t>
            </w:r>
          </w:p>
          <w:p>
            <w:pPr>
              <w:snapToGrid w:val="0"/>
              <w:jc w:val="center"/>
              <w:rPr>
                <w:snapToGrid w:val="0"/>
                <w:kern w:val="2"/>
                <w:sz w:val="21"/>
                <w:szCs w:val="21"/>
              </w:rPr>
            </w:pPr>
            <w:r>
              <w:rPr>
                <w:snapToGrid w:val="0"/>
                <w:kern w:val="2"/>
                <w:sz w:val="21"/>
                <w:szCs w:val="21"/>
              </w:rPr>
              <w:t>年份</w:t>
            </w:r>
          </w:p>
        </w:tc>
        <w:tc>
          <w:tcPr>
            <w:tcW w:w="1181" w:type="dxa"/>
            <w:vAlign w:val="center"/>
          </w:tcPr>
          <w:p>
            <w:pPr>
              <w:snapToGrid w:val="0"/>
              <w:jc w:val="center"/>
              <w:rPr>
                <w:snapToGrid w:val="0"/>
                <w:kern w:val="2"/>
                <w:sz w:val="21"/>
                <w:szCs w:val="21"/>
              </w:rPr>
            </w:pPr>
            <w:r>
              <w:rPr>
                <w:snapToGrid w:val="0"/>
                <w:kern w:val="2"/>
                <w:sz w:val="21"/>
                <w:szCs w:val="21"/>
              </w:rPr>
              <w:t>额定功率</w:t>
            </w:r>
          </w:p>
          <w:p>
            <w:pPr>
              <w:snapToGrid w:val="0"/>
              <w:jc w:val="center"/>
              <w:rPr>
                <w:snapToGrid w:val="0"/>
                <w:kern w:val="2"/>
                <w:sz w:val="21"/>
                <w:szCs w:val="21"/>
              </w:rPr>
            </w:pPr>
            <w:r>
              <w:rPr>
                <w:snapToGrid w:val="0"/>
                <w:kern w:val="2"/>
                <w:sz w:val="21"/>
                <w:szCs w:val="21"/>
              </w:rPr>
              <w:t>( KW )</w:t>
            </w:r>
          </w:p>
        </w:tc>
        <w:tc>
          <w:tcPr>
            <w:tcW w:w="911" w:type="dxa"/>
            <w:vAlign w:val="center"/>
          </w:tcPr>
          <w:p>
            <w:pPr>
              <w:snapToGrid w:val="0"/>
              <w:jc w:val="center"/>
              <w:rPr>
                <w:snapToGrid w:val="0"/>
                <w:kern w:val="2"/>
                <w:sz w:val="21"/>
                <w:szCs w:val="21"/>
              </w:rPr>
            </w:pPr>
            <w:r>
              <w:rPr>
                <w:snapToGrid w:val="0"/>
                <w:kern w:val="2"/>
                <w:sz w:val="21"/>
                <w:szCs w:val="21"/>
              </w:rPr>
              <w:t>生产</w:t>
            </w:r>
          </w:p>
          <w:p>
            <w:pPr>
              <w:snapToGrid w:val="0"/>
              <w:jc w:val="center"/>
              <w:rPr>
                <w:snapToGrid w:val="0"/>
                <w:kern w:val="2"/>
                <w:sz w:val="21"/>
                <w:szCs w:val="21"/>
              </w:rPr>
            </w:pPr>
            <w:r>
              <w:rPr>
                <w:snapToGrid w:val="0"/>
                <w:kern w:val="2"/>
                <w:sz w:val="21"/>
                <w:szCs w:val="21"/>
              </w:rPr>
              <w:t>能力</w:t>
            </w:r>
          </w:p>
        </w:tc>
        <w:tc>
          <w:tcPr>
            <w:tcW w:w="1012" w:type="dxa"/>
            <w:vAlign w:val="center"/>
          </w:tcPr>
          <w:p>
            <w:pPr>
              <w:snapToGrid w:val="0"/>
              <w:jc w:val="center"/>
              <w:rPr>
                <w:snapToGrid w:val="0"/>
                <w:kern w:val="2"/>
                <w:sz w:val="21"/>
                <w:szCs w:val="21"/>
              </w:rPr>
            </w:pPr>
            <w:r>
              <w:rPr>
                <w:snapToGrid w:val="0"/>
                <w:kern w:val="2"/>
                <w:sz w:val="21"/>
                <w:szCs w:val="21"/>
              </w:rPr>
              <w:t>用于施</w:t>
            </w:r>
          </w:p>
          <w:p>
            <w:pPr>
              <w:snapToGrid w:val="0"/>
              <w:jc w:val="center"/>
              <w:rPr>
                <w:snapToGrid w:val="0"/>
                <w:kern w:val="2"/>
                <w:sz w:val="21"/>
                <w:szCs w:val="21"/>
              </w:rPr>
            </w:pPr>
            <w:r>
              <w:rPr>
                <w:snapToGrid w:val="0"/>
                <w:kern w:val="2"/>
                <w:sz w:val="21"/>
                <w:szCs w:val="21"/>
              </w:rPr>
              <w:t>工部位</w:t>
            </w:r>
          </w:p>
        </w:tc>
        <w:tc>
          <w:tcPr>
            <w:tcW w:w="1010" w:type="dxa"/>
            <w:vAlign w:val="center"/>
          </w:tcPr>
          <w:p>
            <w:pPr>
              <w:snapToGrid w:val="0"/>
              <w:jc w:val="center"/>
              <w:rPr>
                <w:snapToGrid w:val="0"/>
                <w:kern w:val="2"/>
                <w:sz w:val="21"/>
                <w:szCs w:val="21"/>
              </w:rPr>
            </w:pPr>
            <w:r>
              <w:rPr>
                <w:snapToGrid w:val="0"/>
                <w:kern w:val="2"/>
                <w:sz w:val="21"/>
                <w:szCs w:val="21"/>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674" w:type="dxa"/>
          </w:tcPr>
          <w:p>
            <w:pPr>
              <w:snapToGrid w:val="0"/>
              <w:rPr>
                <w:snapToGrid w:val="0"/>
                <w:kern w:val="2"/>
                <w:szCs w:val="21"/>
              </w:rPr>
            </w:pPr>
          </w:p>
        </w:tc>
        <w:tc>
          <w:tcPr>
            <w:tcW w:w="1109" w:type="dxa"/>
          </w:tcPr>
          <w:p>
            <w:pPr>
              <w:snapToGrid w:val="0"/>
              <w:ind w:firstLine="480" w:firstLineChars="200"/>
              <w:rPr>
                <w:snapToGrid w:val="0"/>
                <w:kern w:val="2"/>
                <w:szCs w:val="21"/>
              </w:rPr>
            </w:pPr>
          </w:p>
        </w:tc>
        <w:tc>
          <w:tcPr>
            <w:tcW w:w="744" w:type="dxa"/>
          </w:tcPr>
          <w:p>
            <w:pPr>
              <w:snapToGrid w:val="0"/>
              <w:rPr>
                <w:snapToGrid w:val="0"/>
                <w:kern w:val="2"/>
                <w:szCs w:val="21"/>
              </w:rPr>
            </w:pPr>
          </w:p>
        </w:tc>
        <w:tc>
          <w:tcPr>
            <w:tcW w:w="764" w:type="dxa"/>
          </w:tcPr>
          <w:p>
            <w:pPr>
              <w:snapToGrid w:val="0"/>
              <w:rPr>
                <w:snapToGrid w:val="0"/>
                <w:kern w:val="2"/>
                <w:szCs w:val="21"/>
              </w:rPr>
            </w:pPr>
          </w:p>
        </w:tc>
        <w:tc>
          <w:tcPr>
            <w:tcW w:w="764" w:type="dxa"/>
          </w:tcPr>
          <w:p>
            <w:pPr>
              <w:snapToGrid w:val="0"/>
              <w:rPr>
                <w:snapToGrid w:val="0"/>
                <w:kern w:val="2"/>
                <w:szCs w:val="21"/>
              </w:rPr>
            </w:pPr>
          </w:p>
        </w:tc>
        <w:tc>
          <w:tcPr>
            <w:tcW w:w="1012" w:type="dxa"/>
          </w:tcPr>
          <w:p>
            <w:pPr>
              <w:snapToGrid w:val="0"/>
              <w:rPr>
                <w:snapToGrid w:val="0"/>
                <w:kern w:val="2"/>
                <w:szCs w:val="21"/>
              </w:rPr>
            </w:pPr>
          </w:p>
        </w:tc>
        <w:tc>
          <w:tcPr>
            <w:tcW w:w="1181" w:type="dxa"/>
          </w:tcPr>
          <w:p>
            <w:pPr>
              <w:snapToGrid w:val="0"/>
              <w:rPr>
                <w:snapToGrid w:val="0"/>
                <w:kern w:val="2"/>
                <w:szCs w:val="21"/>
              </w:rPr>
            </w:pPr>
          </w:p>
        </w:tc>
        <w:tc>
          <w:tcPr>
            <w:tcW w:w="911" w:type="dxa"/>
          </w:tcPr>
          <w:p>
            <w:pPr>
              <w:snapToGrid w:val="0"/>
              <w:rPr>
                <w:snapToGrid w:val="0"/>
                <w:kern w:val="2"/>
                <w:szCs w:val="21"/>
              </w:rPr>
            </w:pPr>
          </w:p>
        </w:tc>
        <w:tc>
          <w:tcPr>
            <w:tcW w:w="1012" w:type="dxa"/>
          </w:tcPr>
          <w:p>
            <w:pPr>
              <w:snapToGrid w:val="0"/>
              <w:rPr>
                <w:snapToGrid w:val="0"/>
                <w:kern w:val="2"/>
                <w:szCs w:val="21"/>
              </w:rPr>
            </w:pPr>
          </w:p>
        </w:tc>
        <w:tc>
          <w:tcPr>
            <w:tcW w:w="1010" w:type="dxa"/>
          </w:tcPr>
          <w:p>
            <w:pPr>
              <w:snapToGrid w:val="0"/>
              <w:rPr>
                <w:snapToGrid w:val="0"/>
                <w:kern w:val="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674" w:type="dxa"/>
          </w:tcPr>
          <w:p>
            <w:pPr>
              <w:snapToGrid w:val="0"/>
              <w:rPr>
                <w:snapToGrid w:val="0"/>
                <w:kern w:val="2"/>
                <w:szCs w:val="21"/>
              </w:rPr>
            </w:pPr>
          </w:p>
        </w:tc>
        <w:tc>
          <w:tcPr>
            <w:tcW w:w="1109" w:type="dxa"/>
          </w:tcPr>
          <w:p>
            <w:pPr>
              <w:snapToGrid w:val="0"/>
              <w:rPr>
                <w:snapToGrid w:val="0"/>
                <w:kern w:val="2"/>
                <w:szCs w:val="21"/>
              </w:rPr>
            </w:pPr>
          </w:p>
        </w:tc>
        <w:tc>
          <w:tcPr>
            <w:tcW w:w="744" w:type="dxa"/>
          </w:tcPr>
          <w:p>
            <w:pPr>
              <w:snapToGrid w:val="0"/>
              <w:rPr>
                <w:snapToGrid w:val="0"/>
                <w:kern w:val="2"/>
                <w:szCs w:val="21"/>
              </w:rPr>
            </w:pPr>
          </w:p>
        </w:tc>
        <w:tc>
          <w:tcPr>
            <w:tcW w:w="764" w:type="dxa"/>
          </w:tcPr>
          <w:p>
            <w:pPr>
              <w:snapToGrid w:val="0"/>
              <w:rPr>
                <w:snapToGrid w:val="0"/>
                <w:kern w:val="2"/>
                <w:szCs w:val="21"/>
              </w:rPr>
            </w:pPr>
          </w:p>
        </w:tc>
        <w:tc>
          <w:tcPr>
            <w:tcW w:w="764" w:type="dxa"/>
          </w:tcPr>
          <w:p>
            <w:pPr>
              <w:snapToGrid w:val="0"/>
              <w:rPr>
                <w:snapToGrid w:val="0"/>
                <w:kern w:val="2"/>
                <w:szCs w:val="21"/>
              </w:rPr>
            </w:pPr>
          </w:p>
        </w:tc>
        <w:tc>
          <w:tcPr>
            <w:tcW w:w="1012" w:type="dxa"/>
          </w:tcPr>
          <w:p>
            <w:pPr>
              <w:snapToGrid w:val="0"/>
              <w:rPr>
                <w:snapToGrid w:val="0"/>
                <w:kern w:val="2"/>
                <w:szCs w:val="21"/>
              </w:rPr>
            </w:pPr>
          </w:p>
        </w:tc>
        <w:tc>
          <w:tcPr>
            <w:tcW w:w="1181" w:type="dxa"/>
          </w:tcPr>
          <w:p>
            <w:pPr>
              <w:snapToGrid w:val="0"/>
              <w:rPr>
                <w:snapToGrid w:val="0"/>
                <w:kern w:val="2"/>
                <w:szCs w:val="21"/>
              </w:rPr>
            </w:pPr>
          </w:p>
        </w:tc>
        <w:tc>
          <w:tcPr>
            <w:tcW w:w="911" w:type="dxa"/>
          </w:tcPr>
          <w:p>
            <w:pPr>
              <w:snapToGrid w:val="0"/>
              <w:rPr>
                <w:snapToGrid w:val="0"/>
                <w:kern w:val="2"/>
                <w:szCs w:val="21"/>
              </w:rPr>
            </w:pPr>
          </w:p>
        </w:tc>
        <w:tc>
          <w:tcPr>
            <w:tcW w:w="1012" w:type="dxa"/>
          </w:tcPr>
          <w:p>
            <w:pPr>
              <w:snapToGrid w:val="0"/>
              <w:rPr>
                <w:snapToGrid w:val="0"/>
                <w:kern w:val="2"/>
                <w:szCs w:val="21"/>
              </w:rPr>
            </w:pPr>
          </w:p>
        </w:tc>
        <w:tc>
          <w:tcPr>
            <w:tcW w:w="1010" w:type="dxa"/>
          </w:tcPr>
          <w:p>
            <w:pPr>
              <w:snapToGrid w:val="0"/>
              <w:rPr>
                <w:snapToGrid w:val="0"/>
                <w:kern w:val="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674" w:type="dxa"/>
          </w:tcPr>
          <w:p>
            <w:pPr>
              <w:snapToGrid w:val="0"/>
              <w:rPr>
                <w:snapToGrid w:val="0"/>
                <w:kern w:val="2"/>
                <w:szCs w:val="21"/>
              </w:rPr>
            </w:pPr>
          </w:p>
        </w:tc>
        <w:tc>
          <w:tcPr>
            <w:tcW w:w="1109" w:type="dxa"/>
          </w:tcPr>
          <w:p>
            <w:pPr>
              <w:snapToGrid w:val="0"/>
              <w:rPr>
                <w:snapToGrid w:val="0"/>
                <w:kern w:val="2"/>
                <w:szCs w:val="21"/>
              </w:rPr>
            </w:pPr>
          </w:p>
        </w:tc>
        <w:tc>
          <w:tcPr>
            <w:tcW w:w="744" w:type="dxa"/>
          </w:tcPr>
          <w:p>
            <w:pPr>
              <w:snapToGrid w:val="0"/>
              <w:rPr>
                <w:snapToGrid w:val="0"/>
                <w:kern w:val="2"/>
                <w:szCs w:val="21"/>
              </w:rPr>
            </w:pPr>
          </w:p>
        </w:tc>
        <w:tc>
          <w:tcPr>
            <w:tcW w:w="764" w:type="dxa"/>
          </w:tcPr>
          <w:p>
            <w:pPr>
              <w:snapToGrid w:val="0"/>
              <w:rPr>
                <w:snapToGrid w:val="0"/>
                <w:kern w:val="2"/>
                <w:szCs w:val="21"/>
              </w:rPr>
            </w:pPr>
          </w:p>
        </w:tc>
        <w:tc>
          <w:tcPr>
            <w:tcW w:w="764" w:type="dxa"/>
          </w:tcPr>
          <w:p>
            <w:pPr>
              <w:snapToGrid w:val="0"/>
              <w:rPr>
                <w:snapToGrid w:val="0"/>
                <w:kern w:val="2"/>
                <w:szCs w:val="21"/>
              </w:rPr>
            </w:pPr>
          </w:p>
        </w:tc>
        <w:tc>
          <w:tcPr>
            <w:tcW w:w="1012" w:type="dxa"/>
          </w:tcPr>
          <w:p>
            <w:pPr>
              <w:snapToGrid w:val="0"/>
              <w:rPr>
                <w:snapToGrid w:val="0"/>
                <w:kern w:val="2"/>
                <w:szCs w:val="21"/>
              </w:rPr>
            </w:pPr>
          </w:p>
        </w:tc>
        <w:tc>
          <w:tcPr>
            <w:tcW w:w="1181" w:type="dxa"/>
          </w:tcPr>
          <w:p>
            <w:pPr>
              <w:snapToGrid w:val="0"/>
              <w:rPr>
                <w:snapToGrid w:val="0"/>
                <w:kern w:val="2"/>
                <w:szCs w:val="21"/>
              </w:rPr>
            </w:pPr>
          </w:p>
        </w:tc>
        <w:tc>
          <w:tcPr>
            <w:tcW w:w="911" w:type="dxa"/>
          </w:tcPr>
          <w:p>
            <w:pPr>
              <w:snapToGrid w:val="0"/>
              <w:rPr>
                <w:snapToGrid w:val="0"/>
                <w:kern w:val="2"/>
                <w:szCs w:val="21"/>
              </w:rPr>
            </w:pPr>
          </w:p>
        </w:tc>
        <w:tc>
          <w:tcPr>
            <w:tcW w:w="1012" w:type="dxa"/>
          </w:tcPr>
          <w:p>
            <w:pPr>
              <w:snapToGrid w:val="0"/>
              <w:rPr>
                <w:snapToGrid w:val="0"/>
                <w:kern w:val="2"/>
                <w:szCs w:val="21"/>
              </w:rPr>
            </w:pPr>
          </w:p>
        </w:tc>
        <w:tc>
          <w:tcPr>
            <w:tcW w:w="1010" w:type="dxa"/>
          </w:tcPr>
          <w:p>
            <w:pPr>
              <w:snapToGrid w:val="0"/>
              <w:rPr>
                <w:snapToGrid w:val="0"/>
                <w:kern w:val="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674" w:type="dxa"/>
          </w:tcPr>
          <w:p>
            <w:pPr>
              <w:snapToGrid w:val="0"/>
              <w:rPr>
                <w:snapToGrid w:val="0"/>
                <w:kern w:val="2"/>
                <w:szCs w:val="21"/>
              </w:rPr>
            </w:pPr>
          </w:p>
        </w:tc>
        <w:tc>
          <w:tcPr>
            <w:tcW w:w="1109" w:type="dxa"/>
          </w:tcPr>
          <w:p>
            <w:pPr>
              <w:snapToGrid w:val="0"/>
              <w:rPr>
                <w:snapToGrid w:val="0"/>
                <w:kern w:val="2"/>
                <w:szCs w:val="21"/>
              </w:rPr>
            </w:pPr>
          </w:p>
        </w:tc>
        <w:tc>
          <w:tcPr>
            <w:tcW w:w="744" w:type="dxa"/>
          </w:tcPr>
          <w:p>
            <w:pPr>
              <w:snapToGrid w:val="0"/>
              <w:rPr>
                <w:snapToGrid w:val="0"/>
                <w:kern w:val="2"/>
                <w:szCs w:val="21"/>
              </w:rPr>
            </w:pPr>
          </w:p>
        </w:tc>
        <w:tc>
          <w:tcPr>
            <w:tcW w:w="764" w:type="dxa"/>
          </w:tcPr>
          <w:p>
            <w:pPr>
              <w:snapToGrid w:val="0"/>
              <w:rPr>
                <w:snapToGrid w:val="0"/>
                <w:kern w:val="2"/>
                <w:szCs w:val="21"/>
              </w:rPr>
            </w:pPr>
          </w:p>
        </w:tc>
        <w:tc>
          <w:tcPr>
            <w:tcW w:w="764" w:type="dxa"/>
          </w:tcPr>
          <w:p>
            <w:pPr>
              <w:snapToGrid w:val="0"/>
              <w:rPr>
                <w:snapToGrid w:val="0"/>
                <w:kern w:val="2"/>
                <w:szCs w:val="21"/>
              </w:rPr>
            </w:pPr>
          </w:p>
        </w:tc>
        <w:tc>
          <w:tcPr>
            <w:tcW w:w="1012" w:type="dxa"/>
          </w:tcPr>
          <w:p>
            <w:pPr>
              <w:snapToGrid w:val="0"/>
              <w:rPr>
                <w:snapToGrid w:val="0"/>
                <w:kern w:val="2"/>
                <w:szCs w:val="21"/>
              </w:rPr>
            </w:pPr>
          </w:p>
        </w:tc>
        <w:tc>
          <w:tcPr>
            <w:tcW w:w="1181" w:type="dxa"/>
          </w:tcPr>
          <w:p>
            <w:pPr>
              <w:snapToGrid w:val="0"/>
              <w:rPr>
                <w:snapToGrid w:val="0"/>
                <w:kern w:val="2"/>
                <w:szCs w:val="21"/>
              </w:rPr>
            </w:pPr>
          </w:p>
        </w:tc>
        <w:tc>
          <w:tcPr>
            <w:tcW w:w="911" w:type="dxa"/>
          </w:tcPr>
          <w:p>
            <w:pPr>
              <w:snapToGrid w:val="0"/>
              <w:rPr>
                <w:snapToGrid w:val="0"/>
                <w:kern w:val="2"/>
                <w:szCs w:val="21"/>
              </w:rPr>
            </w:pPr>
          </w:p>
        </w:tc>
        <w:tc>
          <w:tcPr>
            <w:tcW w:w="1012" w:type="dxa"/>
          </w:tcPr>
          <w:p>
            <w:pPr>
              <w:snapToGrid w:val="0"/>
              <w:rPr>
                <w:snapToGrid w:val="0"/>
                <w:kern w:val="2"/>
                <w:szCs w:val="21"/>
              </w:rPr>
            </w:pPr>
          </w:p>
        </w:tc>
        <w:tc>
          <w:tcPr>
            <w:tcW w:w="1010" w:type="dxa"/>
          </w:tcPr>
          <w:p>
            <w:pPr>
              <w:snapToGrid w:val="0"/>
              <w:rPr>
                <w:snapToGrid w:val="0"/>
                <w:kern w:val="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674" w:type="dxa"/>
          </w:tcPr>
          <w:p>
            <w:pPr>
              <w:snapToGrid w:val="0"/>
              <w:rPr>
                <w:snapToGrid w:val="0"/>
                <w:kern w:val="2"/>
                <w:szCs w:val="21"/>
              </w:rPr>
            </w:pPr>
          </w:p>
        </w:tc>
        <w:tc>
          <w:tcPr>
            <w:tcW w:w="1109" w:type="dxa"/>
          </w:tcPr>
          <w:p>
            <w:pPr>
              <w:snapToGrid w:val="0"/>
              <w:rPr>
                <w:snapToGrid w:val="0"/>
                <w:kern w:val="2"/>
                <w:szCs w:val="21"/>
              </w:rPr>
            </w:pPr>
          </w:p>
        </w:tc>
        <w:tc>
          <w:tcPr>
            <w:tcW w:w="744" w:type="dxa"/>
          </w:tcPr>
          <w:p>
            <w:pPr>
              <w:snapToGrid w:val="0"/>
              <w:rPr>
                <w:snapToGrid w:val="0"/>
                <w:kern w:val="2"/>
                <w:szCs w:val="21"/>
              </w:rPr>
            </w:pPr>
          </w:p>
        </w:tc>
        <w:tc>
          <w:tcPr>
            <w:tcW w:w="764" w:type="dxa"/>
          </w:tcPr>
          <w:p>
            <w:pPr>
              <w:snapToGrid w:val="0"/>
              <w:rPr>
                <w:snapToGrid w:val="0"/>
                <w:kern w:val="2"/>
                <w:szCs w:val="21"/>
              </w:rPr>
            </w:pPr>
          </w:p>
        </w:tc>
        <w:tc>
          <w:tcPr>
            <w:tcW w:w="764" w:type="dxa"/>
          </w:tcPr>
          <w:p>
            <w:pPr>
              <w:snapToGrid w:val="0"/>
              <w:rPr>
                <w:snapToGrid w:val="0"/>
                <w:kern w:val="2"/>
                <w:szCs w:val="21"/>
              </w:rPr>
            </w:pPr>
          </w:p>
        </w:tc>
        <w:tc>
          <w:tcPr>
            <w:tcW w:w="1012" w:type="dxa"/>
          </w:tcPr>
          <w:p>
            <w:pPr>
              <w:snapToGrid w:val="0"/>
              <w:rPr>
                <w:snapToGrid w:val="0"/>
                <w:kern w:val="2"/>
                <w:szCs w:val="21"/>
              </w:rPr>
            </w:pPr>
          </w:p>
        </w:tc>
        <w:tc>
          <w:tcPr>
            <w:tcW w:w="1181" w:type="dxa"/>
          </w:tcPr>
          <w:p>
            <w:pPr>
              <w:snapToGrid w:val="0"/>
              <w:rPr>
                <w:snapToGrid w:val="0"/>
                <w:kern w:val="2"/>
                <w:szCs w:val="21"/>
              </w:rPr>
            </w:pPr>
          </w:p>
        </w:tc>
        <w:tc>
          <w:tcPr>
            <w:tcW w:w="911" w:type="dxa"/>
          </w:tcPr>
          <w:p>
            <w:pPr>
              <w:snapToGrid w:val="0"/>
              <w:rPr>
                <w:snapToGrid w:val="0"/>
                <w:kern w:val="2"/>
                <w:szCs w:val="21"/>
              </w:rPr>
            </w:pPr>
          </w:p>
        </w:tc>
        <w:tc>
          <w:tcPr>
            <w:tcW w:w="1012" w:type="dxa"/>
          </w:tcPr>
          <w:p>
            <w:pPr>
              <w:snapToGrid w:val="0"/>
              <w:rPr>
                <w:snapToGrid w:val="0"/>
                <w:kern w:val="2"/>
                <w:szCs w:val="21"/>
              </w:rPr>
            </w:pPr>
          </w:p>
        </w:tc>
        <w:tc>
          <w:tcPr>
            <w:tcW w:w="1010" w:type="dxa"/>
          </w:tcPr>
          <w:p>
            <w:pPr>
              <w:snapToGrid w:val="0"/>
              <w:rPr>
                <w:snapToGrid w:val="0"/>
                <w:kern w:val="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674" w:type="dxa"/>
          </w:tcPr>
          <w:p>
            <w:pPr>
              <w:snapToGrid w:val="0"/>
              <w:rPr>
                <w:snapToGrid w:val="0"/>
                <w:kern w:val="2"/>
                <w:szCs w:val="21"/>
              </w:rPr>
            </w:pPr>
          </w:p>
        </w:tc>
        <w:tc>
          <w:tcPr>
            <w:tcW w:w="1109" w:type="dxa"/>
          </w:tcPr>
          <w:p>
            <w:pPr>
              <w:snapToGrid w:val="0"/>
              <w:rPr>
                <w:snapToGrid w:val="0"/>
                <w:kern w:val="2"/>
                <w:szCs w:val="21"/>
              </w:rPr>
            </w:pPr>
          </w:p>
        </w:tc>
        <w:tc>
          <w:tcPr>
            <w:tcW w:w="744" w:type="dxa"/>
          </w:tcPr>
          <w:p>
            <w:pPr>
              <w:snapToGrid w:val="0"/>
              <w:rPr>
                <w:snapToGrid w:val="0"/>
                <w:kern w:val="2"/>
                <w:szCs w:val="21"/>
              </w:rPr>
            </w:pPr>
          </w:p>
        </w:tc>
        <w:tc>
          <w:tcPr>
            <w:tcW w:w="764" w:type="dxa"/>
          </w:tcPr>
          <w:p>
            <w:pPr>
              <w:snapToGrid w:val="0"/>
              <w:rPr>
                <w:snapToGrid w:val="0"/>
                <w:kern w:val="2"/>
                <w:szCs w:val="21"/>
              </w:rPr>
            </w:pPr>
          </w:p>
        </w:tc>
        <w:tc>
          <w:tcPr>
            <w:tcW w:w="764" w:type="dxa"/>
          </w:tcPr>
          <w:p>
            <w:pPr>
              <w:snapToGrid w:val="0"/>
              <w:rPr>
                <w:snapToGrid w:val="0"/>
                <w:kern w:val="2"/>
                <w:szCs w:val="21"/>
              </w:rPr>
            </w:pPr>
          </w:p>
        </w:tc>
        <w:tc>
          <w:tcPr>
            <w:tcW w:w="1012" w:type="dxa"/>
          </w:tcPr>
          <w:p>
            <w:pPr>
              <w:snapToGrid w:val="0"/>
              <w:rPr>
                <w:snapToGrid w:val="0"/>
                <w:kern w:val="2"/>
                <w:szCs w:val="21"/>
              </w:rPr>
            </w:pPr>
          </w:p>
        </w:tc>
        <w:tc>
          <w:tcPr>
            <w:tcW w:w="1181" w:type="dxa"/>
          </w:tcPr>
          <w:p>
            <w:pPr>
              <w:snapToGrid w:val="0"/>
              <w:rPr>
                <w:snapToGrid w:val="0"/>
                <w:kern w:val="2"/>
                <w:szCs w:val="21"/>
              </w:rPr>
            </w:pPr>
          </w:p>
        </w:tc>
        <w:tc>
          <w:tcPr>
            <w:tcW w:w="911" w:type="dxa"/>
          </w:tcPr>
          <w:p>
            <w:pPr>
              <w:snapToGrid w:val="0"/>
              <w:rPr>
                <w:snapToGrid w:val="0"/>
                <w:kern w:val="2"/>
                <w:szCs w:val="21"/>
              </w:rPr>
            </w:pPr>
          </w:p>
        </w:tc>
        <w:tc>
          <w:tcPr>
            <w:tcW w:w="1012" w:type="dxa"/>
          </w:tcPr>
          <w:p>
            <w:pPr>
              <w:snapToGrid w:val="0"/>
              <w:rPr>
                <w:snapToGrid w:val="0"/>
                <w:kern w:val="2"/>
                <w:szCs w:val="21"/>
              </w:rPr>
            </w:pPr>
          </w:p>
        </w:tc>
        <w:tc>
          <w:tcPr>
            <w:tcW w:w="1010" w:type="dxa"/>
          </w:tcPr>
          <w:p>
            <w:pPr>
              <w:snapToGrid w:val="0"/>
              <w:rPr>
                <w:snapToGrid w:val="0"/>
                <w:kern w:val="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674" w:type="dxa"/>
          </w:tcPr>
          <w:p>
            <w:pPr>
              <w:snapToGrid w:val="0"/>
              <w:rPr>
                <w:snapToGrid w:val="0"/>
                <w:kern w:val="2"/>
                <w:szCs w:val="21"/>
              </w:rPr>
            </w:pPr>
          </w:p>
        </w:tc>
        <w:tc>
          <w:tcPr>
            <w:tcW w:w="1109" w:type="dxa"/>
          </w:tcPr>
          <w:p>
            <w:pPr>
              <w:snapToGrid w:val="0"/>
              <w:rPr>
                <w:snapToGrid w:val="0"/>
                <w:kern w:val="2"/>
                <w:szCs w:val="21"/>
              </w:rPr>
            </w:pPr>
          </w:p>
        </w:tc>
        <w:tc>
          <w:tcPr>
            <w:tcW w:w="744" w:type="dxa"/>
          </w:tcPr>
          <w:p>
            <w:pPr>
              <w:snapToGrid w:val="0"/>
              <w:rPr>
                <w:snapToGrid w:val="0"/>
                <w:kern w:val="2"/>
                <w:szCs w:val="21"/>
              </w:rPr>
            </w:pPr>
          </w:p>
        </w:tc>
        <w:tc>
          <w:tcPr>
            <w:tcW w:w="764" w:type="dxa"/>
          </w:tcPr>
          <w:p>
            <w:pPr>
              <w:snapToGrid w:val="0"/>
              <w:rPr>
                <w:snapToGrid w:val="0"/>
                <w:kern w:val="2"/>
                <w:szCs w:val="21"/>
              </w:rPr>
            </w:pPr>
          </w:p>
        </w:tc>
        <w:tc>
          <w:tcPr>
            <w:tcW w:w="764" w:type="dxa"/>
          </w:tcPr>
          <w:p>
            <w:pPr>
              <w:snapToGrid w:val="0"/>
              <w:rPr>
                <w:snapToGrid w:val="0"/>
                <w:kern w:val="2"/>
                <w:szCs w:val="21"/>
              </w:rPr>
            </w:pPr>
          </w:p>
        </w:tc>
        <w:tc>
          <w:tcPr>
            <w:tcW w:w="1012" w:type="dxa"/>
          </w:tcPr>
          <w:p>
            <w:pPr>
              <w:snapToGrid w:val="0"/>
              <w:rPr>
                <w:snapToGrid w:val="0"/>
                <w:kern w:val="2"/>
                <w:szCs w:val="21"/>
              </w:rPr>
            </w:pPr>
          </w:p>
        </w:tc>
        <w:tc>
          <w:tcPr>
            <w:tcW w:w="1181" w:type="dxa"/>
          </w:tcPr>
          <w:p>
            <w:pPr>
              <w:snapToGrid w:val="0"/>
              <w:rPr>
                <w:snapToGrid w:val="0"/>
                <w:kern w:val="2"/>
                <w:szCs w:val="21"/>
              </w:rPr>
            </w:pPr>
          </w:p>
        </w:tc>
        <w:tc>
          <w:tcPr>
            <w:tcW w:w="911" w:type="dxa"/>
          </w:tcPr>
          <w:p>
            <w:pPr>
              <w:snapToGrid w:val="0"/>
              <w:rPr>
                <w:snapToGrid w:val="0"/>
                <w:kern w:val="2"/>
                <w:szCs w:val="21"/>
              </w:rPr>
            </w:pPr>
          </w:p>
        </w:tc>
        <w:tc>
          <w:tcPr>
            <w:tcW w:w="1012" w:type="dxa"/>
          </w:tcPr>
          <w:p>
            <w:pPr>
              <w:snapToGrid w:val="0"/>
              <w:rPr>
                <w:snapToGrid w:val="0"/>
                <w:kern w:val="2"/>
                <w:szCs w:val="21"/>
              </w:rPr>
            </w:pPr>
          </w:p>
        </w:tc>
        <w:tc>
          <w:tcPr>
            <w:tcW w:w="1010" w:type="dxa"/>
          </w:tcPr>
          <w:p>
            <w:pPr>
              <w:snapToGrid w:val="0"/>
              <w:rPr>
                <w:snapToGrid w:val="0"/>
                <w:kern w:val="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674" w:type="dxa"/>
          </w:tcPr>
          <w:p>
            <w:pPr>
              <w:snapToGrid w:val="0"/>
              <w:rPr>
                <w:snapToGrid w:val="0"/>
                <w:kern w:val="2"/>
                <w:szCs w:val="21"/>
              </w:rPr>
            </w:pPr>
          </w:p>
        </w:tc>
        <w:tc>
          <w:tcPr>
            <w:tcW w:w="1109" w:type="dxa"/>
          </w:tcPr>
          <w:p>
            <w:pPr>
              <w:snapToGrid w:val="0"/>
              <w:rPr>
                <w:snapToGrid w:val="0"/>
                <w:kern w:val="2"/>
                <w:szCs w:val="21"/>
              </w:rPr>
            </w:pPr>
          </w:p>
        </w:tc>
        <w:tc>
          <w:tcPr>
            <w:tcW w:w="744" w:type="dxa"/>
          </w:tcPr>
          <w:p>
            <w:pPr>
              <w:snapToGrid w:val="0"/>
              <w:rPr>
                <w:snapToGrid w:val="0"/>
                <w:kern w:val="2"/>
                <w:szCs w:val="21"/>
              </w:rPr>
            </w:pPr>
          </w:p>
        </w:tc>
        <w:tc>
          <w:tcPr>
            <w:tcW w:w="764" w:type="dxa"/>
          </w:tcPr>
          <w:p>
            <w:pPr>
              <w:snapToGrid w:val="0"/>
              <w:rPr>
                <w:snapToGrid w:val="0"/>
                <w:kern w:val="2"/>
                <w:szCs w:val="21"/>
              </w:rPr>
            </w:pPr>
          </w:p>
        </w:tc>
        <w:tc>
          <w:tcPr>
            <w:tcW w:w="764" w:type="dxa"/>
          </w:tcPr>
          <w:p>
            <w:pPr>
              <w:snapToGrid w:val="0"/>
              <w:rPr>
                <w:snapToGrid w:val="0"/>
                <w:kern w:val="2"/>
                <w:szCs w:val="21"/>
              </w:rPr>
            </w:pPr>
          </w:p>
        </w:tc>
        <w:tc>
          <w:tcPr>
            <w:tcW w:w="1012" w:type="dxa"/>
          </w:tcPr>
          <w:p>
            <w:pPr>
              <w:snapToGrid w:val="0"/>
              <w:rPr>
                <w:snapToGrid w:val="0"/>
                <w:kern w:val="2"/>
                <w:szCs w:val="21"/>
              </w:rPr>
            </w:pPr>
          </w:p>
        </w:tc>
        <w:tc>
          <w:tcPr>
            <w:tcW w:w="1181" w:type="dxa"/>
          </w:tcPr>
          <w:p>
            <w:pPr>
              <w:snapToGrid w:val="0"/>
              <w:rPr>
                <w:snapToGrid w:val="0"/>
                <w:kern w:val="2"/>
                <w:szCs w:val="21"/>
              </w:rPr>
            </w:pPr>
          </w:p>
        </w:tc>
        <w:tc>
          <w:tcPr>
            <w:tcW w:w="911" w:type="dxa"/>
          </w:tcPr>
          <w:p>
            <w:pPr>
              <w:snapToGrid w:val="0"/>
              <w:rPr>
                <w:snapToGrid w:val="0"/>
                <w:kern w:val="2"/>
                <w:szCs w:val="21"/>
              </w:rPr>
            </w:pPr>
          </w:p>
        </w:tc>
        <w:tc>
          <w:tcPr>
            <w:tcW w:w="1012" w:type="dxa"/>
          </w:tcPr>
          <w:p>
            <w:pPr>
              <w:snapToGrid w:val="0"/>
              <w:rPr>
                <w:snapToGrid w:val="0"/>
                <w:kern w:val="2"/>
                <w:szCs w:val="21"/>
              </w:rPr>
            </w:pPr>
          </w:p>
        </w:tc>
        <w:tc>
          <w:tcPr>
            <w:tcW w:w="1010" w:type="dxa"/>
          </w:tcPr>
          <w:p>
            <w:pPr>
              <w:snapToGrid w:val="0"/>
              <w:rPr>
                <w:snapToGrid w:val="0"/>
                <w:kern w:val="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674" w:type="dxa"/>
          </w:tcPr>
          <w:p>
            <w:pPr>
              <w:snapToGrid w:val="0"/>
              <w:rPr>
                <w:snapToGrid w:val="0"/>
                <w:kern w:val="2"/>
                <w:szCs w:val="21"/>
              </w:rPr>
            </w:pPr>
          </w:p>
        </w:tc>
        <w:tc>
          <w:tcPr>
            <w:tcW w:w="1109" w:type="dxa"/>
          </w:tcPr>
          <w:p>
            <w:pPr>
              <w:snapToGrid w:val="0"/>
              <w:rPr>
                <w:snapToGrid w:val="0"/>
                <w:kern w:val="2"/>
                <w:szCs w:val="21"/>
              </w:rPr>
            </w:pPr>
          </w:p>
        </w:tc>
        <w:tc>
          <w:tcPr>
            <w:tcW w:w="744" w:type="dxa"/>
          </w:tcPr>
          <w:p>
            <w:pPr>
              <w:snapToGrid w:val="0"/>
              <w:rPr>
                <w:snapToGrid w:val="0"/>
                <w:kern w:val="2"/>
                <w:szCs w:val="21"/>
              </w:rPr>
            </w:pPr>
          </w:p>
        </w:tc>
        <w:tc>
          <w:tcPr>
            <w:tcW w:w="764" w:type="dxa"/>
          </w:tcPr>
          <w:p>
            <w:pPr>
              <w:snapToGrid w:val="0"/>
              <w:rPr>
                <w:snapToGrid w:val="0"/>
                <w:kern w:val="2"/>
                <w:szCs w:val="21"/>
              </w:rPr>
            </w:pPr>
          </w:p>
        </w:tc>
        <w:tc>
          <w:tcPr>
            <w:tcW w:w="764" w:type="dxa"/>
          </w:tcPr>
          <w:p>
            <w:pPr>
              <w:snapToGrid w:val="0"/>
              <w:rPr>
                <w:snapToGrid w:val="0"/>
                <w:kern w:val="2"/>
                <w:szCs w:val="21"/>
              </w:rPr>
            </w:pPr>
          </w:p>
        </w:tc>
        <w:tc>
          <w:tcPr>
            <w:tcW w:w="1012" w:type="dxa"/>
          </w:tcPr>
          <w:p>
            <w:pPr>
              <w:snapToGrid w:val="0"/>
              <w:rPr>
                <w:snapToGrid w:val="0"/>
                <w:kern w:val="2"/>
                <w:szCs w:val="21"/>
              </w:rPr>
            </w:pPr>
          </w:p>
        </w:tc>
        <w:tc>
          <w:tcPr>
            <w:tcW w:w="1181" w:type="dxa"/>
          </w:tcPr>
          <w:p>
            <w:pPr>
              <w:snapToGrid w:val="0"/>
              <w:rPr>
                <w:snapToGrid w:val="0"/>
                <w:kern w:val="2"/>
                <w:szCs w:val="21"/>
              </w:rPr>
            </w:pPr>
          </w:p>
        </w:tc>
        <w:tc>
          <w:tcPr>
            <w:tcW w:w="911" w:type="dxa"/>
          </w:tcPr>
          <w:p>
            <w:pPr>
              <w:snapToGrid w:val="0"/>
              <w:rPr>
                <w:snapToGrid w:val="0"/>
                <w:kern w:val="2"/>
                <w:szCs w:val="21"/>
              </w:rPr>
            </w:pPr>
          </w:p>
        </w:tc>
        <w:tc>
          <w:tcPr>
            <w:tcW w:w="1012" w:type="dxa"/>
          </w:tcPr>
          <w:p>
            <w:pPr>
              <w:snapToGrid w:val="0"/>
              <w:rPr>
                <w:snapToGrid w:val="0"/>
                <w:kern w:val="2"/>
                <w:szCs w:val="21"/>
              </w:rPr>
            </w:pPr>
          </w:p>
        </w:tc>
        <w:tc>
          <w:tcPr>
            <w:tcW w:w="1010" w:type="dxa"/>
          </w:tcPr>
          <w:p>
            <w:pPr>
              <w:snapToGrid w:val="0"/>
              <w:rPr>
                <w:snapToGrid w:val="0"/>
                <w:kern w:val="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674" w:type="dxa"/>
          </w:tcPr>
          <w:p>
            <w:pPr>
              <w:snapToGrid w:val="0"/>
              <w:rPr>
                <w:snapToGrid w:val="0"/>
                <w:kern w:val="2"/>
                <w:szCs w:val="21"/>
              </w:rPr>
            </w:pPr>
          </w:p>
        </w:tc>
        <w:tc>
          <w:tcPr>
            <w:tcW w:w="1109" w:type="dxa"/>
          </w:tcPr>
          <w:p>
            <w:pPr>
              <w:snapToGrid w:val="0"/>
              <w:rPr>
                <w:snapToGrid w:val="0"/>
                <w:kern w:val="2"/>
                <w:szCs w:val="21"/>
              </w:rPr>
            </w:pPr>
          </w:p>
        </w:tc>
        <w:tc>
          <w:tcPr>
            <w:tcW w:w="744" w:type="dxa"/>
          </w:tcPr>
          <w:p>
            <w:pPr>
              <w:snapToGrid w:val="0"/>
              <w:rPr>
                <w:snapToGrid w:val="0"/>
                <w:kern w:val="2"/>
                <w:szCs w:val="21"/>
              </w:rPr>
            </w:pPr>
          </w:p>
        </w:tc>
        <w:tc>
          <w:tcPr>
            <w:tcW w:w="764" w:type="dxa"/>
          </w:tcPr>
          <w:p>
            <w:pPr>
              <w:snapToGrid w:val="0"/>
              <w:rPr>
                <w:snapToGrid w:val="0"/>
                <w:kern w:val="2"/>
                <w:szCs w:val="21"/>
              </w:rPr>
            </w:pPr>
          </w:p>
        </w:tc>
        <w:tc>
          <w:tcPr>
            <w:tcW w:w="764" w:type="dxa"/>
          </w:tcPr>
          <w:p>
            <w:pPr>
              <w:snapToGrid w:val="0"/>
              <w:rPr>
                <w:snapToGrid w:val="0"/>
                <w:kern w:val="2"/>
                <w:szCs w:val="21"/>
              </w:rPr>
            </w:pPr>
          </w:p>
        </w:tc>
        <w:tc>
          <w:tcPr>
            <w:tcW w:w="1012" w:type="dxa"/>
          </w:tcPr>
          <w:p>
            <w:pPr>
              <w:snapToGrid w:val="0"/>
              <w:rPr>
                <w:snapToGrid w:val="0"/>
                <w:kern w:val="2"/>
                <w:szCs w:val="21"/>
              </w:rPr>
            </w:pPr>
          </w:p>
        </w:tc>
        <w:tc>
          <w:tcPr>
            <w:tcW w:w="1181" w:type="dxa"/>
          </w:tcPr>
          <w:p>
            <w:pPr>
              <w:snapToGrid w:val="0"/>
              <w:rPr>
                <w:snapToGrid w:val="0"/>
                <w:kern w:val="2"/>
                <w:szCs w:val="21"/>
              </w:rPr>
            </w:pPr>
          </w:p>
        </w:tc>
        <w:tc>
          <w:tcPr>
            <w:tcW w:w="911" w:type="dxa"/>
          </w:tcPr>
          <w:p>
            <w:pPr>
              <w:snapToGrid w:val="0"/>
              <w:rPr>
                <w:snapToGrid w:val="0"/>
                <w:kern w:val="2"/>
                <w:szCs w:val="21"/>
              </w:rPr>
            </w:pPr>
          </w:p>
        </w:tc>
        <w:tc>
          <w:tcPr>
            <w:tcW w:w="1012" w:type="dxa"/>
          </w:tcPr>
          <w:p>
            <w:pPr>
              <w:snapToGrid w:val="0"/>
              <w:rPr>
                <w:snapToGrid w:val="0"/>
                <w:kern w:val="2"/>
                <w:szCs w:val="21"/>
              </w:rPr>
            </w:pPr>
          </w:p>
        </w:tc>
        <w:tc>
          <w:tcPr>
            <w:tcW w:w="1010" w:type="dxa"/>
          </w:tcPr>
          <w:p>
            <w:pPr>
              <w:snapToGrid w:val="0"/>
              <w:rPr>
                <w:snapToGrid w:val="0"/>
                <w:kern w:val="2"/>
                <w:szCs w:val="21"/>
              </w:rPr>
            </w:pPr>
          </w:p>
        </w:tc>
      </w:tr>
    </w:tbl>
    <w:p>
      <w:pPr>
        <w:pStyle w:val="7"/>
        <w:rPr>
          <w:rFonts w:ascii="黑体" w:hAnsi="黑体" w:eastAsia="黑体"/>
          <w:szCs w:val="24"/>
        </w:rPr>
      </w:pPr>
    </w:p>
    <w:p>
      <w:pPr>
        <w:pStyle w:val="4"/>
      </w:pPr>
    </w:p>
    <w:p>
      <w:pPr>
        <w:pStyle w:val="7"/>
        <w:rPr>
          <w:rFonts w:ascii="黑体" w:hAnsi="黑体" w:eastAsia="黑体"/>
          <w:szCs w:val="24"/>
        </w:rPr>
      </w:pPr>
      <w:r>
        <w:rPr>
          <w:rFonts w:ascii="黑体" w:hAnsi="黑体" w:eastAsia="黑体"/>
          <w:szCs w:val="24"/>
        </w:rPr>
        <w:t>附</w:t>
      </w:r>
      <w:r>
        <w:rPr>
          <w:rFonts w:hint="eastAsia" w:ascii="黑体" w:hAnsi="黑体" w:eastAsia="黑体"/>
          <w:szCs w:val="24"/>
        </w:rPr>
        <w:t>件二</w:t>
      </w:r>
    </w:p>
    <w:p>
      <w:pPr>
        <w:pStyle w:val="7"/>
        <w:jc w:val="center"/>
        <w:rPr>
          <w:rFonts w:eastAsia="宋体"/>
          <w:sz w:val="28"/>
          <w:szCs w:val="28"/>
        </w:rPr>
      </w:pPr>
      <w:r>
        <w:rPr>
          <w:rFonts w:hint="eastAsia" w:eastAsia="宋体"/>
          <w:sz w:val="28"/>
          <w:szCs w:val="28"/>
        </w:rPr>
        <w:t>拟投入本标段的试验和检测仪器设备表</w:t>
      </w:r>
    </w:p>
    <w:tbl>
      <w:tblPr>
        <w:tblStyle w:val="24"/>
        <w:tblW w:w="9172"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676"/>
        <w:gridCol w:w="1767"/>
        <w:gridCol w:w="745"/>
        <w:gridCol w:w="765"/>
        <w:gridCol w:w="765"/>
        <w:gridCol w:w="1009"/>
        <w:gridCol w:w="1121"/>
        <w:gridCol w:w="910"/>
        <w:gridCol w:w="141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676" w:type="dxa"/>
            <w:vAlign w:val="center"/>
          </w:tcPr>
          <w:p>
            <w:pPr>
              <w:snapToGrid w:val="0"/>
              <w:jc w:val="center"/>
              <w:rPr>
                <w:snapToGrid w:val="0"/>
                <w:kern w:val="2"/>
                <w:sz w:val="21"/>
                <w:szCs w:val="21"/>
              </w:rPr>
            </w:pPr>
            <w:r>
              <w:rPr>
                <w:snapToGrid w:val="0"/>
                <w:kern w:val="2"/>
                <w:sz w:val="21"/>
                <w:szCs w:val="21"/>
              </w:rPr>
              <w:t>序号</w:t>
            </w:r>
          </w:p>
        </w:tc>
        <w:tc>
          <w:tcPr>
            <w:tcW w:w="1767" w:type="dxa"/>
            <w:vAlign w:val="center"/>
          </w:tcPr>
          <w:p>
            <w:pPr>
              <w:snapToGrid w:val="0"/>
              <w:jc w:val="center"/>
              <w:rPr>
                <w:snapToGrid w:val="0"/>
                <w:kern w:val="2"/>
                <w:sz w:val="21"/>
                <w:szCs w:val="21"/>
              </w:rPr>
            </w:pPr>
            <w:r>
              <w:rPr>
                <w:rFonts w:hint="eastAsia"/>
                <w:snapToGrid w:val="0"/>
                <w:kern w:val="2"/>
                <w:sz w:val="21"/>
                <w:szCs w:val="21"/>
              </w:rPr>
              <w:t>仪器</w:t>
            </w:r>
            <w:r>
              <w:rPr>
                <w:snapToGrid w:val="0"/>
                <w:kern w:val="2"/>
                <w:sz w:val="21"/>
                <w:szCs w:val="21"/>
              </w:rPr>
              <w:t>设备名称</w:t>
            </w:r>
          </w:p>
        </w:tc>
        <w:tc>
          <w:tcPr>
            <w:tcW w:w="745" w:type="dxa"/>
            <w:vAlign w:val="center"/>
          </w:tcPr>
          <w:p>
            <w:pPr>
              <w:snapToGrid w:val="0"/>
              <w:jc w:val="center"/>
              <w:rPr>
                <w:snapToGrid w:val="0"/>
                <w:kern w:val="2"/>
                <w:sz w:val="21"/>
                <w:szCs w:val="21"/>
              </w:rPr>
            </w:pPr>
            <w:r>
              <w:rPr>
                <w:snapToGrid w:val="0"/>
                <w:kern w:val="2"/>
                <w:sz w:val="21"/>
                <w:szCs w:val="21"/>
              </w:rPr>
              <w:t>型号</w:t>
            </w:r>
          </w:p>
          <w:p>
            <w:pPr>
              <w:snapToGrid w:val="0"/>
              <w:jc w:val="center"/>
              <w:rPr>
                <w:snapToGrid w:val="0"/>
                <w:kern w:val="2"/>
                <w:sz w:val="21"/>
                <w:szCs w:val="21"/>
              </w:rPr>
            </w:pPr>
            <w:r>
              <w:rPr>
                <w:snapToGrid w:val="0"/>
                <w:kern w:val="2"/>
                <w:sz w:val="21"/>
                <w:szCs w:val="21"/>
              </w:rPr>
              <w:t>规格</w:t>
            </w:r>
          </w:p>
        </w:tc>
        <w:tc>
          <w:tcPr>
            <w:tcW w:w="765" w:type="dxa"/>
            <w:vAlign w:val="center"/>
          </w:tcPr>
          <w:p>
            <w:pPr>
              <w:snapToGrid w:val="0"/>
              <w:jc w:val="center"/>
              <w:rPr>
                <w:snapToGrid w:val="0"/>
                <w:kern w:val="2"/>
                <w:sz w:val="21"/>
                <w:szCs w:val="21"/>
              </w:rPr>
            </w:pPr>
            <w:r>
              <w:rPr>
                <w:snapToGrid w:val="0"/>
                <w:kern w:val="2"/>
                <w:sz w:val="21"/>
                <w:szCs w:val="21"/>
              </w:rPr>
              <w:t>数量</w:t>
            </w:r>
          </w:p>
        </w:tc>
        <w:tc>
          <w:tcPr>
            <w:tcW w:w="765" w:type="dxa"/>
            <w:vAlign w:val="center"/>
          </w:tcPr>
          <w:p>
            <w:pPr>
              <w:snapToGrid w:val="0"/>
              <w:jc w:val="center"/>
              <w:rPr>
                <w:snapToGrid w:val="0"/>
                <w:kern w:val="2"/>
                <w:sz w:val="21"/>
                <w:szCs w:val="21"/>
              </w:rPr>
            </w:pPr>
            <w:r>
              <w:rPr>
                <w:snapToGrid w:val="0"/>
                <w:kern w:val="2"/>
                <w:sz w:val="21"/>
                <w:szCs w:val="21"/>
              </w:rPr>
              <w:t>国别</w:t>
            </w:r>
          </w:p>
          <w:p>
            <w:pPr>
              <w:snapToGrid w:val="0"/>
              <w:jc w:val="center"/>
              <w:rPr>
                <w:snapToGrid w:val="0"/>
                <w:kern w:val="2"/>
                <w:sz w:val="21"/>
                <w:szCs w:val="21"/>
              </w:rPr>
            </w:pPr>
            <w:r>
              <w:rPr>
                <w:snapToGrid w:val="0"/>
                <w:kern w:val="2"/>
                <w:sz w:val="21"/>
                <w:szCs w:val="21"/>
              </w:rPr>
              <w:t>产地</w:t>
            </w:r>
          </w:p>
        </w:tc>
        <w:tc>
          <w:tcPr>
            <w:tcW w:w="1009" w:type="dxa"/>
            <w:vAlign w:val="center"/>
          </w:tcPr>
          <w:p>
            <w:pPr>
              <w:snapToGrid w:val="0"/>
              <w:jc w:val="center"/>
              <w:rPr>
                <w:snapToGrid w:val="0"/>
                <w:kern w:val="2"/>
                <w:sz w:val="21"/>
                <w:szCs w:val="21"/>
              </w:rPr>
            </w:pPr>
            <w:r>
              <w:rPr>
                <w:snapToGrid w:val="0"/>
                <w:kern w:val="2"/>
                <w:sz w:val="21"/>
                <w:szCs w:val="21"/>
              </w:rPr>
              <w:t>制造</w:t>
            </w:r>
          </w:p>
          <w:p>
            <w:pPr>
              <w:snapToGrid w:val="0"/>
              <w:jc w:val="center"/>
              <w:rPr>
                <w:snapToGrid w:val="0"/>
                <w:kern w:val="2"/>
                <w:sz w:val="21"/>
                <w:szCs w:val="21"/>
              </w:rPr>
            </w:pPr>
            <w:r>
              <w:rPr>
                <w:snapToGrid w:val="0"/>
                <w:kern w:val="2"/>
                <w:sz w:val="21"/>
                <w:szCs w:val="21"/>
              </w:rPr>
              <w:t>年份</w:t>
            </w:r>
          </w:p>
        </w:tc>
        <w:tc>
          <w:tcPr>
            <w:tcW w:w="1121" w:type="dxa"/>
            <w:vAlign w:val="center"/>
          </w:tcPr>
          <w:p>
            <w:pPr>
              <w:snapToGrid w:val="0"/>
              <w:jc w:val="center"/>
              <w:rPr>
                <w:snapToGrid w:val="0"/>
                <w:kern w:val="2"/>
                <w:sz w:val="21"/>
                <w:szCs w:val="21"/>
              </w:rPr>
            </w:pPr>
            <w:r>
              <w:rPr>
                <w:rFonts w:hint="eastAsia"/>
                <w:snapToGrid w:val="0"/>
                <w:kern w:val="2"/>
                <w:sz w:val="21"/>
                <w:szCs w:val="21"/>
              </w:rPr>
              <w:t>已使用</w:t>
            </w:r>
          </w:p>
          <w:p>
            <w:pPr>
              <w:snapToGrid w:val="0"/>
              <w:jc w:val="center"/>
              <w:rPr>
                <w:snapToGrid w:val="0"/>
                <w:kern w:val="2"/>
                <w:sz w:val="21"/>
                <w:szCs w:val="21"/>
              </w:rPr>
            </w:pPr>
            <w:r>
              <w:rPr>
                <w:rFonts w:hint="eastAsia"/>
                <w:snapToGrid w:val="0"/>
                <w:kern w:val="2"/>
                <w:sz w:val="21"/>
                <w:szCs w:val="21"/>
              </w:rPr>
              <w:t>台时数</w:t>
            </w:r>
          </w:p>
        </w:tc>
        <w:tc>
          <w:tcPr>
            <w:tcW w:w="910" w:type="dxa"/>
            <w:vAlign w:val="center"/>
          </w:tcPr>
          <w:p>
            <w:pPr>
              <w:snapToGrid w:val="0"/>
              <w:jc w:val="center"/>
              <w:rPr>
                <w:snapToGrid w:val="0"/>
                <w:kern w:val="2"/>
                <w:sz w:val="21"/>
                <w:szCs w:val="21"/>
              </w:rPr>
            </w:pPr>
            <w:r>
              <w:rPr>
                <w:rFonts w:hint="eastAsia"/>
                <w:snapToGrid w:val="0"/>
                <w:kern w:val="2"/>
                <w:sz w:val="21"/>
                <w:szCs w:val="21"/>
              </w:rPr>
              <w:t>用途</w:t>
            </w:r>
          </w:p>
        </w:tc>
        <w:tc>
          <w:tcPr>
            <w:tcW w:w="1414" w:type="dxa"/>
            <w:vAlign w:val="center"/>
          </w:tcPr>
          <w:p>
            <w:pPr>
              <w:snapToGrid w:val="0"/>
              <w:jc w:val="center"/>
              <w:rPr>
                <w:snapToGrid w:val="0"/>
                <w:kern w:val="2"/>
                <w:sz w:val="21"/>
                <w:szCs w:val="21"/>
              </w:rPr>
            </w:pPr>
            <w:r>
              <w:rPr>
                <w:snapToGrid w:val="0"/>
                <w:kern w:val="2"/>
                <w:sz w:val="21"/>
                <w:szCs w:val="21"/>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676" w:type="dxa"/>
          </w:tcPr>
          <w:p>
            <w:pPr>
              <w:snapToGrid w:val="0"/>
              <w:rPr>
                <w:snapToGrid w:val="0"/>
                <w:kern w:val="2"/>
                <w:szCs w:val="21"/>
              </w:rPr>
            </w:pPr>
          </w:p>
        </w:tc>
        <w:tc>
          <w:tcPr>
            <w:tcW w:w="1767" w:type="dxa"/>
          </w:tcPr>
          <w:p>
            <w:pPr>
              <w:snapToGrid w:val="0"/>
              <w:ind w:firstLine="480" w:firstLineChars="200"/>
              <w:rPr>
                <w:snapToGrid w:val="0"/>
                <w:kern w:val="2"/>
                <w:szCs w:val="21"/>
              </w:rPr>
            </w:pPr>
          </w:p>
        </w:tc>
        <w:tc>
          <w:tcPr>
            <w:tcW w:w="745" w:type="dxa"/>
          </w:tcPr>
          <w:p>
            <w:pPr>
              <w:snapToGrid w:val="0"/>
              <w:rPr>
                <w:snapToGrid w:val="0"/>
                <w:kern w:val="2"/>
                <w:szCs w:val="21"/>
              </w:rPr>
            </w:pPr>
          </w:p>
        </w:tc>
        <w:tc>
          <w:tcPr>
            <w:tcW w:w="765" w:type="dxa"/>
          </w:tcPr>
          <w:p>
            <w:pPr>
              <w:snapToGrid w:val="0"/>
              <w:rPr>
                <w:snapToGrid w:val="0"/>
                <w:kern w:val="2"/>
                <w:szCs w:val="21"/>
              </w:rPr>
            </w:pPr>
          </w:p>
        </w:tc>
        <w:tc>
          <w:tcPr>
            <w:tcW w:w="765" w:type="dxa"/>
          </w:tcPr>
          <w:p>
            <w:pPr>
              <w:snapToGrid w:val="0"/>
              <w:rPr>
                <w:snapToGrid w:val="0"/>
                <w:kern w:val="2"/>
                <w:szCs w:val="21"/>
              </w:rPr>
            </w:pPr>
          </w:p>
        </w:tc>
        <w:tc>
          <w:tcPr>
            <w:tcW w:w="1009" w:type="dxa"/>
          </w:tcPr>
          <w:p>
            <w:pPr>
              <w:snapToGrid w:val="0"/>
              <w:rPr>
                <w:snapToGrid w:val="0"/>
                <w:kern w:val="2"/>
                <w:szCs w:val="21"/>
              </w:rPr>
            </w:pPr>
          </w:p>
        </w:tc>
        <w:tc>
          <w:tcPr>
            <w:tcW w:w="1121" w:type="dxa"/>
          </w:tcPr>
          <w:p>
            <w:pPr>
              <w:snapToGrid w:val="0"/>
              <w:rPr>
                <w:snapToGrid w:val="0"/>
                <w:kern w:val="2"/>
                <w:szCs w:val="21"/>
              </w:rPr>
            </w:pPr>
          </w:p>
        </w:tc>
        <w:tc>
          <w:tcPr>
            <w:tcW w:w="910" w:type="dxa"/>
          </w:tcPr>
          <w:p>
            <w:pPr>
              <w:snapToGrid w:val="0"/>
              <w:rPr>
                <w:snapToGrid w:val="0"/>
                <w:kern w:val="2"/>
                <w:szCs w:val="21"/>
              </w:rPr>
            </w:pPr>
          </w:p>
        </w:tc>
        <w:tc>
          <w:tcPr>
            <w:tcW w:w="1414" w:type="dxa"/>
          </w:tcPr>
          <w:p>
            <w:pPr>
              <w:snapToGrid w:val="0"/>
              <w:rPr>
                <w:snapToGrid w:val="0"/>
                <w:kern w:val="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676" w:type="dxa"/>
          </w:tcPr>
          <w:p>
            <w:pPr>
              <w:snapToGrid w:val="0"/>
              <w:rPr>
                <w:snapToGrid w:val="0"/>
                <w:kern w:val="2"/>
                <w:szCs w:val="21"/>
              </w:rPr>
            </w:pPr>
          </w:p>
        </w:tc>
        <w:tc>
          <w:tcPr>
            <w:tcW w:w="1767" w:type="dxa"/>
          </w:tcPr>
          <w:p>
            <w:pPr>
              <w:snapToGrid w:val="0"/>
              <w:rPr>
                <w:snapToGrid w:val="0"/>
                <w:kern w:val="2"/>
                <w:szCs w:val="21"/>
              </w:rPr>
            </w:pPr>
          </w:p>
        </w:tc>
        <w:tc>
          <w:tcPr>
            <w:tcW w:w="745" w:type="dxa"/>
          </w:tcPr>
          <w:p>
            <w:pPr>
              <w:snapToGrid w:val="0"/>
              <w:rPr>
                <w:snapToGrid w:val="0"/>
                <w:kern w:val="2"/>
                <w:szCs w:val="21"/>
              </w:rPr>
            </w:pPr>
          </w:p>
        </w:tc>
        <w:tc>
          <w:tcPr>
            <w:tcW w:w="765" w:type="dxa"/>
          </w:tcPr>
          <w:p>
            <w:pPr>
              <w:snapToGrid w:val="0"/>
              <w:rPr>
                <w:snapToGrid w:val="0"/>
                <w:kern w:val="2"/>
                <w:szCs w:val="21"/>
              </w:rPr>
            </w:pPr>
          </w:p>
        </w:tc>
        <w:tc>
          <w:tcPr>
            <w:tcW w:w="765" w:type="dxa"/>
          </w:tcPr>
          <w:p>
            <w:pPr>
              <w:snapToGrid w:val="0"/>
              <w:rPr>
                <w:snapToGrid w:val="0"/>
                <w:kern w:val="2"/>
                <w:szCs w:val="21"/>
              </w:rPr>
            </w:pPr>
          </w:p>
        </w:tc>
        <w:tc>
          <w:tcPr>
            <w:tcW w:w="1009" w:type="dxa"/>
          </w:tcPr>
          <w:p>
            <w:pPr>
              <w:snapToGrid w:val="0"/>
              <w:rPr>
                <w:snapToGrid w:val="0"/>
                <w:kern w:val="2"/>
                <w:szCs w:val="21"/>
              </w:rPr>
            </w:pPr>
          </w:p>
        </w:tc>
        <w:tc>
          <w:tcPr>
            <w:tcW w:w="1121" w:type="dxa"/>
          </w:tcPr>
          <w:p>
            <w:pPr>
              <w:snapToGrid w:val="0"/>
              <w:rPr>
                <w:snapToGrid w:val="0"/>
                <w:kern w:val="2"/>
                <w:szCs w:val="21"/>
              </w:rPr>
            </w:pPr>
          </w:p>
        </w:tc>
        <w:tc>
          <w:tcPr>
            <w:tcW w:w="910" w:type="dxa"/>
          </w:tcPr>
          <w:p>
            <w:pPr>
              <w:snapToGrid w:val="0"/>
              <w:rPr>
                <w:snapToGrid w:val="0"/>
                <w:kern w:val="2"/>
                <w:szCs w:val="21"/>
              </w:rPr>
            </w:pPr>
          </w:p>
        </w:tc>
        <w:tc>
          <w:tcPr>
            <w:tcW w:w="1414" w:type="dxa"/>
          </w:tcPr>
          <w:p>
            <w:pPr>
              <w:snapToGrid w:val="0"/>
              <w:rPr>
                <w:snapToGrid w:val="0"/>
                <w:kern w:val="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676" w:type="dxa"/>
          </w:tcPr>
          <w:p>
            <w:pPr>
              <w:snapToGrid w:val="0"/>
              <w:rPr>
                <w:snapToGrid w:val="0"/>
                <w:kern w:val="2"/>
                <w:szCs w:val="21"/>
              </w:rPr>
            </w:pPr>
          </w:p>
        </w:tc>
        <w:tc>
          <w:tcPr>
            <w:tcW w:w="1767" w:type="dxa"/>
          </w:tcPr>
          <w:p>
            <w:pPr>
              <w:snapToGrid w:val="0"/>
              <w:rPr>
                <w:snapToGrid w:val="0"/>
                <w:kern w:val="2"/>
                <w:szCs w:val="21"/>
              </w:rPr>
            </w:pPr>
          </w:p>
        </w:tc>
        <w:tc>
          <w:tcPr>
            <w:tcW w:w="745" w:type="dxa"/>
          </w:tcPr>
          <w:p>
            <w:pPr>
              <w:snapToGrid w:val="0"/>
              <w:rPr>
                <w:snapToGrid w:val="0"/>
                <w:kern w:val="2"/>
                <w:szCs w:val="21"/>
              </w:rPr>
            </w:pPr>
          </w:p>
        </w:tc>
        <w:tc>
          <w:tcPr>
            <w:tcW w:w="765" w:type="dxa"/>
          </w:tcPr>
          <w:p>
            <w:pPr>
              <w:snapToGrid w:val="0"/>
              <w:rPr>
                <w:snapToGrid w:val="0"/>
                <w:kern w:val="2"/>
                <w:szCs w:val="21"/>
              </w:rPr>
            </w:pPr>
          </w:p>
        </w:tc>
        <w:tc>
          <w:tcPr>
            <w:tcW w:w="765" w:type="dxa"/>
          </w:tcPr>
          <w:p>
            <w:pPr>
              <w:snapToGrid w:val="0"/>
              <w:rPr>
                <w:snapToGrid w:val="0"/>
                <w:kern w:val="2"/>
                <w:szCs w:val="21"/>
              </w:rPr>
            </w:pPr>
          </w:p>
        </w:tc>
        <w:tc>
          <w:tcPr>
            <w:tcW w:w="1009" w:type="dxa"/>
          </w:tcPr>
          <w:p>
            <w:pPr>
              <w:snapToGrid w:val="0"/>
              <w:rPr>
                <w:snapToGrid w:val="0"/>
                <w:kern w:val="2"/>
                <w:szCs w:val="21"/>
              </w:rPr>
            </w:pPr>
          </w:p>
        </w:tc>
        <w:tc>
          <w:tcPr>
            <w:tcW w:w="1121" w:type="dxa"/>
          </w:tcPr>
          <w:p>
            <w:pPr>
              <w:snapToGrid w:val="0"/>
              <w:rPr>
                <w:snapToGrid w:val="0"/>
                <w:kern w:val="2"/>
                <w:szCs w:val="21"/>
              </w:rPr>
            </w:pPr>
          </w:p>
        </w:tc>
        <w:tc>
          <w:tcPr>
            <w:tcW w:w="910" w:type="dxa"/>
          </w:tcPr>
          <w:p>
            <w:pPr>
              <w:snapToGrid w:val="0"/>
              <w:rPr>
                <w:snapToGrid w:val="0"/>
                <w:kern w:val="2"/>
                <w:szCs w:val="21"/>
              </w:rPr>
            </w:pPr>
          </w:p>
        </w:tc>
        <w:tc>
          <w:tcPr>
            <w:tcW w:w="1414" w:type="dxa"/>
          </w:tcPr>
          <w:p>
            <w:pPr>
              <w:snapToGrid w:val="0"/>
              <w:rPr>
                <w:snapToGrid w:val="0"/>
                <w:kern w:val="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676" w:type="dxa"/>
          </w:tcPr>
          <w:p>
            <w:pPr>
              <w:snapToGrid w:val="0"/>
              <w:rPr>
                <w:snapToGrid w:val="0"/>
                <w:kern w:val="2"/>
                <w:szCs w:val="21"/>
              </w:rPr>
            </w:pPr>
          </w:p>
        </w:tc>
        <w:tc>
          <w:tcPr>
            <w:tcW w:w="1767" w:type="dxa"/>
          </w:tcPr>
          <w:p>
            <w:pPr>
              <w:snapToGrid w:val="0"/>
              <w:rPr>
                <w:snapToGrid w:val="0"/>
                <w:kern w:val="2"/>
                <w:szCs w:val="21"/>
              </w:rPr>
            </w:pPr>
          </w:p>
        </w:tc>
        <w:tc>
          <w:tcPr>
            <w:tcW w:w="745" w:type="dxa"/>
          </w:tcPr>
          <w:p>
            <w:pPr>
              <w:snapToGrid w:val="0"/>
              <w:rPr>
                <w:snapToGrid w:val="0"/>
                <w:kern w:val="2"/>
                <w:szCs w:val="21"/>
              </w:rPr>
            </w:pPr>
          </w:p>
        </w:tc>
        <w:tc>
          <w:tcPr>
            <w:tcW w:w="765" w:type="dxa"/>
          </w:tcPr>
          <w:p>
            <w:pPr>
              <w:snapToGrid w:val="0"/>
              <w:rPr>
                <w:snapToGrid w:val="0"/>
                <w:kern w:val="2"/>
                <w:szCs w:val="21"/>
              </w:rPr>
            </w:pPr>
          </w:p>
        </w:tc>
        <w:tc>
          <w:tcPr>
            <w:tcW w:w="765" w:type="dxa"/>
          </w:tcPr>
          <w:p>
            <w:pPr>
              <w:snapToGrid w:val="0"/>
              <w:rPr>
                <w:snapToGrid w:val="0"/>
                <w:kern w:val="2"/>
                <w:szCs w:val="21"/>
              </w:rPr>
            </w:pPr>
          </w:p>
        </w:tc>
        <w:tc>
          <w:tcPr>
            <w:tcW w:w="1009" w:type="dxa"/>
          </w:tcPr>
          <w:p>
            <w:pPr>
              <w:snapToGrid w:val="0"/>
              <w:rPr>
                <w:snapToGrid w:val="0"/>
                <w:kern w:val="2"/>
                <w:szCs w:val="21"/>
              </w:rPr>
            </w:pPr>
          </w:p>
        </w:tc>
        <w:tc>
          <w:tcPr>
            <w:tcW w:w="1121" w:type="dxa"/>
          </w:tcPr>
          <w:p>
            <w:pPr>
              <w:snapToGrid w:val="0"/>
              <w:rPr>
                <w:snapToGrid w:val="0"/>
                <w:kern w:val="2"/>
                <w:szCs w:val="21"/>
              </w:rPr>
            </w:pPr>
          </w:p>
        </w:tc>
        <w:tc>
          <w:tcPr>
            <w:tcW w:w="910" w:type="dxa"/>
          </w:tcPr>
          <w:p>
            <w:pPr>
              <w:snapToGrid w:val="0"/>
              <w:rPr>
                <w:snapToGrid w:val="0"/>
                <w:kern w:val="2"/>
                <w:szCs w:val="21"/>
              </w:rPr>
            </w:pPr>
          </w:p>
        </w:tc>
        <w:tc>
          <w:tcPr>
            <w:tcW w:w="1414" w:type="dxa"/>
          </w:tcPr>
          <w:p>
            <w:pPr>
              <w:snapToGrid w:val="0"/>
              <w:rPr>
                <w:snapToGrid w:val="0"/>
                <w:kern w:val="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676" w:type="dxa"/>
          </w:tcPr>
          <w:p>
            <w:pPr>
              <w:snapToGrid w:val="0"/>
              <w:rPr>
                <w:snapToGrid w:val="0"/>
                <w:kern w:val="2"/>
                <w:szCs w:val="21"/>
              </w:rPr>
            </w:pPr>
          </w:p>
        </w:tc>
        <w:tc>
          <w:tcPr>
            <w:tcW w:w="1767" w:type="dxa"/>
          </w:tcPr>
          <w:p>
            <w:pPr>
              <w:snapToGrid w:val="0"/>
              <w:rPr>
                <w:snapToGrid w:val="0"/>
                <w:kern w:val="2"/>
                <w:szCs w:val="21"/>
              </w:rPr>
            </w:pPr>
          </w:p>
        </w:tc>
        <w:tc>
          <w:tcPr>
            <w:tcW w:w="745" w:type="dxa"/>
          </w:tcPr>
          <w:p>
            <w:pPr>
              <w:snapToGrid w:val="0"/>
              <w:rPr>
                <w:snapToGrid w:val="0"/>
                <w:kern w:val="2"/>
                <w:szCs w:val="21"/>
              </w:rPr>
            </w:pPr>
          </w:p>
        </w:tc>
        <w:tc>
          <w:tcPr>
            <w:tcW w:w="765" w:type="dxa"/>
          </w:tcPr>
          <w:p>
            <w:pPr>
              <w:snapToGrid w:val="0"/>
              <w:rPr>
                <w:snapToGrid w:val="0"/>
                <w:kern w:val="2"/>
                <w:szCs w:val="21"/>
              </w:rPr>
            </w:pPr>
          </w:p>
        </w:tc>
        <w:tc>
          <w:tcPr>
            <w:tcW w:w="765" w:type="dxa"/>
          </w:tcPr>
          <w:p>
            <w:pPr>
              <w:snapToGrid w:val="0"/>
              <w:rPr>
                <w:snapToGrid w:val="0"/>
                <w:kern w:val="2"/>
                <w:szCs w:val="21"/>
              </w:rPr>
            </w:pPr>
          </w:p>
        </w:tc>
        <w:tc>
          <w:tcPr>
            <w:tcW w:w="1009" w:type="dxa"/>
          </w:tcPr>
          <w:p>
            <w:pPr>
              <w:snapToGrid w:val="0"/>
              <w:rPr>
                <w:snapToGrid w:val="0"/>
                <w:kern w:val="2"/>
                <w:szCs w:val="21"/>
              </w:rPr>
            </w:pPr>
          </w:p>
        </w:tc>
        <w:tc>
          <w:tcPr>
            <w:tcW w:w="1121" w:type="dxa"/>
          </w:tcPr>
          <w:p>
            <w:pPr>
              <w:snapToGrid w:val="0"/>
              <w:rPr>
                <w:snapToGrid w:val="0"/>
                <w:kern w:val="2"/>
                <w:szCs w:val="21"/>
              </w:rPr>
            </w:pPr>
          </w:p>
        </w:tc>
        <w:tc>
          <w:tcPr>
            <w:tcW w:w="910" w:type="dxa"/>
          </w:tcPr>
          <w:p>
            <w:pPr>
              <w:snapToGrid w:val="0"/>
              <w:rPr>
                <w:snapToGrid w:val="0"/>
                <w:kern w:val="2"/>
                <w:szCs w:val="21"/>
              </w:rPr>
            </w:pPr>
          </w:p>
        </w:tc>
        <w:tc>
          <w:tcPr>
            <w:tcW w:w="1414" w:type="dxa"/>
          </w:tcPr>
          <w:p>
            <w:pPr>
              <w:snapToGrid w:val="0"/>
              <w:rPr>
                <w:snapToGrid w:val="0"/>
                <w:kern w:val="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676" w:type="dxa"/>
          </w:tcPr>
          <w:p>
            <w:pPr>
              <w:snapToGrid w:val="0"/>
              <w:rPr>
                <w:snapToGrid w:val="0"/>
                <w:kern w:val="2"/>
                <w:szCs w:val="21"/>
              </w:rPr>
            </w:pPr>
          </w:p>
        </w:tc>
        <w:tc>
          <w:tcPr>
            <w:tcW w:w="1767" w:type="dxa"/>
          </w:tcPr>
          <w:p>
            <w:pPr>
              <w:snapToGrid w:val="0"/>
              <w:rPr>
                <w:snapToGrid w:val="0"/>
                <w:kern w:val="2"/>
                <w:szCs w:val="21"/>
              </w:rPr>
            </w:pPr>
          </w:p>
        </w:tc>
        <w:tc>
          <w:tcPr>
            <w:tcW w:w="745" w:type="dxa"/>
          </w:tcPr>
          <w:p>
            <w:pPr>
              <w:snapToGrid w:val="0"/>
              <w:rPr>
                <w:snapToGrid w:val="0"/>
                <w:kern w:val="2"/>
                <w:szCs w:val="21"/>
              </w:rPr>
            </w:pPr>
          </w:p>
        </w:tc>
        <w:tc>
          <w:tcPr>
            <w:tcW w:w="765" w:type="dxa"/>
          </w:tcPr>
          <w:p>
            <w:pPr>
              <w:snapToGrid w:val="0"/>
              <w:rPr>
                <w:snapToGrid w:val="0"/>
                <w:kern w:val="2"/>
                <w:szCs w:val="21"/>
              </w:rPr>
            </w:pPr>
          </w:p>
        </w:tc>
        <w:tc>
          <w:tcPr>
            <w:tcW w:w="765" w:type="dxa"/>
          </w:tcPr>
          <w:p>
            <w:pPr>
              <w:snapToGrid w:val="0"/>
              <w:rPr>
                <w:snapToGrid w:val="0"/>
                <w:kern w:val="2"/>
                <w:szCs w:val="21"/>
              </w:rPr>
            </w:pPr>
          </w:p>
        </w:tc>
        <w:tc>
          <w:tcPr>
            <w:tcW w:w="1009" w:type="dxa"/>
          </w:tcPr>
          <w:p>
            <w:pPr>
              <w:snapToGrid w:val="0"/>
              <w:rPr>
                <w:snapToGrid w:val="0"/>
                <w:kern w:val="2"/>
                <w:szCs w:val="21"/>
              </w:rPr>
            </w:pPr>
          </w:p>
        </w:tc>
        <w:tc>
          <w:tcPr>
            <w:tcW w:w="1121" w:type="dxa"/>
          </w:tcPr>
          <w:p>
            <w:pPr>
              <w:snapToGrid w:val="0"/>
              <w:rPr>
                <w:snapToGrid w:val="0"/>
                <w:kern w:val="2"/>
                <w:szCs w:val="21"/>
              </w:rPr>
            </w:pPr>
          </w:p>
        </w:tc>
        <w:tc>
          <w:tcPr>
            <w:tcW w:w="910" w:type="dxa"/>
          </w:tcPr>
          <w:p>
            <w:pPr>
              <w:snapToGrid w:val="0"/>
              <w:rPr>
                <w:snapToGrid w:val="0"/>
                <w:kern w:val="2"/>
                <w:szCs w:val="21"/>
              </w:rPr>
            </w:pPr>
          </w:p>
        </w:tc>
        <w:tc>
          <w:tcPr>
            <w:tcW w:w="1414" w:type="dxa"/>
          </w:tcPr>
          <w:p>
            <w:pPr>
              <w:snapToGrid w:val="0"/>
              <w:rPr>
                <w:snapToGrid w:val="0"/>
                <w:kern w:val="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676" w:type="dxa"/>
          </w:tcPr>
          <w:p>
            <w:pPr>
              <w:snapToGrid w:val="0"/>
              <w:rPr>
                <w:snapToGrid w:val="0"/>
                <w:kern w:val="2"/>
                <w:szCs w:val="21"/>
              </w:rPr>
            </w:pPr>
          </w:p>
        </w:tc>
        <w:tc>
          <w:tcPr>
            <w:tcW w:w="1767" w:type="dxa"/>
          </w:tcPr>
          <w:p>
            <w:pPr>
              <w:snapToGrid w:val="0"/>
              <w:rPr>
                <w:snapToGrid w:val="0"/>
                <w:kern w:val="2"/>
                <w:szCs w:val="21"/>
              </w:rPr>
            </w:pPr>
          </w:p>
        </w:tc>
        <w:tc>
          <w:tcPr>
            <w:tcW w:w="745" w:type="dxa"/>
          </w:tcPr>
          <w:p>
            <w:pPr>
              <w:snapToGrid w:val="0"/>
              <w:rPr>
                <w:snapToGrid w:val="0"/>
                <w:kern w:val="2"/>
                <w:szCs w:val="21"/>
              </w:rPr>
            </w:pPr>
          </w:p>
        </w:tc>
        <w:tc>
          <w:tcPr>
            <w:tcW w:w="765" w:type="dxa"/>
          </w:tcPr>
          <w:p>
            <w:pPr>
              <w:snapToGrid w:val="0"/>
              <w:rPr>
                <w:snapToGrid w:val="0"/>
                <w:kern w:val="2"/>
                <w:szCs w:val="21"/>
              </w:rPr>
            </w:pPr>
          </w:p>
        </w:tc>
        <w:tc>
          <w:tcPr>
            <w:tcW w:w="765" w:type="dxa"/>
          </w:tcPr>
          <w:p>
            <w:pPr>
              <w:snapToGrid w:val="0"/>
              <w:rPr>
                <w:snapToGrid w:val="0"/>
                <w:kern w:val="2"/>
                <w:szCs w:val="21"/>
              </w:rPr>
            </w:pPr>
          </w:p>
        </w:tc>
        <w:tc>
          <w:tcPr>
            <w:tcW w:w="1009" w:type="dxa"/>
          </w:tcPr>
          <w:p>
            <w:pPr>
              <w:snapToGrid w:val="0"/>
              <w:rPr>
                <w:snapToGrid w:val="0"/>
                <w:kern w:val="2"/>
                <w:szCs w:val="21"/>
              </w:rPr>
            </w:pPr>
          </w:p>
        </w:tc>
        <w:tc>
          <w:tcPr>
            <w:tcW w:w="1121" w:type="dxa"/>
          </w:tcPr>
          <w:p>
            <w:pPr>
              <w:snapToGrid w:val="0"/>
              <w:rPr>
                <w:snapToGrid w:val="0"/>
                <w:kern w:val="2"/>
                <w:szCs w:val="21"/>
              </w:rPr>
            </w:pPr>
          </w:p>
        </w:tc>
        <w:tc>
          <w:tcPr>
            <w:tcW w:w="910" w:type="dxa"/>
          </w:tcPr>
          <w:p>
            <w:pPr>
              <w:snapToGrid w:val="0"/>
              <w:rPr>
                <w:snapToGrid w:val="0"/>
                <w:kern w:val="2"/>
                <w:szCs w:val="21"/>
              </w:rPr>
            </w:pPr>
          </w:p>
        </w:tc>
        <w:tc>
          <w:tcPr>
            <w:tcW w:w="1414" w:type="dxa"/>
          </w:tcPr>
          <w:p>
            <w:pPr>
              <w:snapToGrid w:val="0"/>
              <w:rPr>
                <w:snapToGrid w:val="0"/>
                <w:kern w:val="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676" w:type="dxa"/>
          </w:tcPr>
          <w:p>
            <w:pPr>
              <w:snapToGrid w:val="0"/>
              <w:rPr>
                <w:snapToGrid w:val="0"/>
                <w:kern w:val="2"/>
                <w:szCs w:val="21"/>
              </w:rPr>
            </w:pPr>
          </w:p>
        </w:tc>
        <w:tc>
          <w:tcPr>
            <w:tcW w:w="1767" w:type="dxa"/>
          </w:tcPr>
          <w:p>
            <w:pPr>
              <w:snapToGrid w:val="0"/>
              <w:rPr>
                <w:snapToGrid w:val="0"/>
                <w:kern w:val="2"/>
                <w:szCs w:val="21"/>
              </w:rPr>
            </w:pPr>
          </w:p>
        </w:tc>
        <w:tc>
          <w:tcPr>
            <w:tcW w:w="745" w:type="dxa"/>
          </w:tcPr>
          <w:p>
            <w:pPr>
              <w:snapToGrid w:val="0"/>
              <w:rPr>
                <w:snapToGrid w:val="0"/>
                <w:kern w:val="2"/>
                <w:szCs w:val="21"/>
              </w:rPr>
            </w:pPr>
          </w:p>
        </w:tc>
        <w:tc>
          <w:tcPr>
            <w:tcW w:w="765" w:type="dxa"/>
          </w:tcPr>
          <w:p>
            <w:pPr>
              <w:snapToGrid w:val="0"/>
              <w:rPr>
                <w:snapToGrid w:val="0"/>
                <w:kern w:val="2"/>
                <w:szCs w:val="21"/>
              </w:rPr>
            </w:pPr>
          </w:p>
        </w:tc>
        <w:tc>
          <w:tcPr>
            <w:tcW w:w="765" w:type="dxa"/>
          </w:tcPr>
          <w:p>
            <w:pPr>
              <w:snapToGrid w:val="0"/>
              <w:rPr>
                <w:snapToGrid w:val="0"/>
                <w:kern w:val="2"/>
                <w:szCs w:val="21"/>
              </w:rPr>
            </w:pPr>
          </w:p>
        </w:tc>
        <w:tc>
          <w:tcPr>
            <w:tcW w:w="1009" w:type="dxa"/>
          </w:tcPr>
          <w:p>
            <w:pPr>
              <w:snapToGrid w:val="0"/>
              <w:rPr>
                <w:snapToGrid w:val="0"/>
                <w:kern w:val="2"/>
                <w:szCs w:val="21"/>
              </w:rPr>
            </w:pPr>
          </w:p>
        </w:tc>
        <w:tc>
          <w:tcPr>
            <w:tcW w:w="1121" w:type="dxa"/>
          </w:tcPr>
          <w:p>
            <w:pPr>
              <w:snapToGrid w:val="0"/>
              <w:rPr>
                <w:snapToGrid w:val="0"/>
                <w:kern w:val="2"/>
                <w:szCs w:val="21"/>
              </w:rPr>
            </w:pPr>
          </w:p>
        </w:tc>
        <w:tc>
          <w:tcPr>
            <w:tcW w:w="910" w:type="dxa"/>
          </w:tcPr>
          <w:p>
            <w:pPr>
              <w:snapToGrid w:val="0"/>
              <w:rPr>
                <w:snapToGrid w:val="0"/>
                <w:kern w:val="2"/>
                <w:szCs w:val="21"/>
              </w:rPr>
            </w:pPr>
          </w:p>
        </w:tc>
        <w:tc>
          <w:tcPr>
            <w:tcW w:w="1414" w:type="dxa"/>
          </w:tcPr>
          <w:p>
            <w:pPr>
              <w:snapToGrid w:val="0"/>
              <w:rPr>
                <w:snapToGrid w:val="0"/>
                <w:kern w:val="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676" w:type="dxa"/>
          </w:tcPr>
          <w:p>
            <w:pPr>
              <w:snapToGrid w:val="0"/>
              <w:rPr>
                <w:snapToGrid w:val="0"/>
                <w:kern w:val="2"/>
                <w:szCs w:val="21"/>
              </w:rPr>
            </w:pPr>
          </w:p>
        </w:tc>
        <w:tc>
          <w:tcPr>
            <w:tcW w:w="1767" w:type="dxa"/>
          </w:tcPr>
          <w:p>
            <w:pPr>
              <w:snapToGrid w:val="0"/>
              <w:rPr>
                <w:snapToGrid w:val="0"/>
                <w:kern w:val="2"/>
                <w:szCs w:val="21"/>
              </w:rPr>
            </w:pPr>
          </w:p>
        </w:tc>
        <w:tc>
          <w:tcPr>
            <w:tcW w:w="745" w:type="dxa"/>
          </w:tcPr>
          <w:p>
            <w:pPr>
              <w:snapToGrid w:val="0"/>
              <w:rPr>
                <w:snapToGrid w:val="0"/>
                <w:kern w:val="2"/>
                <w:szCs w:val="21"/>
              </w:rPr>
            </w:pPr>
          </w:p>
        </w:tc>
        <w:tc>
          <w:tcPr>
            <w:tcW w:w="765" w:type="dxa"/>
          </w:tcPr>
          <w:p>
            <w:pPr>
              <w:snapToGrid w:val="0"/>
              <w:rPr>
                <w:snapToGrid w:val="0"/>
                <w:kern w:val="2"/>
                <w:szCs w:val="21"/>
              </w:rPr>
            </w:pPr>
          </w:p>
        </w:tc>
        <w:tc>
          <w:tcPr>
            <w:tcW w:w="765" w:type="dxa"/>
          </w:tcPr>
          <w:p>
            <w:pPr>
              <w:snapToGrid w:val="0"/>
              <w:rPr>
                <w:snapToGrid w:val="0"/>
                <w:kern w:val="2"/>
                <w:szCs w:val="21"/>
              </w:rPr>
            </w:pPr>
          </w:p>
        </w:tc>
        <w:tc>
          <w:tcPr>
            <w:tcW w:w="1009" w:type="dxa"/>
          </w:tcPr>
          <w:p>
            <w:pPr>
              <w:snapToGrid w:val="0"/>
              <w:rPr>
                <w:snapToGrid w:val="0"/>
                <w:kern w:val="2"/>
                <w:szCs w:val="21"/>
              </w:rPr>
            </w:pPr>
          </w:p>
        </w:tc>
        <w:tc>
          <w:tcPr>
            <w:tcW w:w="1121" w:type="dxa"/>
          </w:tcPr>
          <w:p>
            <w:pPr>
              <w:snapToGrid w:val="0"/>
              <w:rPr>
                <w:snapToGrid w:val="0"/>
                <w:kern w:val="2"/>
                <w:szCs w:val="21"/>
              </w:rPr>
            </w:pPr>
          </w:p>
        </w:tc>
        <w:tc>
          <w:tcPr>
            <w:tcW w:w="910" w:type="dxa"/>
          </w:tcPr>
          <w:p>
            <w:pPr>
              <w:snapToGrid w:val="0"/>
              <w:rPr>
                <w:snapToGrid w:val="0"/>
                <w:kern w:val="2"/>
                <w:szCs w:val="21"/>
              </w:rPr>
            </w:pPr>
          </w:p>
        </w:tc>
        <w:tc>
          <w:tcPr>
            <w:tcW w:w="1414" w:type="dxa"/>
          </w:tcPr>
          <w:p>
            <w:pPr>
              <w:snapToGrid w:val="0"/>
              <w:rPr>
                <w:snapToGrid w:val="0"/>
                <w:kern w:val="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676" w:type="dxa"/>
          </w:tcPr>
          <w:p>
            <w:pPr>
              <w:snapToGrid w:val="0"/>
              <w:rPr>
                <w:snapToGrid w:val="0"/>
                <w:kern w:val="2"/>
                <w:szCs w:val="21"/>
              </w:rPr>
            </w:pPr>
          </w:p>
        </w:tc>
        <w:tc>
          <w:tcPr>
            <w:tcW w:w="1767" w:type="dxa"/>
          </w:tcPr>
          <w:p>
            <w:pPr>
              <w:snapToGrid w:val="0"/>
              <w:rPr>
                <w:snapToGrid w:val="0"/>
                <w:kern w:val="2"/>
                <w:szCs w:val="21"/>
              </w:rPr>
            </w:pPr>
          </w:p>
        </w:tc>
        <w:tc>
          <w:tcPr>
            <w:tcW w:w="745" w:type="dxa"/>
          </w:tcPr>
          <w:p>
            <w:pPr>
              <w:snapToGrid w:val="0"/>
              <w:rPr>
                <w:snapToGrid w:val="0"/>
                <w:kern w:val="2"/>
                <w:szCs w:val="21"/>
              </w:rPr>
            </w:pPr>
          </w:p>
        </w:tc>
        <w:tc>
          <w:tcPr>
            <w:tcW w:w="765" w:type="dxa"/>
          </w:tcPr>
          <w:p>
            <w:pPr>
              <w:snapToGrid w:val="0"/>
              <w:rPr>
                <w:snapToGrid w:val="0"/>
                <w:kern w:val="2"/>
                <w:szCs w:val="21"/>
              </w:rPr>
            </w:pPr>
          </w:p>
        </w:tc>
        <w:tc>
          <w:tcPr>
            <w:tcW w:w="765" w:type="dxa"/>
          </w:tcPr>
          <w:p>
            <w:pPr>
              <w:snapToGrid w:val="0"/>
              <w:rPr>
                <w:snapToGrid w:val="0"/>
                <w:kern w:val="2"/>
                <w:szCs w:val="21"/>
              </w:rPr>
            </w:pPr>
          </w:p>
        </w:tc>
        <w:tc>
          <w:tcPr>
            <w:tcW w:w="1009" w:type="dxa"/>
          </w:tcPr>
          <w:p>
            <w:pPr>
              <w:snapToGrid w:val="0"/>
              <w:rPr>
                <w:snapToGrid w:val="0"/>
                <w:kern w:val="2"/>
                <w:szCs w:val="21"/>
              </w:rPr>
            </w:pPr>
          </w:p>
        </w:tc>
        <w:tc>
          <w:tcPr>
            <w:tcW w:w="1121" w:type="dxa"/>
          </w:tcPr>
          <w:p>
            <w:pPr>
              <w:snapToGrid w:val="0"/>
              <w:rPr>
                <w:snapToGrid w:val="0"/>
                <w:kern w:val="2"/>
                <w:szCs w:val="21"/>
              </w:rPr>
            </w:pPr>
          </w:p>
        </w:tc>
        <w:tc>
          <w:tcPr>
            <w:tcW w:w="910" w:type="dxa"/>
          </w:tcPr>
          <w:p>
            <w:pPr>
              <w:snapToGrid w:val="0"/>
              <w:rPr>
                <w:snapToGrid w:val="0"/>
                <w:kern w:val="2"/>
                <w:szCs w:val="21"/>
              </w:rPr>
            </w:pPr>
          </w:p>
        </w:tc>
        <w:tc>
          <w:tcPr>
            <w:tcW w:w="1414" w:type="dxa"/>
          </w:tcPr>
          <w:p>
            <w:pPr>
              <w:snapToGrid w:val="0"/>
              <w:rPr>
                <w:snapToGrid w:val="0"/>
                <w:kern w:val="2"/>
                <w:szCs w:val="21"/>
              </w:rPr>
            </w:pPr>
          </w:p>
        </w:tc>
      </w:tr>
    </w:tbl>
    <w:p>
      <w:pPr>
        <w:rPr>
          <w:snapToGrid w:val="0"/>
        </w:rPr>
      </w:pPr>
    </w:p>
    <w:p>
      <w:pPr>
        <w:rPr>
          <w:rFonts w:ascii="黑体" w:hAnsi="黑体" w:eastAsia="黑体"/>
          <w:szCs w:val="24"/>
        </w:rPr>
      </w:pPr>
      <w:r>
        <w:rPr>
          <w:rFonts w:ascii="黑体" w:hAnsi="黑体" w:eastAsia="黑体"/>
          <w:szCs w:val="24"/>
        </w:rPr>
        <w:t>附</w:t>
      </w:r>
      <w:r>
        <w:rPr>
          <w:rFonts w:hint="eastAsia" w:ascii="黑体" w:hAnsi="黑体" w:eastAsia="黑体"/>
          <w:szCs w:val="24"/>
        </w:rPr>
        <w:t>件三：</w:t>
      </w:r>
    </w:p>
    <w:p>
      <w:pPr>
        <w:pStyle w:val="7"/>
        <w:jc w:val="center"/>
        <w:rPr>
          <w:rFonts w:eastAsia="宋体"/>
          <w:sz w:val="28"/>
          <w:szCs w:val="28"/>
        </w:rPr>
      </w:pPr>
      <w:r>
        <w:rPr>
          <w:rFonts w:hint="eastAsia" w:eastAsia="宋体"/>
          <w:sz w:val="28"/>
          <w:szCs w:val="28"/>
        </w:rPr>
        <w:t>拟投入本标段的劳动力计划表</w:t>
      </w:r>
    </w:p>
    <w:tbl>
      <w:tblPr>
        <w:tblStyle w:val="24"/>
        <w:tblW w:w="92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0"/>
        <w:gridCol w:w="1161"/>
        <w:gridCol w:w="1161"/>
        <w:gridCol w:w="1161"/>
        <w:gridCol w:w="1161"/>
        <w:gridCol w:w="1161"/>
        <w:gridCol w:w="1161"/>
        <w:gridCol w:w="11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1160" w:type="dxa"/>
            <w:vAlign w:val="center"/>
          </w:tcPr>
          <w:p>
            <w:pPr>
              <w:snapToGrid w:val="0"/>
              <w:jc w:val="center"/>
              <w:rPr>
                <w:snapToGrid w:val="0"/>
                <w:kern w:val="2"/>
                <w:sz w:val="21"/>
                <w:szCs w:val="21"/>
              </w:rPr>
            </w:pPr>
            <w:r>
              <w:rPr>
                <w:rFonts w:hint="eastAsia"/>
                <w:snapToGrid w:val="0"/>
                <w:kern w:val="2"/>
                <w:sz w:val="21"/>
                <w:szCs w:val="21"/>
              </w:rPr>
              <w:t>工种</w:t>
            </w:r>
          </w:p>
        </w:tc>
        <w:tc>
          <w:tcPr>
            <w:tcW w:w="8127" w:type="dxa"/>
            <w:gridSpan w:val="7"/>
            <w:vAlign w:val="center"/>
          </w:tcPr>
          <w:p>
            <w:pPr>
              <w:snapToGrid w:val="0"/>
              <w:jc w:val="center"/>
              <w:rPr>
                <w:snapToGrid w:val="0"/>
                <w:kern w:val="2"/>
                <w:sz w:val="21"/>
                <w:szCs w:val="21"/>
              </w:rPr>
            </w:pPr>
            <w:r>
              <w:rPr>
                <w:rFonts w:hint="eastAsia"/>
                <w:snapToGrid w:val="0"/>
                <w:kern w:val="2"/>
                <w:sz w:val="21"/>
                <w:szCs w:val="21"/>
              </w:rPr>
              <w:t>按工程施工阶段投入劳动力情况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0" w:type="dxa"/>
          </w:tcPr>
          <w:p>
            <w:pPr>
              <w:pStyle w:val="7"/>
              <w:rPr>
                <w:kern w:val="2"/>
              </w:rPr>
            </w:pPr>
          </w:p>
        </w:tc>
        <w:tc>
          <w:tcPr>
            <w:tcW w:w="1161" w:type="dxa"/>
          </w:tcPr>
          <w:p>
            <w:pPr>
              <w:pStyle w:val="7"/>
              <w:rPr>
                <w:kern w:val="2"/>
              </w:rPr>
            </w:pPr>
          </w:p>
        </w:tc>
        <w:tc>
          <w:tcPr>
            <w:tcW w:w="1161" w:type="dxa"/>
          </w:tcPr>
          <w:p>
            <w:pPr>
              <w:pStyle w:val="7"/>
              <w:rPr>
                <w:kern w:val="2"/>
              </w:rPr>
            </w:pPr>
          </w:p>
        </w:tc>
        <w:tc>
          <w:tcPr>
            <w:tcW w:w="1161" w:type="dxa"/>
          </w:tcPr>
          <w:p>
            <w:pPr>
              <w:pStyle w:val="7"/>
              <w:rPr>
                <w:kern w:val="2"/>
              </w:rPr>
            </w:pPr>
          </w:p>
        </w:tc>
        <w:tc>
          <w:tcPr>
            <w:tcW w:w="1161" w:type="dxa"/>
          </w:tcPr>
          <w:p>
            <w:pPr>
              <w:pStyle w:val="7"/>
              <w:rPr>
                <w:kern w:val="2"/>
              </w:rPr>
            </w:pPr>
          </w:p>
        </w:tc>
        <w:tc>
          <w:tcPr>
            <w:tcW w:w="1161" w:type="dxa"/>
          </w:tcPr>
          <w:p>
            <w:pPr>
              <w:pStyle w:val="7"/>
              <w:rPr>
                <w:kern w:val="2"/>
              </w:rPr>
            </w:pPr>
          </w:p>
        </w:tc>
        <w:tc>
          <w:tcPr>
            <w:tcW w:w="1161" w:type="dxa"/>
          </w:tcPr>
          <w:p>
            <w:pPr>
              <w:pStyle w:val="7"/>
              <w:rPr>
                <w:kern w:val="2"/>
              </w:rPr>
            </w:pPr>
          </w:p>
        </w:tc>
        <w:tc>
          <w:tcPr>
            <w:tcW w:w="1161" w:type="dxa"/>
          </w:tcPr>
          <w:p>
            <w:pPr>
              <w:pStyle w:val="7"/>
              <w:rPr>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0" w:type="dxa"/>
          </w:tcPr>
          <w:p>
            <w:pPr>
              <w:pStyle w:val="7"/>
              <w:rPr>
                <w:kern w:val="2"/>
              </w:rPr>
            </w:pPr>
          </w:p>
        </w:tc>
        <w:tc>
          <w:tcPr>
            <w:tcW w:w="1161" w:type="dxa"/>
          </w:tcPr>
          <w:p>
            <w:pPr>
              <w:pStyle w:val="7"/>
              <w:rPr>
                <w:kern w:val="2"/>
              </w:rPr>
            </w:pPr>
          </w:p>
        </w:tc>
        <w:tc>
          <w:tcPr>
            <w:tcW w:w="1161" w:type="dxa"/>
          </w:tcPr>
          <w:p>
            <w:pPr>
              <w:pStyle w:val="7"/>
              <w:rPr>
                <w:kern w:val="2"/>
              </w:rPr>
            </w:pPr>
          </w:p>
        </w:tc>
        <w:tc>
          <w:tcPr>
            <w:tcW w:w="1161" w:type="dxa"/>
          </w:tcPr>
          <w:p>
            <w:pPr>
              <w:pStyle w:val="7"/>
              <w:rPr>
                <w:kern w:val="2"/>
              </w:rPr>
            </w:pPr>
          </w:p>
        </w:tc>
        <w:tc>
          <w:tcPr>
            <w:tcW w:w="1161" w:type="dxa"/>
          </w:tcPr>
          <w:p>
            <w:pPr>
              <w:pStyle w:val="7"/>
              <w:rPr>
                <w:kern w:val="2"/>
              </w:rPr>
            </w:pPr>
          </w:p>
        </w:tc>
        <w:tc>
          <w:tcPr>
            <w:tcW w:w="1161" w:type="dxa"/>
          </w:tcPr>
          <w:p>
            <w:pPr>
              <w:pStyle w:val="7"/>
              <w:rPr>
                <w:kern w:val="2"/>
              </w:rPr>
            </w:pPr>
          </w:p>
        </w:tc>
        <w:tc>
          <w:tcPr>
            <w:tcW w:w="1161" w:type="dxa"/>
          </w:tcPr>
          <w:p>
            <w:pPr>
              <w:pStyle w:val="7"/>
              <w:rPr>
                <w:kern w:val="2"/>
              </w:rPr>
            </w:pPr>
          </w:p>
        </w:tc>
        <w:tc>
          <w:tcPr>
            <w:tcW w:w="1161" w:type="dxa"/>
          </w:tcPr>
          <w:p>
            <w:pPr>
              <w:pStyle w:val="7"/>
              <w:rPr>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0" w:type="dxa"/>
          </w:tcPr>
          <w:p>
            <w:pPr>
              <w:pStyle w:val="7"/>
              <w:rPr>
                <w:kern w:val="2"/>
              </w:rPr>
            </w:pPr>
          </w:p>
        </w:tc>
        <w:tc>
          <w:tcPr>
            <w:tcW w:w="1161" w:type="dxa"/>
          </w:tcPr>
          <w:p>
            <w:pPr>
              <w:pStyle w:val="7"/>
              <w:rPr>
                <w:kern w:val="2"/>
              </w:rPr>
            </w:pPr>
          </w:p>
        </w:tc>
        <w:tc>
          <w:tcPr>
            <w:tcW w:w="1161" w:type="dxa"/>
          </w:tcPr>
          <w:p>
            <w:pPr>
              <w:pStyle w:val="7"/>
              <w:rPr>
                <w:kern w:val="2"/>
              </w:rPr>
            </w:pPr>
          </w:p>
        </w:tc>
        <w:tc>
          <w:tcPr>
            <w:tcW w:w="1161" w:type="dxa"/>
          </w:tcPr>
          <w:p>
            <w:pPr>
              <w:pStyle w:val="7"/>
              <w:rPr>
                <w:kern w:val="2"/>
              </w:rPr>
            </w:pPr>
          </w:p>
        </w:tc>
        <w:tc>
          <w:tcPr>
            <w:tcW w:w="1161" w:type="dxa"/>
          </w:tcPr>
          <w:p>
            <w:pPr>
              <w:pStyle w:val="7"/>
              <w:rPr>
                <w:kern w:val="2"/>
              </w:rPr>
            </w:pPr>
          </w:p>
        </w:tc>
        <w:tc>
          <w:tcPr>
            <w:tcW w:w="1161" w:type="dxa"/>
          </w:tcPr>
          <w:p>
            <w:pPr>
              <w:pStyle w:val="7"/>
              <w:rPr>
                <w:kern w:val="2"/>
              </w:rPr>
            </w:pPr>
          </w:p>
        </w:tc>
        <w:tc>
          <w:tcPr>
            <w:tcW w:w="1161" w:type="dxa"/>
          </w:tcPr>
          <w:p>
            <w:pPr>
              <w:pStyle w:val="7"/>
              <w:rPr>
                <w:kern w:val="2"/>
              </w:rPr>
            </w:pPr>
          </w:p>
        </w:tc>
        <w:tc>
          <w:tcPr>
            <w:tcW w:w="1161" w:type="dxa"/>
          </w:tcPr>
          <w:p>
            <w:pPr>
              <w:pStyle w:val="7"/>
              <w:rPr>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0" w:type="dxa"/>
          </w:tcPr>
          <w:p>
            <w:pPr>
              <w:pStyle w:val="7"/>
              <w:rPr>
                <w:kern w:val="2"/>
              </w:rPr>
            </w:pPr>
          </w:p>
        </w:tc>
        <w:tc>
          <w:tcPr>
            <w:tcW w:w="1161" w:type="dxa"/>
          </w:tcPr>
          <w:p>
            <w:pPr>
              <w:pStyle w:val="7"/>
              <w:rPr>
                <w:kern w:val="2"/>
              </w:rPr>
            </w:pPr>
          </w:p>
        </w:tc>
        <w:tc>
          <w:tcPr>
            <w:tcW w:w="1161" w:type="dxa"/>
          </w:tcPr>
          <w:p>
            <w:pPr>
              <w:pStyle w:val="7"/>
              <w:rPr>
                <w:kern w:val="2"/>
              </w:rPr>
            </w:pPr>
          </w:p>
        </w:tc>
        <w:tc>
          <w:tcPr>
            <w:tcW w:w="1161" w:type="dxa"/>
          </w:tcPr>
          <w:p>
            <w:pPr>
              <w:pStyle w:val="7"/>
              <w:rPr>
                <w:kern w:val="2"/>
              </w:rPr>
            </w:pPr>
          </w:p>
        </w:tc>
        <w:tc>
          <w:tcPr>
            <w:tcW w:w="1161" w:type="dxa"/>
          </w:tcPr>
          <w:p>
            <w:pPr>
              <w:pStyle w:val="7"/>
              <w:rPr>
                <w:kern w:val="2"/>
              </w:rPr>
            </w:pPr>
          </w:p>
        </w:tc>
        <w:tc>
          <w:tcPr>
            <w:tcW w:w="1161" w:type="dxa"/>
          </w:tcPr>
          <w:p>
            <w:pPr>
              <w:pStyle w:val="7"/>
              <w:rPr>
                <w:kern w:val="2"/>
              </w:rPr>
            </w:pPr>
          </w:p>
        </w:tc>
        <w:tc>
          <w:tcPr>
            <w:tcW w:w="1161" w:type="dxa"/>
          </w:tcPr>
          <w:p>
            <w:pPr>
              <w:pStyle w:val="7"/>
              <w:rPr>
                <w:kern w:val="2"/>
              </w:rPr>
            </w:pPr>
          </w:p>
        </w:tc>
        <w:tc>
          <w:tcPr>
            <w:tcW w:w="1161" w:type="dxa"/>
          </w:tcPr>
          <w:p>
            <w:pPr>
              <w:pStyle w:val="7"/>
              <w:rPr>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0" w:type="dxa"/>
          </w:tcPr>
          <w:p>
            <w:pPr>
              <w:pStyle w:val="7"/>
              <w:rPr>
                <w:kern w:val="2"/>
              </w:rPr>
            </w:pPr>
          </w:p>
        </w:tc>
        <w:tc>
          <w:tcPr>
            <w:tcW w:w="1161" w:type="dxa"/>
          </w:tcPr>
          <w:p>
            <w:pPr>
              <w:pStyle w:val="7"/>
              <w:rPr>
                <w:kern w:val="2"/>
              </w:rPr>
            </w:pPr>
          </w:p>
        </w:tc>
        <w:tc>
          <w:tcPr>
            <w:tcW w:w="1161" w:type="dxa"/>
          </w:tcPr>
          <w:p>
            <w:pPr>
              <w:pStyle w:val="7"/>
              <w:rPr>
                <w:kern w:val="2"/>
              </w:rPr>
            </w:pPr>
          </w:p>
        </w:tc>
        <w:tc>
          <w:tcPr>
            <w:tcW w:w="1161" w:type="dxa"/>
          </w:tcPr>
          <w:p>
            <w:pPr>
              <w:pStyle w:val="7"/>
              <w:rPr>
                <w:kern w:val="2"/>
              </w:rPr>
            </w:pPr>
          </w:p>
        </w:tc>
        <w:tc>
          <w:tcPr>
            <w:tcW w:w="1161" w:type="dxa"/>
          </w:tcPr>
          <w:p>
            <w:pPr>
              <w:pStyle w:val="7"/>
              <w:rPr>
                <w:kern w:val="2"/>
              </w:rPr>
            </w:pPr>
          </w:p>
        </w:tc>
        <w:tc>
          <w:tcPr>
            <w:tcW w:w="1161" w:type="dxa"/>
          </w:tcPr>
          <w:p>
            <w:pPr>
              <w:pStyle w:val="7"/>
              <w:rPr>
                <w:kern w:val="2"/>
              </w:rPr>
            </w:pPr>
          </w:p>
        </w:tc>
        <w:tc>
          <w:tcPr>
            <w:tcW w:w="1161" w:type="dxa"/>
          </w:tcPr>
          <w:p>
            <w:pPr>
              <w:pStyle w:val="7"/>
              <w:rPr>
                <w:kern w:val="2"/>
              </w:rPr>
            </w:pPr>
          </w:p>
        </w:tc>
        <w:tc>
          <w:tcPr>
            <w:tcW w:w="1161" w:type="dxa"/>
          </w:tcPr>
          <w:p>
            <w:pPr>
              <w:pStyle w:val="7"/>
              <w:rPr>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0" w:type="dxa"/>
          </w:tcPr>
          <w:p>
            <w:pPr>
              <w:pStyle w:val="7"/>
              <w:rPr>
                <w:kern w:val="2"/>
              </w:rPr>
            </w:pPr>
          </w:p>
        </w:tc>
        <w:tc>
          <w:tcPr>
            <w:tcW w:w="1161" w:type="dxa"/>
          </w:tcPr>
          <w:p>
            <w:pPr>
              <w:pStyle w:val="7"/>
              <w:rPr>
                <w:kern w:val="2"/>
              </w:rPr>
            </w:pPr>
          </w:p>
        </w:tc>
        <w:tc>
          <w:tcPr>
            <w:tcW w:w="1161" w:type="dxa"/>
          </w:tcPr>
          <w:p>
            <w:pPr>
              <w:pStyle w:val="7"/>
              <w:rPr>
                <w:kern w:val="2"/>
              </w:rPr>
            </w:pPr>
          </w:p>
        </w:tc>
        <w:tc>
          <w:tcPr>
            <w:tcW w:w="1161" w:type="dxa"/>
          </w:tcPr>
          <w:p>
            <w:pPr>
              <w:pStyle w:val="7"/>
              <w:rPr>
                <w:kern w:val="2"/>
              </w:rPr>
            </w:pPr>
          </w:p>
        </w:tc>
        <w:tc>
          <w:tcPr>
            <w:tcW w:w="1161" w:type="dxa"/>
          </w:tcPr>
          <w:p>
            <w:pPr>
              <w:pStyle w:val="7"/>
              <w:rPr>
                <w:kern w:val="2"/>
              </w:rPr>
            </w:pPr>
          </w:p>
        </w:tc>
        <w:tc>
          <w:tcPr>
            <w:tcW w:w="1161" w:type="dxa"/>
          </w:tcPr>
          <w:p>
            <w:pPr>
              <w:pStyle w:val="7"/>
              <w:rPr>
                <w:kern w:val="2"/>
              </w:rPr>
            </w:pPr>
          </w:p>
        </w:tc>
        <w:tc>
          <w:tcPr>
            <w:tcW w:w="1161" w:type="dxa"/>
          </w:tcPr>
          <w:p>
            <w:pPr>
              <w:pStyle w:val="7"/>
              <w:rPr>
                <w:kern w:val="2"/>
              </w:rPr>
            </w:pPr>
          </w:p>
        </w:tc>
        <w:tc>
          <w:tcPr>
            <w:tcW w:w="1161" w:type="dxa"/>
          </w:tcPr>
          <w:p>
            <w:pPr>
              <w:pStyle w:val="7"/>
              <w:rPr>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0" w:type="dxa"/>
          </w:tcPr>
          <w:p>
            <w:pPr>
              <w:pStyle w:val="7"/>
              <w:rPr>
                <w:kern w:val="2"/>
              </w:rPr>
            </w:pPr>
          </w:p>
        </w:tc>
        <w:tc>
          <w:tcPr>
            <w:tcW w:w="1161" w:type="dxa"/>
          </w:tcPr>
          <w:p>
            <w:pPr>
              <w:pStyle w:val="7"/>
              <w:rPr>
                <w:kern w:val="2"/>
              </w:rPr>
            </w:pPr>
          </w:p>
        </w:tc>
        <w:tc>
          <w:tcPr>
            <w:tcW w:w="1161" w:type="dxa"/>
          </w:tcPr>
          <w:p>
            <w:pPr>
              <w:pStyle w:val="7"/>
              <w:rPr>
                <w:kern w:val="2"/>
              </w:rPr>
            </w:pPr>
          </w:p>
        </w:tc>
        <w:tc>
          <w:tcPr>
            <w:tcW w:w="1161" w:type="dxa"/>
          </w:tcPr>
          <w:p>
            <w:pPr>
              <w:pStyle w:val="7"/>
              <w:rPr>
                <w:kern w:val="2"/>
              </w:rPr>
            </w:pPr>
          </w:p>
        </w:tc>
        <w:tc>
          <w:tcPr>
            <w:tcW w:w="1161" w:type="dxa"/>
          </w:tcPr>
          <w:p>
            <w:pPr>
              <w:pStyle w:val="7"/>
              <w:rPr>
                <w:kern w:val="2"/>
              </w:rPr>
            </w:pPr>
          </w:p>
        </w:tc>
        <w:tc>
          <w:tcPr>
            <w:tcW w:w="1161" w:type="dxa"/>
          </w:tcPr>
          <w:p>
            <w:pPr>
              <w:pStyle w:val="7"/>
              <w:rPr>
                <w:kern w:val="2"/>
              </w:rPr>
            </w:pPr>
          </w:p>
        </w:tc>
        <w:tc>
          <w:tcPr>
            <w:tcW w:w="1161" w:type="dxa"/>
          </w:tcPr>
          <w:p>
            <w:pPr>
              <w:pStyle w:val="7"/>
              <w:rPr>
                <w:kern w:val="2"/>
              </w:rPr>
            </w:pPr>
          </w:p>
        </w:tc>
        <w:tc>
          <w:tcPr>
            <w:tcW w:w="1161" w:type="dxa"/>
          </w:tcPr>
          <w:p>
            <w:pPr>
              <w:pStyle w:val="7"/>
              <w:rPr>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0" w:type="dxa"/>
          </w:tcPr>
          <w:p>
            <w:pPr>
              <w:pStyle w:val="7"/>
              <w:rPr>
                <w:kern w:val="2"/>
              </w:rPr>
            </w:pPr>
          </w:p>
        </w:tc>
        <w:tc>
          <w:tcPr>
            <w:tcW w:w="1161" w:type="dxa"/>
          </w:tcPr>
          <w:p>
            <w:pPr>
              <w:pStyle w:val="7"/>
              <w:rPr>
                <w:kern w:val="2"/>
              </w:rPr>
            </w:pPr>
          </w:p>
        </w:tc>
        <w:tc>
          <w:tcPr>
            <w:tcW w:w="1161" w:type="dxa"/>
          </w:tcPr>
          <w:p>
            <w:pPr>
              <w:pStyle w:val="7"/>
              <w:rPr>
                <w:kern w:val="2"/>
              </w:rPr>
            </w:pPr>
          </w:p>
        </w:tc>
        <w:tc>
          <w:tcPr>
            <w:tcW w:w="1161" w:type="dxa"/>
          </w:tcPr>
          <w:p>
            <w:pPr>
              <w:pStyle w:val="7"/>
              <w:rPr>
                <w:kern w:val="2"/>
              </w:rPr>
            </w:pPr>
          </w:p>
        </w:tc>
        <w:tc>
          <w:tcPr>
            <w:tcW w:w="1161" w:type="dxa"/>
          </w:tcPr>
          <w:p>
            <w:pPr>
              <w:pStyle w:val="7"/>
              <w:rPr>
                <w:kern w:val="2"/>
              </w:rPr>
            </w:pPr>
          </w:p>
        </w:tc>
        <w:tc>
          <w:tcPr>
            <w:tcW w:w="1161" w:type="dxa"/>
          </w:tcPr>
          <w:p>
            <w:pPr>
              <w:pStyle w:val="7"/>
              <w:rPr>
                <w:kern w:val="2"/>
              </w:rPr>
            </w:pPr>
          </w:p>
        </w:tc>
        <w:tc>
          <w:tcPr>
            <w:tcW w:w="1161" w:type="dxa"/>
          </w:tcPr>
          <w:p>
            <w:pPr>
              <w:pStyle w:val="7"/>
              <w:rPr>
                <w:kern w:val="2"/>
              </w:rPr>
            </w:pPr>
          </w:p>
        </w:tc>
        <w:tc>
          <w:tcPr>
            <w:tcW w:w="1161" w:type="dxa"/>
          </w:tcPr>
          <w:p>
            <w:pPr>
              <w:pStyle w:val="7"/>
              <w:rPr>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0" w:type="dxa"/>
          </w:tcPr>
          <w:p>
            <w:pPr>
              <w:pStyle w:val="7"/>
              <w:rPr>
                <w:kern w:val="2"/>
              </w:rPr>
            </w:pPr>
          </w:p>
        </w:tc>
        <w:tc>
          <w:tcPr>
            <w:tcW w:w="1161" w:type="dxa"/>
          </w:tcPr>
          <w:p>
            <w:pPr>
              <w:pStyle w:val="7"/>
              <w:rPr>
                <w:kern w:val="2"/>
              </w:rPr>
            </w:pPr>
          </w:p>
        </w:tc>
        <w:tc>
          <w:tcPr>
            <w:tcW w:w="1161" w:type="dxa"/>
          </w:tcPr>
          <w:p>
            <w:pPr>
              <w:pStyle w:val="7"/>
              <w:rPr>
                <w:kern w:val="2"/>
              </w:rPr>
            </w:pPr>
          </w:p>
        </w:tc>
        <w:tc>
          <w:tcPr>
            <w:tcW w:w="1161" w:type="dxa"/>
          </w:tcPr>
          <w:p>
            <w:pPr>
              <w:pStyle w:val="7"/>
              <w:rPr>
                <w:kern w:val="2"/>
              </w:rPr>
            </w:pPr>
          </w:p>
        </w:tc>
        <w:tc>
          <w:tcPr>
            <w:tcW w:w="1161" w:type="dxa"/>
          </w:tcPr>
          <w:p>
            <w:pPr>
              <w:pStyle w:val="7"/>
              <w:rPr>
                <w:kern w:val="2"/>
              </w:rPr>
            </w:pPr>
          </w:p>
        </w:tc>
        <w:tc>
          <w:tcPr>
            <w:tcW w:w="1161" w:type="dxa"/>
          </w:tcPr>
          <w:p>
            <w:pPr>
              <w:pStyle w:val="7"/>
              <w:rPr>
                <w:kern w:val="2"/>
              </w:rPr>
            </w:pPr>
          </w:p>
        </w:tc>
        <w:tc>
          <w:tcPr>
            <w:tcW w:w="1161" w:type="dxa"/>
          </w:tcPr>
          <w:p>
            <w:pPr>
              <w:pStyle w:val="7"/>
              <w:rPr>
                <w:kern w:val="2"/>
              </w:rPr>
            </w:pPr>
          </w:p>
        </w:tc>
        <w:tc>
          <w:tcPr>
            <w:tcW w:w="1161" w:type="dxa"/>
          </w:tcPr>
          <w:p>
            <w:pPr>
              <w:pStyle w:val="7"/>
              <w:rPr>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0" w:type="dxa"/>
          </w:tcPr>
          <w:p>
            <w:pPr>
              <w:pStyle w:val="7"/>
              <w:rPr>
                <w:kern w:val="2"/>
              </w:rPr>
            </w:pPr>
          </w:p>
        </w:tc>
        <w:tc>
          <w:tcPr>
            <w:tcW w:w="1161" w:type="dxa"/>
          </w:tcPr>
          <w:p>
            <w:pPr>
              <w:pStyle w:val="7"/>
              <w:rPr>
                <w:kern w:val="2"/>
              </w:rPr>
            </w:pPr>
          </w:p>
        </w:tc>
        <w:tc>
          <w:tcPr>
            <w:tcW w:w="1161" w:type="dxa"/>
          </w:tcPr>
          <w:p>
            <w:pPr>
              <w:pStyle w:val="7"/>
              <w:rPr>
                <w:kern w:val="2"/>
              </w:rPr>
            </w:pPr>
          </w:p>
        </w:tc>
        <w:tc>
          <w:tcPr>
            <w:tcW w:w="1161" w:type="dxa"/>
          </w:tcPr>
          <w:p>
            <w:pPr>
              <w:pStyle w:val="7"/>
              <w:rPr>
                <w:kern w:val="2"/>
              </w:rPr>
            </w:pPr>
          </w:p>
        </w:tc>
        <w:tc>
          <w:tcPr>
            <w:tcW w:w="1161" w:type="dxa"/>
          </w:tcPr>
          <w:p>
            <w:pPr>
              <w:pStyle w:val="7"/>
              <w:rPr>
                <w:kern w:val="2"/>
              </w:rPr>
            </w:pPr>
          </w:p>
        </w:tc>
        <w:tc>
          <w:tcPr>
            <w:tcW w:w="1161" w:type="dxa"/>
          </w:tcPr>
          <w:p>
            <w:pPr>
              <w:pStyle w:val="7"/>
              <w:rPr>
                <w:kern w:val="2"/>
              </w:rPr>
            </w:pPr>
          </w:p>
        </w:tc>
        <w:tc>
          <w:tcPr>
            <w:tcW w:w="1161" w:type="dxa"/>
          </w:tcPr>
          <w:p>
            <w:pPr>
              <w:pStyle w:val="7"/>
              <w:rPr>
                <w:kern w:val="2"/>
              </w:rPr>
            </w:pPr>
          </w:p>
        </w:tc>
        <w:tc>
          <w:tcPr>
            <w:tcW w:w="1161" w:type="dxa"/>
          </w:tcPr>
          <w:p>
            <w:pPr>
              <w:pStyle w:val="7"/>
              <w:rPr>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0" w:type="dxa"/>
          </w:tcPr>
          <w:p>
            <w:pPr>
              <w:pStyle w:val="7"/>
              <w:rPr>
                <w:kern w:val="2"/>
              </w:rPr>
            </w:pPr>
          </w:p>
        </w:tc>
        <w:tc>
          <w:tcPr>
            <w:tcW w:w="1161" w:type="dxa"/>
          </w:tcPr>
          <w:p>
            <w:pPr>
              <w:pStyle w:val="7"/>
              <w:rPr>
                <w:kern w:val="2"/>
              </w:rPr>
            </w:pPr>
          </w:p>
        </w:tc>
        <w:tc>
          <w:tcPr>
            <w:tcW w:w="1161" w:type="dxa"/>
          </w:tcPr>
          <w:p>
            <w:pPr>
              <w:pStyle w:val="7"/>
              <w:rPr>
                <w:kern w:val="2"/>
              </w:rPr>
            </w:pPr>
          </w:p>
        </w:tc>
        <w:tc>
          <w:tcPr>
            <w:tcW w:w="1161" w:type="dxa"/>
          </w:tcPr>
          <w:p>
            <w:pPr>
              <w:pStyle w:val="7"/>
              <w:rPr>
                <w:kern w:val="2"/>
              </w:rPr>
            </w:pPr>
          </w:p>
        </w:tc>
        <w:tc>
          <w:tcPr>
            <w:tcW w:w="1161" w:type="dxa"/>
          </w:tcPr>
          <w:p>
            <w:pPr>
              <w:pStyle w:val="7"/>
              <w:rPr>
                <w:kern w:val="2"/>
              </w:rPr>
            </w:pPr>
          </w:p>
        </w:tc>
        <w:tc>
          <w:tcPr>
            <w:tcW w:w="1161" w:type="dxa"/>
          </w:tcPr>
          <w:p>
            <w:pPr>
              <w:pStyle w:val="7"/>
              <w:rPr>
                <w:kern w:val="2"/>
              </w:rPr>
            </w:pPr>
          </w:p>
        </w:tc>
        <w:tc>
          <w:tcPr>
            <w:tcW w:w="1161" w:type="dxa"/>
          </w:tcPr>
          <w:p>
            <w:pPr>
              <w:pStyle w:val="7"/>
              <w:rPr>
                <w:kern w:val="2"/>
              </w:rPr>
            </w:pPr>
          </w:p>
        </w:tc>
        <w:tc>
          <w:tcPr>
            <w:tcW w:w="1161" w:type="dxa"/>
          </w:tcPr>
          <w:p>
            <w:pPr>
              <w:pStyle w:val="7"/>
              <w:rPr>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0" w:type="dxa"/>
          </w:tcPr>
          <w:p>
            <w:pPr>
              <w:pStyle w:val="7"/>
              <w:rPr>
                <w:kern w:val="2"/>
              </w:rPr>
            </w:pPr>
          </w:p>
        </w:tc>
        <w:tc>
          <w:tcPr>
            <w:tcW w:w="1161" w:type="dxa"/>
          </w:tcPr>
          <w:p>
            <w:pPr>
              <w:pStyle w:val="7"/>
              <w:rPr>
                <w:kern w:val="2"/>
              </w:rPr>
            </w:pPr>
          </w:p>
        </w:tc>
        <w:tc>
          <w:tcPr>
            <w:tcW w:w="1161" w:type="dxa"/>
          </w:tcPr>
          <w:p>
            <w:pPr>
              <w:pStyle w:val="7"/>
              <w:rPr>
                <w:kern w:val="2"/>
              </w:rPr>
            </w:pPr>
          </w:p>
        </w:tc>
        <w:tc>
          <w:tcPr>
            <w:tcW w:w="1161" w:type="dxa"/>
          </w:tcPr>
          <w:p>
            <w:pPr>
              <w:pStyle w:val="7"/>
              <w:rPr>
                <w:kern w:val="2"/>
              </w:rPr>
            </w:pPr>
          </w:p>
        </w:tc>
        <w:tc>
          <w:tcPr>
            <w:tcW w:w="1161" w:type="dxa"/>
          </w:tcPr>
          <w:p>
            <w:pPr>
              <w:pStyle w:val="7"/>
              <w:rPr>
                <w:kern w:val="2"/>
              </w:rPr>
            </w:pPr>
          </w:p>
        </w:tc>
        <w:tc>
          <w:tcPr>
            <w:tcW w:w="1161" w:type="dxa"/>
          </w:tcPr>
          <w:p>
            <w:pPr>
              <w:pStyle w:val="7"/>
              <w:rPr>
                <w:kern w:val="2"/>
              </w:rPr>
            </w:pPr>
          </w:p>
        </w:tc>
        <w:tc>
          <w:tcPr>
            <w:tcW w:w="1161" w:type="dxa"/>
          </w:tcPr>
          <w:p>
            <w:pPr>
              <w:pStyle w:val="7"/>
              <w:rPr>
                <w:kern w:val="2"/>
              </w:rPr>
            </w:pPr>
          </w:p>
        </w:tc>
        <w:tc>
          <w:tcPr>
            <w:tcW w:w="1161" w:type="dxa"/>
          </w:tcPr>
          <w:p>
            <w:pPr>
              <w:pStyle w:val="7"/>
              <w:rPr>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0" w:type="dxa"/>
          </w:tcPr>
          <w:p>
            <w:pPr>
              <w:pStyle w:val="7"/>
              <w:rPr>
                <w:kern w:val="2"/>
              </w:rPr>
            </w:pPr>
          </w:p>
        </w:tc>
        <w:tc>
          <w:tcPr>
            <w:tcW w:w="1161" w:type="dxa"/>
          </w:tcPr>
          <w:p>
            <w:pPr>
              <w:pStyle w:val="7"/>
              <w:rPr>
                <w:kern w:val="2"/>
              </w:rPr>
            </w:pPr>
          </w:p>
        </w:tc>
        <w:tc>
          <w:tcPr>
            <w:tcW w:w="1161" w:type="dxa"/>
          </w:tcPr>
          <w:p>
            <w:pPr>
              <w:pStyle w:val="7"/>
              <w:rPr>
                <w:kern w:val="2"/>
              </w:rPr>
            </w:pPr>
          </w:p>
        </w:tc>
        <w:tc>
          <w:tcPr>
            <w:tcW w:w="1161" w:type="dxa"/>
          </w:tcPr>
          <w:p>
            <w:pPr>
              <w:pStyle w:val="7"/>
              <w:rPr>
                <w:kern w:val="2"/>
              </w:rPr>
            </w:pPr>
          </w:p>
        </w:tc>
        <w:tc>
          <w:tcPr>
            <w:tcW w:w="1161" w:type="dxa"/>
          </w:tcPr>
          <w:p>
            <w:pPr>
              <w:pStyle w:val="7"/>
              <w:rPr>
                <w:kern w:val="2"/>
              </w:rPr>
            </w:pPr>
          </w:p>
        </w:tc>
        <w:tc>
          <w:tcPr>
            <w:tcW w:w="1161" w:type="dxa"/>
          </w:tcPr>
          <w:p>
            <w:pPr>
              <w:pStyle w:val="7"/>
              <w:rPr>
                <w:kern w:val="2"/>
              </w:rPr>
            </w:pPr>
          </w:p>
        </w:tc>
        <w:tc>
          <w:tcPr>
            <w:tcW w:w="1161" w:type="dxa"/>
          </w:tcPr>
          <w:p>
            <w:pPr>
              <w:pStyle w:val="7"/>
              <w:rPr>
                <w:kern w:val="2"/>
              </w:rPr>
            </w:pPr>
          </w:p>
        </w:tc>
        <w:tc>
          <w:tcPr>
            <w:tcW w:w="1161" w:type="dxa"/>
          </w:tcPr>
          <w:p>
            <w:pPr>
              <w:pStyle w:val="7"/>
              <w:rPr>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0" w:type="dxa"/>
          </w:tcPr>
          <w:p>
            <w:pPr>
              <w:pStyle w:val="7"/>
              <w:rPr>
                <w:kern w:val="2"/>
              </w:rPr>
            </w:pPr>
          </w:p>
        </w:tc>
        <w:tc>
          <w:tcPr>
            <w:tcW w:w="1161" w:type="dxa"/>
          </w:tcPr>
          <w:p>
            <w:pPr>
              <w:pStyle w:val="7"/>
              <w:rPr>
                <w:kern w:val="2"/>
              </w:rPr>
            </w:pPr>
          </w:p>
        </w:tc>
        <w:tc>
          <w:tcPr>
            <w:tcW w:w="1161" w:type="dxa"/>
          </w:tcPr>
          <w:p>
            <w:pPr>
              <w:pStyle w:val="7"/>
              <w:rPr>
                <w:kern w:val="2"/>
              </w:rPr>
            </w:pPr>
          </w:p>
        </w:tc>
        <w:tc>
          <w:tcPr>
            <w:tcW w:w="1161" w:type="dxa"/>
          </w:tcPr>
          <w:p>
            <w:pPr>
              <w:pStyle w:val="7"/>
              <w:rPr>
                <w:kern w:val="2"/>
              </w:rPr>
            </w:pPr>
          </w:p>
        </w:tc>
        <w:tc>
          <w:tcPr>
            <w:tcW w:w="1161" w:type="dxa"/>
          </w:tcPr>
          <w:p>
            <w:pPr>
              <w:pStyle w:val="7"/>
              <w:rPr>
                <w:kern w:val="2"/>
              </w:rPr>
            </w:pPr>
          </w:p>
        </w:tc>
        <w:tc>
          <w:tcPr>
            <w:tcW w:w="1161" w:type="dxa"/>
          </w:tcPr>
          <w:p>
            <w:pPr>
              <w:pStyle w:val="7"/>
              <w:rPr>
                <w:kern w:val="2"/>
              </w:rPr>
            </w:pPr>
          </w:p>
        </w:tc>
        <w:tc>
          <w:tcPr>
            <w:tcW w:w="1161" w:type="dxa"/>
          </w:tcPr>
          <w:p>
            <w:pPr>
              <w:pStyle w:val="7"/>
              <w:rPr>
                <w:kern w:val="2"/>
              </w:rPr>
            </w:pPr>
          </w:p>
        </w:tc>
        <w:tc>
          <w:tcPr>
            <w:tcW w:w="1161" w:type="dxa"/>
          </w:tcPr>
          <w:p>
            <w:pPr>
              <w:pStyle w:val="7"/>
              <w:rPr>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0" w:type="dxa"/>
          </w:tcPr>
          <w:p>
            <w:pPr>
              <w:pStyle w:val="7"/>
              <w:rPr>
                <w:kern w:val="2"/>
              </w:rPr>
            </w:pPr>
          </w:p>
        </w:tc>
        <w:tc>
          <w:tcPr>
            <w:tcW w:w="1161" w:type="dxa"/>
          </w:tcPr>
          <w:p>
            <w:pPr>
              <w:pStyle w:val="7"/>
              <w:rPr>
                <w:kern w:val="2"/>
              </w:rPr>
            </w:pPr>
          </w:p>
        </w:tc>
        <w:tc>
          <w:tcPr>
            <w:tcW w:w="1161" w:type="dxa"/>
          </w:tcPr>
          <w:p>
            <w:pPr>
              <w:pStyle w:val="7"/>
              <w:rPr>
                <w:kern w:val="2"/>
              </w:rPr>
            </w:pPr>
          </w:p>
        </w:tc>
        <w:tc>
          <w:tcPr>
            <w:tcW w:w="1161" w:type="dxa"/>
          </w:tcPr>
          <w:p>
            <w:pPr>
              <w:pStyle w:val="7"/>
              <w:rPr>
                <w:kern w:val="2"/>
              </w:rPr>
            </w:pPr>
          </w:p>
        </w:tc>
        <w:tc>
          <w:tcPr>
            <w:tcW w:w="1161" w:type="dxa"/>
          </w:tcPr>
          <w:p>
            <w:pPr>
              <w:pStyle w:val="7"/>
              <w:rPr>
                <w:kern w:val="2"/>
              </w:rPr>
            </w:pPr>
          </w:p>
        </w:tc>
        <w:tc>
          <w:tcPr>
            <w:tcW w:w="1161" w:type="dxa"/>
          </w:tcPr>
          <w:p>
            <w:pPr>
              <w:pStyle w:val="7"/>
              <w:rPr>
                <w:kern w:val="2"/>
              </w:rPr>
            </w:pPr>
          </w:p>
        </w:tc>
        <w:tc>
          <w:tcPr>
            <w:tcW w:w="1161" w:type="dxa"/>
          </w:tcPr>
          <w:p>
            <w:pPr>
              <w:pStyle w:val="7"/>
              <w:rPr>
                <w:kern w:val="2"/>
              </w:rPr>
            </w:pPr>
          </w:p>
        </w:tc>
        <w:tc>
          <w:tcPr>
            <w:tcW w:w="1161" w:type="dxa"/>
          </w:tcPr>
          <w:p>
            <w:pPr>
              <w:pStyle w:val="7"/>
              <w:rPr>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0" w:type="dxa"/>
          </w:tcPr>
          <w:p>
            <w:pPr>
              <w:pStyle w:val="7"/>
              <w:rPr>
                <w:kern w:val="2"/>
              </w:rPr>
            </w:pPr>
          </w:p>
        </w:tc>
        <w:tc>
          <w:tcPr>
            <w:tcW w:w="1161" w:type="dxa"/>
          </w:tcPr>
          <w:p>
            <w:pPr>
              <w:pStyle w:val="7"/>
              <w:rPr>
                <w:kern w:val="2"/>
              </w:rPr>
            </w:pPr>
          </w:p>
        </w:tc>
        <w:tc>
          <w:tcPr>
            <w:tcW w:w="1161" w:type="dxa"/>
          </w:tcPr>
          <w:p>
            <w:pPr>
              <w:pStyle w:val="7"/>
              <w:rPr>
                <w:kern w:val="2"/>
              </w:rPr>
            </w:pPr>
          </w:p>
        </w:tc>
        <w:tc>
          <w:tcPr>
            <w:tcW w:w="1161" w:type="dxa"/>
          </w:tcPr>
          <w:p>
            <w:pPr>
              <w:pStyle w:val="7"/>
              <w:rPr>
                <w:kern w:val="2"/>
              </w:rPr>
            </w:pPr>
          </w:p>
        </w:tc>
        <w:tc>
          <w:tcPr>
            <w:tcW w:w="1161" w:type="dxa"/>
          </w:tcPr>
          <w:p>
            <w:pPr>
              <w:pStyle w:val="7"/>
              <w:rPr>
                <w:kern w:val="2"/>
              </w:rPr>
            </w:pPr>
          </w:p>
        </w:tc>
        <w:tc>
          <w:tcPr>
            <w:tcW w:w="1161" w:type="dxa"/>
          </w:tcPr>
          <w:p>
            <w:pPr>
              <w:pStyle w:val="7"/>
              <w:rPr>
                <w:kern w:val="2"/>
              </w:rPr>
            </w:pPr>
          </w:p>
        </w:tc>
        <w:tc>
          <w:tcPr>
            <w:tcW w:w="1161" w:type="dxa"/>
          </w:tcPr>
          <w:p>
            <w:pPr>
              <w:pStyle w:val="7"/>
              <w:rPr>
                <w:kern w:val="2"/>
              </w:rPr>
            </w:pPr>
          </w:p>
        </w:tc>
        <w:tc>
          <w:tcPr>
            <w:tcW w:w="1161" w:type="dxa"/>
          </w:tcPr>
          <w:p>
            <w:pPr>
              <w:pStyle w:val="7"/>
              <w:rPr>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0" w:type="dxa"/>
          </w:tcPr>
          <w:p>
            <w:pPr>
              <w:pStyle w:val="7"/>
              <w:rPr>
                <w:kern w:val="2"/>
              </w:rPr>
            </w:pPr>
          </w:p>
        </w:tc>
        <w:tc>
          <w:tcPr>
            <w:tcW w:w="1161" w:type="dxa"/>
          </w:tcPr>
          <w:p>
            <w:pPr>
              <w:pStyle w:val="7"/>
              <w:rPr>
                <w:kern w:val="2"/>
              </w:rPr>
            </w:pPr>
          </w:p>
        </w:tc>
        <w:tc>
          <w:tcPr>
            <w:tcW w:w="1161" w:type="dxa"/>
          </w:tcPr>
          <w:p>
            <w:pPr>
              <w:pStyle w:val="7"/>
              <w:rPr>
                <w:kern w:val="2"/>
              </w:rPr>
            </w:pPr>
          </w:p>
        </w:tc>
        <w:tc>
          <w:tcPr>
            <w:tcW w:w="1161" w:type="dxa"/>
          </w:tcPr>
          <w:p>
            <w:pPr>
              <w:pStyle w:val="7"/>
              <w:rPr>
                <w:kern w:val="2"/>
              </w:rPr>
            </w:pPr>
          </w:p>
        </w:tc>
        <w:tc>
          <w:tcPr>
            <w:tcW w:w="1161" w:type="dxa"/>
          </w:tcPr>
          <w:p>
            <w:pPr>
              <w:pStyle w:val="7"/>
              <w:rPr>
                <w:kern w:val="2"/>
              </w:rPr>
            </w:pPr>
          </w:p>
        </w:tc>
        <w:tc>
          <w:tcPr>
            <w:tcW w:w="1161" w:type="dxa"/>
          </w:tcPr>
          <w:p>
            <w:pPr>
              <w:pStyle w:val="7"/>
              <w:rPr>
                <w:kern w:val="2"/>
              </w:rPr>
            </w:pPr>
          </w:p>
        </w:tc>
        <w:tc>
          <w:tcPr>
            <w:tcW w:w="1161" w:type="dxa"/>
          </w:tcPr>
          <w:p>
            <w:pPr>
              <w:pStyle w:val="7"/>
              <w:rPr>
                <w:kern w:val="2"/>
              </w:rPr>
            </w:pPr>
          </w:p>
        </w:tc>
        <w:tc>
          <w:tcPr>
            <w:tcW w:w="1161" w:type="dxa"/>
          </w:tcPr>
          <w:p>
            <w:pPr>
              <w:pStyle w:val="7"/>
              <w:rPr>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0" w:type="dxa"/>
          </w:tcPr>
          <w:p>
            <w:pPr>
              <w:pStyle w:val="7"/>
              <w:rPr>
                <w:kern w:val="2"/>
              </w:rPr>
            </w:pPr>
          </w:p>
        </w:tc>
        <w:tc>
          <w:tcPr>
            <w:tcW w:w="1161" w:type="dxa"/>
          </w:tcPr>
          <w:p>
            <w:pPr>
              <w:pStyle w:val="7"/>
              <w:rPr>
                <w:kern w:val="2"/>
              </w:rPr>
            </w:pPr>
          </w:p>
        </w:tc>
        <w:tc>
          <w:tcPr>
            <w:tcW w:w="1161" w:type="dxa"/>
          </w:tcPr>
          <w:p>
            <w:pPr>
              <w:pStyle w:val="7"/>
              <w:rPr>
                <w:kern w:val="2"/>
              </w:rPr>
            </w:pPr>
          </w:p>
        </w:tc>
        <w:tc>
          <w:tcPr>
            <w:tcW w:w="1161" w:type="dxa"/>
          </w:tcPr>
          <w:p>
            <w:pPr>
              <w:pStyle w:val="7"/>
              <w:rPr>
                <w:kern w:val="2"/>
              </w:rPr>
            </w:pPr>
          </w:p>
        </w:tc>
        <w:tc>
          <w:tcPr>
            <w:tcW w:w="1161" w:type="dxa"/>
          </w:tcPr>
          <w:p>
            <w:pPr>
              <w:pStyle w:val="7"/>
              <w:rPr>
                <w:kern w:val="2"/>
              </w:rPr>
            </w:pPr>
          </w:p>
        </w:tc>
        <w:tc>
          <w:tcPr>
            <w:tcW w:w="1161" w:type="dxa"/>
          </w:tcPr>
          <w:p>
            <w:pPr>
              <w:pStyle w:val="7"/>
              <w:rPr>
                <w:kern w:val="2"/>
              </w:rPr>
            </w:pPr>
          </w:p>
        </w:tc>
        <w:tc>
          <w:tcPr>
            <w:tcW w:w="1161" w:type="dxa"/>
          </w:tcPr>
          <w:p>
            <w:pPr>
              <w:pStyle w:val="7"/>
              <w:rPr>
                <w:kern w:val="2"/>
              </w:rPr>
            </w:pPr>
          </w:p>
        </w:tc>
        <w:tc>
          <w:tcPr>
            <w:tcW w:w="1161" w:type="dxa"/>
          </w:tcPr>
          <w:p>
            <w:pPr>
              <w:pStyle w:val="7"/>
              <w:rPr>
                <w:kern w:val="2"/>
              </w:rPr>
            </w:pPr>
          </w:p>
        </w:tc>
      </w:tr>
    </w:tbl>
    <w:p>
      <w:pPr>
        <w:pStyle w:val="7"/>
      </w:pPr>
    </w:p>
    <w:p>
      <w:pPr>
        <w:pStyle w:val="7"/>
        <w:rPr>
          <w:rFonts w:ascii="黑体" w:hAnsi="黑体" w:eastAsia="黑体"/>
          <w:szCs w:val="24"/>
        </w:rPr>
      </w:pPr>
      <w:r>
        <w:br w:type="page"/>
      </w:r>
      <w:r>
        <w:rPr>
          <w:rFonts w:ascii="黑体" w:hAnsi="黑体" w:eastAsia="黑体"/>
          <w:szCs w:val="24"/>
        </w:rPr>
        <w:t>附</w:t>
      </w:r>
      <w:r>
        <w:rPr>
          <w:rFonts w:hint="eastAsia" w:ascii="黑体" w:hAnsi="黑体" w:eastAsia="黑体"/>
          <w:szCs w:val="24"/>
        </w:rPr>
        <w:t>件四</w:t>
      </w:r>
    </w:p>
    <w:p>
      <w:pPr>
        <w:pStyle w:val="7"/>
        <w:jc w:val="center"/>
        <w:rPr>
          <w:rFonts w:eastAsia="宋体"/>
          <w:sz w:val="28"/>
          <w:szCs w:val="28"/>
        </w:rPr>
      </w:pPr>
      <w:r>
        <w:rPr>
          <w:rFonts w:eastAsia="宋体"/>
          <w:sz w:val="28"/>
          <w:szCs w:val="28"/>
        </w:rPr>
        <w:t>计划开、完工日期和施工进度网络图</w:t>
      </w:r>
    </w:p>
    <w:p>
      <w:pPr>
        <w:ind w:firstLine="560" w:firstLineChars="200"/>
        <w:rPr>
          <w:snapToGrid w:val="0"/>
          <w:sz w:val="28"/>
          <w:szCs w:val="28"/>
        </w:rPr>
      </w:pPr>
    </w:p>
    <w:p>
      <w:pPr>
        <w:ind w:firstLine="480" w:firstLineChars="200"/>
        <w:rPr>
          <w:snapToGrid w:val="0"/>
          <w:szCs w:val="24"/>
        </w:rPr>
      </w:pPr>
      <w:r>
        <w:rPr>
          <w:snapToGrid w:val="0"/>
          <w:szCs w:val="24"/>
        </w:rPr>
        <w:t>1．</w:t>
      </w:r>
      <w:r>
        <w:rPr>
          <w:rFonts w:hint="eastAsia"/>
          <w:snapToGrid w:val="0"/>
          <w:szCs w:val="24"/>
        </w:rPr>
        <w:t>竞包人</w:t>
      </w:r>
      <w:r>
        <w:rPr>
          <w:snapToGrid w:val="0"/>
          <w:szCs w:val="24"/>
        </w:rPr>
        <w:t>应递交施工进度网络图或施工进度表，说明按</w:t>
      </w:r>
      <w:r>
        <w:rPr>
          <w:rFonts w:hint="eastAsia"/>
          <w:snapToGrid w:val="0"/>
          <w:szCs w:val="24"/>
        </w:rPr>
        <w:t>发包文件</w:t>
      </w:r>
      <w:r>
        <w:rPr>
          <w:snapToGrid w:val="0"/>
          <w:szCs w:val="24"/>
        </w:rPr>
        <w:t>要求的计划工期进行施工的各个关键日期。</w:t>
      </w:r>
    </w:p>
    <w:p>
      <w:pPr>
        <w:ind w:firstLine="480" w:firstLineChars="200"/>
        <w:rPr>
          <w:snapToGrid w:val="0"/>
          <w:szCs w:val="24"/>
        </w:rPr>
      </w:pPr>
      <w:r>
        <w:rPr>
          <w:snapToGrid w:val="0"/>
          <w:szCs w:val="24"/>
        </w:rPr>
        <w:t>2．施工进度表可采用网络图（或横道图）表示。</w:t>
      </w:r>
    </w:p>
    <w:p>
      <w:pPr>
        <w:rPr>
          <w:snapToGrid w:val="0"/>
          <w:szCs w:val="24"/>
        </w:rPr>
      </w:pPr>
    </w:p>
    <w:p>
      <w:pPr>
        <w:ind w:firstLine="480" w:firstLineChars="200"/>
        <w:rPr>
          <w:snapToGrid w:val="0"/>
          <w:szCs w:val="24"/>
        </w:rPr>
      </w:pPr>
    </w:p>
    <w:p>
      <w:pPr>
        <w:ind w:firstLine="480" w:firstLineChars="200"/>
        <w:rPr>
          <w:snapToGrid w:val="0"/>
          <w:szCs w:val="24"/>
        </w:rPr>
      </w:pPr>
    </w:p>
    <w:p>
      <w:pPr>
        <w:ind w:firstLine="480" w:firstLineChars="200"/>
        <w:rPr>
          <w:snapToGrid w:val="0"/>
          <w:szCs w:val="24"/>
        </w:rPr>
      </w:pPr>
    </w:p>
    <w:p>
      <w:pPr>
        <w:ind w:firstLine="480" w:firstLineChars="200"/>
        <w:rPr>
          <w:snapToGrid w:val="0"/>
          <w:szCs w:val="24"/>
        </w:rPr>
      </w:pPr>
    </w:p>
    <w:p>
      <w:pPr>
        <w:ind w:firstLine="480" w:firstLineChars="200"/>
        <w:rPr>
          <w:snapToGrid w:val="0"/>
          <w:szCs w:val="24"/>
        </w:rPr>
      </w:pPr>
    </w:p>
    <w:p>
      <w:pPr>
        <w:ind w:firstLine="480" w:firstLineChars="200"/>
        <w:rPr>
          <w:snapToGrid w:val="0"/>
          <w:szCs w:val="24"/>
        </w:rPr>
      </w:pPr>
    </w:p>
    <w:p>
      <w:pPr>
        <w:ind w:firstLine="480" w:firstLineChars="200"/>
        <w:rPr>
          <w:snapToGrid w:val="0"/>
          <w:szCs w:val="24"/>
        </w:rPr>
      </w:pPr>
    </w:p>
    <w:p>
      <w:pPr>
        <w:ind w:firstLine="480" w:firstLineChars="200"/>
        <w:rPr>
          <w:snapToGrid w:val="0"/>
          <w:szCs w:val="24"/>
        </w:rPr>
      </w:pPr>
    </w:p>
    <w:p>
      <w:pPr>
        <w:ind w:firstLine="480" w:firstLineChars="200"/>
        <w:rPr>
          <w:snapToGrid w:val="0"/>
          <w:szCs w:val="24"/>
        </w:rPr>
      </w:pPr>
    </w:p>
    <w:p>
      <w:pPr>
        <w:ind w:firstLine="480" w:firstLineChars="200"/>
        <w:rPr>
          <w:snapToGrid w:val="0"/>
          <w:szCs w:val="24"/>
        </w:rPr>
      </w:pPr>
    </w:p>
    <w:p>
      <w:pPr>
        <w:ind w:firstLine="480" w:firstLineChars="200"/>
        <w:rPr>
          <w:snapToGrid w:val="0"/>
          <w:szCs w:val="24"/>
        </w:rPr>
      </w:pPr>
    </w:p>
    <w:p>
      <w:pPr>
        <w:ind w:firstLine="480" w:firstLineChars="200"/>
        <w:rPr>
          <w:snapToGrid w:val="0"/>
          <w:szCs w:val="24"/>
        </w:rPr>
      </w:pPr>
    </w:p>
    <w:p>
      <w:pPr>
        <w:ind w:firstLine="480" w:firstLineChars="200"/>
        <w:rPr>
          <w:snapToGrid w:val="0"/>
          <w:szCs w:val="24"/>
        </w:rPr>
      </w:pPr>
    </w:p>
    <w:p>
      <w:pPr>
        <w:ind w:firstLine="480" w:firstLineChars="200"/>
        <w:rPr>
          <w:snapToGrid w:val="0"/>
          <w:szCs w:val="24"/>
        </w:rPr>
      </w:pPr>
    </w:p>
    <w:p>
      <w:pPr>
        <w:ind w:firstLine="480" w:firstLineChars="200"/>
        <w:rPr>
          <w:snapToGrid w:val="0"/>
          <w:szCs w:val="24"/>
        </w:rPr>
      </w:pPr>
    </w:p>
    <w:p>
      <w:pPr>
        <w:ind w:firstLine="480" w:firstLineChars="200"/>
        <w:rPr>
          <w:snapToGrid w:val="0"/>
          <w:szCs w:val="24"/>
        </w:rPr>
      </w:pPr>
    </w:p>
    <w:p>
      <w:pPr>
        <w:ind w:firstLine="480" w:firstLineChars="200"/>
        <w:rPr>
          <w:snapToGrid w:val="0"/>
          <w:szCs w:val="24"/>
        </w:rPr>
      </w:pPr>
    </w:p>
    <w:p>
      <w:pPr>
        <w:ind w:firstLine="480" w:firstLineChars="200"/>
        <w:rPr>
          <w:snapToGrid w:val="0"/>
          <w:szCs w:val="24"/>
        </w:rPr>
      </w:pPr>
    </w:p>
    <w:p>
      <w:pPr>
        <w:ind w:firstLine="480" w:firstLineChars="200"/>
        <w:rPr>
          <w:snapToGrid w:val="0"/>
          <w:szCs w:val="24"/>
        </w:rPr>
      </w:pPr>
    </w:p>
    <w:p>
      <w:pPr>
        <w:ind w:firstLine="480" w:firstLineChars="200"/>
        <w:rPr>
          <w:snapToGrid w:val="0"/>
          <w:szCs w:val="24"/>
        </w:rPr>
      </w:pPr>
    </w:p>
    <w:p>
      <w:pPr>
        <w:ind w:firstLine="480" w:firstLineChars="200"/>
        <w:rPr>
          <w:snapToGrid w:val="0"/>
          <w:szCs w:val="24"/>
        </w:rPr>
      </w:pPr>
    </w:p>
    <w:p>
      <w:pPr>
        <w:ind w:firstLine="480" w:firstLineChars="200"/>
        <w:rPr>
          <w:snapToGrid w:val="0"/>
          <w:szCs w:val="24"/>
        </w:rPr>
      </w:pPr>
    </w:p>
    <w:p>
      <w:pPr>
        <w:ind w:firstLine="480" w:firstLineChars="200"/>
        <w:rPr>
          <w:snapToGrid w:val="0"/>
          <w:szCs w:val="24"/>
        </w:rPr>
      </w:pPr>
    </w:p>
    <w:p>
      <w:pPr>
        <w:pStyle w:val="7"/>
        <w:rPr>
          <w:rFonts w:ascii="黑体" w:hAnsi="黑体" w:eastAsia="黑体"/>
          <w:szCs w:val="24"/>
        </w:rPr>
      </w:pPr>
      <w:r>
        <w:rPr>
          <w:rFonts w:ascii="黑体" w:hAnsi="黑体" w:eastAsia="黑体"/>
          <w:szCs w:val="24"/>
        </w:rPr>
        <w:t>附</w:t>
      </w:r>
      <w:r>
        <w:rPr>
          <w:rFonts w:hint="eastAsia" w:ascii="黑体" w:hAnsi="黑体" w:eastAsia="黑体"/>
          <w:szCs w:val="24"/>
        </w:rPr>
        <w:t>件五</w:t>
      </w:r>
    </w:p>
    <w:p>
      <w:pPr>
        <w:pStyle w:val="7"/>
        <w:jc w:val="center"/>
        <w:rPr>
          <w:rFonts w:eastAsia="宋体"/>
          <w:sz w:val="28"/>
          <w:szCs w:val="28"/>
        </w:rPr>
      </w:pPr>
      <w:r>
        <w:rPr>
          <w:rFonts w:eastAsia="宋体"/>
          <w:sz w:val="28"/>
          <w:szCs w:val="28"/>
        </w:rPr>
        <w:t>施工总平面图</w:t>
      </w:r>
    </w:p>
    <w:p>
      <w:pPr>
        <w:ind w:firstLine="480" w:firstLineChars="200"/>
        <w:rPr>
          <w:snapToGrid w:val="0"/>
          <w:szCs w:val="24"/>
        </w:rPr>
      </w:pPr>
    </w:p>
    <w:p>
      <w:pPr>
        <w:ind w:firstLine="480" w:firstLineChars="200"/>
        <w:rPr>
          <w:snapToGrid w:val="0"/>
          <w:szCs w:val="24"/>
        </w:rPr>
      </w:pPr>
      <w:r>
        <w:rPr>
          <w:rFonts w:hint="eastAsia"/>
          <w:snapToGrid w:val="0"/>
          <w:szCs w:val="24"/>
        </w:rPr>
        <w:t>竞包人</w:t>
      </w:r>
      <w:r>
        <w:rPr>
          <w:snapToGrid w:val="0"/>
          <w:szCs w:val="24"/>
        </w:rPr>
        <w:t>应递交一份施工总平面图，绘出现场临时设施布置图</w:t>
      </w:r>
      <w:r>
        <w:rPr>
          <w:rFonts w:hint="eastAsia"/>
          <w:snapToGrid w:val="0"/>
          <w:szCs w:val="24"/>
        </w:rPr>
        <w:t>及</w:t>
      </w:r>
      <w:r>
        <w:rPr>
          <w:snapToGrid w:val="0"/>
          <w:szCs w:val="24"/>
        </w:rPr>
        <w:t>表并附文字说明，说明临时设施、加工车间、现场办公、设备及仓储、供电、供水、卫生、生活、道路、消防等设施的情况和布置。</w:t>
      </w:r>
    </w:p>
    <w:p>
      <w:pPr>
        <w:rPr>
          <w:snapToGrid w:val="0"/>
          <w:sz w:val="28"/>
          <w:szCs w:val="28"/>
        </w:rPr>
      </w:pPr>
    </w:p>
    <w:p>
      <w:pPr>
        <w:rPr>
          <w:snapToGrid w:val="0"/>
          <w:sz w:val="28"/>
          <w:szCs w:val="28"/>
        </w:rPr>
      </w:pPr>
    </w:p>
    <w:p>
      <w:pPr>
        <w:rPr>
          <w:snapToGrid w:val="0"/>
          <w:sz w:val="28"/>
          <w:szCs w:val="28"/>
        </w:rPr>
      </w:pPr>
    </w:p>
    <w:p>
      <w:pPr>
        <w:rPr>
          <w:snapToGrid w:val="0"/>
          <w:sz w:val="28"/>
          <w:szCs w:val="28"/>
        </w:rPr>
      </w:pPr>
    </w:p>
    <w:p>
      <w:pPr>
        <w:rPr>
          <w:snapToGrid w:val="0"/>
          <w:sz w:val="28"/>
          <w:szCs w:val="28"/>
        </w:rPr>
      </w:pPr>
    </w:p>
    <w:p>
      <w:pPr>
        <w:rPr>
          <w:snapToGrid w:val="0"/>
          <w:sz w:val="28"/>
          <w:szCs w:val="28"/>
        </w:rPr>
      </w:pPr>
    </w:p>
    <w:p>
      <w:pPr>
        <w:rPr>
          <w:snapToGrid w:val="0"/>
          <w:sz w:val="28"/>
          <w:szCs w:val="28"/>
        </w:rPr>
      </w:pPr>
    </w:p>
    <w:p>
      <w:pPr>
        <w:rPr>
          <w:snapToGrid w:val="0"/>
          <w:sz w:val="28"/>
          <w:szCs w:val="28"/>
        </w:rPr>
      </w:pPr>
    </w:p>
    <w:p>
      <w:pPr>
        <w:rPr>
          <w:snapToGrid w:val="0"/>
          <w:sz w:val="28"/>
          <w:szCs w:val="28"/>
        </w:rPr>
      </w:pPr>
    </w:p>
    <w:p>
      <w:pPr>
        <w:rPr>
          <w:snapToGrid w:val="0"/>
          <w:sz w:val="28"/>
          <w:szCs w:val="28"/>
        </w:rPr>
      </w:pPr>
    </w:p>
    <w:p>
      <w:pPr>
        <w:rPr>
          <w:snapToGrid w:val="0"/>
          <w:sz w:val="28"/>
          <w:szCs w:val="28"/>
        </w:rPr>
      </w:pPr>
    </w:p>
    <w:p>
      <w:pPr>
        <w:rPr>
          <w:snapToGrid w:val="0"/>
          <w:sz w:val="28"/>
          <w:szCs w:val="28"/>
        </w:rPr>
      </w:pPr>
    </w:p>
    <w:p>
      <w:pPr>
        <w:rPr>
          <w:snapToGrid w:val="0"/>
          <w:sz w:val="28"/>
          <w:szCs w:val="28"/>
        </w:rPr>
      </w:pPr>
    </w:p>
    <w:p>
      <w:pPr>
        <w:rPr>
          <w:snapToGrid w:val="0"/>
          <w:sz w:val="28"/>
          <w:szCs w:val="28"/>
        </w:rPr>
      </w:pPr>
    </w:p>
    <w:p>
      <w:pPr>
        <w:rPr>
          <w:snapToGrid w:val="0"/>
          <w:sz w:val="28"/>
          <w:szCs w:val="28"/>
        </w:rPr>
      </w:pPr>
    </w:p>
    <w:p>
      <w:pPr>
        <w:rPr>
          <w:snapToGrid w:val="0"/>
          <w:sz w:val="28"/>
          <w:szCs w:val="28"/>
        </w:rPr>
      </w:pPr>
    </w:p>
    <w:p>
      <w:pPr>
        <w:rPr>
          <w:snapToGrid w:val="0"/>
          <w:sz w:val="28"/>
          <w:szCs w:val="28"/>
        </w:rPr>
      </w:pPr>
    </w:p>
    <w:p>
      <w:pPr>
        <w:rPr>
          <w:snapToGrid w:val="0"/>
          <w:sz w:val="28"/>
          <w:szCs w:val="28"/>
        </w:rPr>
      </w:pPr>
    </w:p>
    <w:p>
      <w:pPr>
        <w:rPr>
          <w:snapToGrid w:val="0"/>
          <w:sz w:val="28"/>
          <w:szCs w:val="28"/>
        </w:rPr>
      </w:pPr>
    </w:p>
    <w:p>
      <w:pPr>
        <w:rPr>
          <w:snapToGrid w:val="0"/>
          <w:sz w:val="28"/>
          <w:szCs w:val="28"/>
        </w:rPr>
      </w:pPr>
    </w:p>
    <w:p>
      <w:pPr>
        <w:rPr>
          <w:snapToGrid w:val="0"/>
          <w:sz w:val="28"/>
          <w:szCs w:val="28"/>
        </w:rPr>
      </w:pPr>
    </w:p>
    <w:p>
      <w:pPr>
        <w:rPr>
          <w:snapToGrid w:val="0"/>
          <w:sz w:val="28"/>
          <w:szCs w:val="28"/>
        </w:rPr>
      </w:pPr>
    </w:p>
    <w:p>
      <w:pPr>
        <w:rPr>
          <w:snapToGrid w:val="0"/>
          <w:sz w:val="28"/>
          <w:szCs w:val="28"/>
        </w:rPr>
      </w:pPr>
    </w:p>
    <w:p>
      <w:pPr>
        <w:pStyle w:val="7"/>
        <w:rPr>
          <w:rFonts w:ascii="黑体" w:hAnsi="黑体" w:eastAsia="黑体"/>
          <w:szCs w:val="24"/>
        </w:rPr>
      </w:pPr>
    </w:p>
    <w:p>
      <w:pPr>
        <w:pStyle w:val="7"/>
        <w:rPr>
          <w:rFonts w:ascii="黑体" w:hAnsi="黑体" w:eastAsia="黑体"/>
          <w:szCs w:val="24"/>
        </w:rPr>
      </w:pPr>
      <w:r>
        <w:rPr>
          <w:rFonts w:ascii="黑体" w:hAnsi="黑体" w:eastAsia="黑体"/>
          <w:szCs w:val="24"/>
        </w:rPr>
        <w:t>附</w:t>
      </w:r>
      <w:r>
        <w:rPr>
          <w:rFonts w:hint="eastAsia" w:ascii="黑体" w:hAnsi="黑体" w:eastAsia="黑体"/>
          <w:szCs w:val="24"/>
        </w:rPr>
        <w:t>件六</w:t>
      </w:r>
    </w:p>
    <w:p>
      <w:pPr>
        <w:pStyle w:val="4"/>
      </w:pPr>
    </w:p>
    <w:p>
      <w:pPr>
        <w:jc w:val="center"/>
        <w:rPr>
          <w:snapToGrid w:val="0"/>
          <w:sz w:val="28"/>
          <w:szCs w:val="28"/>
        </w:rPr>
      </w:pPr>
      <w:r>
        <w:rPr>
          <w:rFonts w:hint="eastAsia"/>
          <w:snapToGrid w:val="0"/>
          <w:sz w:val="28"/>
          <w:szCs w:val="28"/>
        </w:rPr>
        <w:t>临时用地表</w:t>
      </w:r>
    </w:p>
    <w:p>
      <w:pPr>
        <w:jc w:val="center"/>
        <w:rPr>
          <w:snapToGrid w:val="0"/>
          <w:szCs w:val="24"/>
        </w:rPr>
      </w:pPr>
    </w:p>
    <w:tbl>
      <w:tblPr>
        <w:tblStyle w:val="24"/>
        <w:tblW w:w="9003"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2250"/>
        <w:gridCol w:w="2178"/>
        <w:gridCol w:w="2324"/>
        <w:gridCol w:w="225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2250" w:type="dxa"/>
            <w:vAlign w:val="center"/>
          </w:tcPr>
          <w:p>
            <w:pPr>
              <w:snapToGrid w:val="0"/>
              <w:jc w:val="center"/>
              <w:rPr>
                <w:snapToGrid w:val="0"/>
                <w:kern w:val="2"/>
                <w:szCs w:val="24"/>
              </w:rPr>
            </w:pPr>
            <w:r>
              <w:rPr>
                <w:rFonts w:hAnsi="宋体"/>
                <w:snapToGrid w:val="0"/>
                <w:kern w:val="2"/>
                <w:szCs w:val="24"/>
              </w:rPr>
              <w:t>用途</w:t>
            </w:r>
          </w:p>
        </w:tc>
        <w:tc>
          <w:tcPr>
            <w:tcW w:w="2178" w:type="dxa"/>
            <w:vAlign w:val="center"/>
          </w:tcPr>
          <w:p>
            <w:pPr>
              <w:snapToGrid w:val="0"/>
              <w:jc w:val="center"/>
              <w:rPr>
                <w:snapToGrid w:val="0"/>
                <w:kern w:val="2"/>
                <w:szCs w:val="24"/>
              </w:rPr>
            </w:pPr>
            <w:r>
              <w:rPr>
                <w:rFonts w:hAnsi="宋体"/>
                <w:snapToGrid w:val="0"/>
                <w:kern w:val="2"/>
                <w:szCs w:val="24"/>
              </w:rPr>
              <w:t>面积（</w:t>
            </w:r>
            <w:r>
              <w:rPr>
                <w:snapToGrid w:val="0"/>
                <w:kern w:val="2"/>
                <w:szCs w:val="24"/>
              </w:rPr>
              <w:t>m</w:t>
            </w:r>
            <w:r>
              <w:rPr>
                <w:snapToGrid w:val="0"/>
                <w:kern w:val="2"/>
                <w:szCs w:val="24"/>
                <w:vertAlign w:val="superscript"/>
              </w:rPr>
              <w:t>2</w:t>
            </w:r>
            <w:r>
              <w:rPr>
                <w:rFonts w:hAnsi="宋体"/>
                <w:snapToGrid w:val="0"/>
                <w:kern w:val="2"/>
                <w:szCs w:val="24"/>
              </w:rPr>
              <w:t>）</w:t>
            </w:r>
          </w:p>
        </w:tc>
        <w:tc>
          <w:tcPr>
            <w:tcW w:w="2324" w:type="dxa"/>
            <w:vAlign w:val="center"/>
          </w:tcPr>
          <w:p>
            <w:pPr>
              <w:snapToGrid w:val="0"/>
              <w:jc w:val="center"/>
              <w:rPr>
                <w:snapToGrid w:val="0"/>
                <w:kern w:val="2"/>
                <w:szCs w:val="24"/>
              </w:rPr>
            </w:pPr>
            <w:r>
              <w:rPr>
                <w:rFonts w:hAnsi="宋体"/>
                <w:snapToGrid w:val="0"/>
                <w:kern w:val="2"/>
                <w:szCs w:val="24"/>
              </w:rPr>
              <w:t>位置</w:t>
            </w:r>
          </w:p>
        </w:tc>
        <w:tc>
          <w:tcPr>
            <w:tcW w:w="2251" w:type="dxa"/>
            <w:vAlign w:val="center"/>
          </w:tcPr>
          <w:p>
            <w:pPr>
              <w:snapToGrid w:val="0"/>
              <w:jc w:val="center"/>
              <w:rPr>
                <w:snapToGrid w:val="0"/>
                <w:kern w:val="2"/>
                <w:szCs w:val="24"/>
              </w:rPr>
            </w:pPr>
            <w:r>
              <w:rPr>
                <w:rFonts w:hAnsi="宋体"/>
                <w:snapToGrid w:val="0"/>
                <w:kern w:val="2"/>
                <w:szCs w:val="24"/>
              </w:rPr>
              <w:t>需用时间</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250" w:type="dxa"/>
            <w:vAlign w:val="center"/>
          </w:tcPr>
          <w:p>
            <w:pPr>
              <w:snapToGrid w:val="0"/>
              <w:jc w:val="center"/>
              <w:rPr>
                <w:snapToGrid w:val="0"/>
                <w:kern w:val="2"/>
                <w:sz w:val="28"/>
                <w:szCs w:val="28"/>
              </w:rPr>
            </w:pPr>
          </w:p>
        </w:tc>
        <w:tc>
          <w:tcPr>
            <w:tcW w:w="2178" w:type="dxa"/>
            <w:vAlign w:val="center"/>
          </w:tcPr>
          <w:p>
            <w:pPr>
              <w:snapToGrid w:val="0"/>
              <w:jc w:val="center"/>
              <w:rPr>
                <w:snapToGrid w:val="0"/>
                <w:kern w:val="2"/>
                <w:sz w:val="28"/>
                <w:szCs w:val="28"/>
              </w:rPr>
            </w:pPr>
          </w:p>
        </w:tc>
        <w:tc>
          <w:tcPr>
            <w:tcW w:w="2324" w:type="dxa"/>
            <w:vAlign w:val="center"/>
          </w:tcPr>
          <w:p>
            <w:pPr>
              <w:snapToGrid w:val="0"/>
              <w:jc w:val="center"/>
              <w:rPr>
                <w:snapToGrid w:val="0"/>
                <w:kern w:val="2"/>
                <w:sz w:val="28"/>
                <w:szCs w:val="28"/>
              </w:rPr>
            </w:pPr>
          </w:p>
        </w:tc>
        <w:tc>
          <w:tcPr>
            <w:tcW w:w="2251" w:type="dxa"/>
            <w:vAlign w:val="center"/>
          </w:tcPr>
          <w:p>
            <w:pPr>
              <w:snapToGrid w:val="0"/>
              <w:jc w:val="center"/>
              <w:rPr>
                <w:snapToGrid w:val="0"/>
                <w:kern w:val="2"/>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250" w:type="dxa"/>
            <w:vAlign w:val="center"/>
          </w:tcPr>
          <w:p>
            <w:pPr>
              <w:snapToGrid w:val="0"/>
              <w:jc w:val="center"/>
              <w:rPr>
                <w:snapToGrid w:val="0"/>
                <w:kern w:val="2"/>
                <w:sz w:val="28"/>
                <w:szCs w:val="28"/>
              </w:rPr>
            </w:pPr>
          </w:p>
        </w:tc>
        <w:tc>
          <w:tcPr>
            <w:tcW w:w="2178" w:type="dxa"/>
            <w:vAlign w:val="center"/>
          </w:tcPr>
          <w:p>
            <w:pPr>
              <w:snapToGrid w:val="0"/>
              <w:jc w:val="center"/>
              <w:rPr>
                <w:snapToGrid w:val="0"/>
                <w:kern w:val="2"/>
                <w:sz w:val="28"/>
                <w:szCs w:val="28"/>
              </w:rPr>
            </w:pPr>
          </w:p>
        </w:tc>
        <w:tc>
          <w:tcPr>
            <w:tcW w:w="2324" w:type="dxa"/>
            <w:vAlign w:val="center"/>
          </w:tcPr>
          <w:p>
            <w:pPr>
              <w:snapToGrid w:val="0"/>
              <w:jc w:val="center"/>
              <w:rPr>
                <w:snapToGrid w:val="0"/>
                <w:kern w:val="2"/>
                <w:sz w:val="28"/>
                <w:szCs w:val="28"/>
              </w:rPr>
            </w:pPr>
          </w:p>
        </w:tc>
        <w:tc>
          <w:tcPr>
            <w:tcW w:w="2251" w:type="dxa"/>
            <w:vAlign w:val="center"/>
          </w:tcPr>
          <w:p>
            <w:pPr>
              <w:snapToGrid w:val="0"/>
              <w:jc w:val="center"/>
              <w:rPr>
                <w:snapToGrid w:val="0"/>
                <w:kern w:val="2"/>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250" w:type="dxa"/>
            <w:vAlign w:val="center"/>
          </w:tcPr>
          <w:p>
            <w:pPr>
              <w:snapToGrid w:val="0"/>
              <w:jc w:val="center"/>
              <w:rPr>
                <w:snapToGrid w:val="0"/>
                <w:kern w:val="2"/>
                <w:sz w:val="28"/>
                <w:szCs w:val="28"/>
              </w:rPr>
            </w:pPr>
          </w:p>
        </w:tc>
        <w:tc>
          <w:tcPr>
            <w:tcW w:w="2178" w:type="dxa"/>
            <w:vAlign w:val="center"/>
          </w:tcPr>
          <w:p>
            <w:pPr>
              <w:snapToGrid w:val="0"/>
              <w:jc w:val="center"/>
              <w:rPr>
                <w:snapToGrid w:val="0"/>
                <w:kern w:val="2"/>
                <w:sz w:val="28"/>
                <w:szCs w:val="28"/>
              </w:rPr>
            </w:pPr>
          </w:p>
        </w:tc>
        <w:tc>
          <w:tcPr>
            <w:tcW w:w="2324" w:type="dxa"/>
            <w:vAlign w:val="center"/>
          </w:tcPr>
          <w:p>
            <w:pPr>
              <w:snapToGrid w:val="0"/>
              <w:jc w:val="center"/>
              <w:rPr>
                <w:snapToGrid w:val="0"/>
                <w:kern w:val="2"/>
                <w:sz w:val="28"/>
                <w:szCs w:val="28"/>
              </w:rPr>
            </w:pPr>
          </w:p>
        </w:tc>
        <w:tc>
          <w:tcPr>
            <w:tcW w:w="2251" w:type="dxa"/>
            <w:vAlign w:val="center"/>
          </w:tcPr>
          <w:p>
            <w:pPr>
              <w:snapToGrid w:val="0"/>
              <w:jc w:val="center"/>
              <w:rPr>
                <w:snapToGrid w:val="0"/>
                <w:kern w:val="2"/>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250" w:type="dxa"/>
            <w:vAlign w:val="center"/>
          </w:tcPr>
          <w:p>
            <w:pPr>
              <w:snapToGrid w:val="0"/>
              <w:jc w:val="center"/>
              <w:rPr>
                <w:snapToGrid w:val="0"/>
                <w:kern w:val="2"/>
                <w:sz w:val="28"/>
                <w:szCs w:val="28"/>
              </w:rPr>
            </w:pPr>
          </w:p>
        </w:tc>
        <w:tc>
          <w:tcPr>
            <w:tcW w:w="2178" w:type="dxa"/>
            <w:vAlign w:val="center"/>
          </w:tcPr>
          <w:p>
            <w:pPr>
              <w:snapToGrid w:val="0"/>
              <w:jc w:val="center"/>
              <w:rPr>
                <w:snapToGrid w:val="0"/>
                <w:kern w:val="2"/>
                <w:sz w:val="28"/>
                <w:szCs w:val="28"/>
              </w:rPr>
            </w:pPr>
          </w:p>
        </w:tc>
        <w:tc>
          <w:tcPr>
            <w:tcW w:w="2324" w:type="dxa"/>
            <w:vAlign w:val="center"/>
          </w:tcPr>
          <w:p>
            <w:pPr>
              <w:snapToGrid w:val="0"/>
              <w:jc w:val="center"/>
              <w:rPr>
                <w:snapToGrid w:val="0"/>
                <w:kern w:val="2"/>
                <w:sz w:val="28"/>
                <w:szCs w:val="28"/>
              </w:rPr>
            </w:pPr>
          </w:p>
        </w:tc>
        <w:tc>
          <w:tcPr>
            <w:tcW w:w="2251" w:type="dxa"/>
            <w:vAlign w:val="center"/>
          </w:tcPr>
          <w:p>
            <w:pPr>
              <w:snapToGrid w:val="0"/>
              <w:jc w:val="center"/>
              <w:rPr>
                <w:snapToGrid w:val="0"/>
                <w:kern w:val="2"/>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250" w:type="dxa"/>
            <w:vAlign w:val="center"/>
          </w:tcPr>
          <w:p>
            <w:pPr>
              <w:snapToGrid w:val="0"/>
              <w:jc w:val="center"/>
              <w:rPr>
                <w:snapToGrid w:val="0"/>
                <w:kern w:val="2"/>
                <w:sz w:val="28"/>
                <w:szCs w:val="28"/>
              </w:rPr>
            </w:pPr>
          </w:p>
        </w:tc>
        <w:tc>
          <w:tcPr>
            <w:tcW w:w="2178" w:type="dxa"/>
            <w:vAlign w:val="center"/>
          </w:tcPr>
          <w:p>
            <w:pPr>
              <w:snapToGrid w:val="0"/>
              <w:jc w:val="center"/>
              <w:rPr>
                <w:snapToGrid w:val="0"/>
                <w:kern w:val="2"/>
                <w:sz w:val="28"/>
                <w:szCs w:val="28"/>
              </w:rPr>
            </w:pPr>
          </w:p>
        </w:tc>
        <w:tc>
          <w:tcPr>
            <w:tcW w:w="2324" w:type="dxa"/>
            <w:vAlign w:val="center"/>
          </w:tcPr>
          <w:p>
            <w:pPr>
              <w:snapToGrid w:val="0"/>
              <w:jc w:val="center"/>
              <w:rPr>
                <w:snapToGrid w:val="0"/>
                <w:kern w:val="2"/>
                <w:sz w:val="28"/>
                <w:szCs w:val="28"/>
              </w:rPr>
            </w:pPr>
          </w:p>
        </w:tc>
        <w:tc>
          <w:tcPr>
            <w:tcW w:w="2251" w:type="dxa"/>
            <w:vAlign w:val="center"/>
          </w:tcPr>
          <w:p>
            <w:pPr>
              <w:snapToGrid w:val="0"/>
              <w:jc w:val="center"/>
              <w:rPr>
                <w:snapToGrid w:val="0"/>
                <w:kern w:val="2"/>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250" w:type="dxa"/>
            <w:vAlign w:val="center"/>
          </w:tcPr>
          <w:p>
            <w:pPr>
              <w:snapToGrid w:val="0"/>
              <w:jc w:val="center"/>
              <w:rPr>
                <w:snapToGrid w:val="0"/>
                <w:kern w:val="2"/>
                <w:sz w:val="28"/>
                <w:szCs w:val="28"/>
              </w:rPr>
            </w:pPr>
          </w:p>
        </w:tc>
        <w:tc>
          <w:tcPr>
            <w:tcW w:w="2178" w:type="dxa"/>
            <w:vAlign w:val="center"/>
          </w:tcPr>
          <w:p>
            <w:pPr>
              <w:snapToGrid w:val="0"/>
              <w:jc w:val="center"/>
              <w:rPr>
                <w:snapToGrid w:val="0"/>
                <w:kern w:val="2"/>
                <w:sz w:val="28"/>
                <w:szCs w:val="28"/>
              </w:rPr>
            </w:pPr>
          </w:p>
        </w:tc>
        <w:tc>
          <w:tcPr>
            <w:tcW w:w="2324" w:type="dxa"/>
            <w:vAlign w:val="center"/>
          </w:tcPr>
          <w:p>
            <w:pPr>
              <w:snapToGrid w:val="0"/>
              <w:jc w:val="center"/>
              <w:rPr>
                <w:snapToGrid w:val="0"/>
                <w:kern w:val="2"/>
                <w:sz w:val="28"/>
                <w:szCs w:val="28"/>
              </w:rPr>
            </w:pPr>
          </w:p>
        </w:tc>
        <w:tc>
          <w:tcPr>
            <w:tcW w:w="2251" w:type="dxa"/>
            <w:vAlign w:val="center"/>
          </w:tcPr>
          <w:p>
            <w:pPr>
              <w:snapToGrid w:val="0"/>
              <w:jc w:val="center"/>
              <w:rPr>
                <w:snapToGrid w:val="0"/>
                <w:kern w:val="2"/>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250" w:type="dxa"/>
            <w:vAlign w:val="center"/>
          </w:tcPr>
          <w:p>
            <w:pPr>
              <w:snapToGrid w:val="0"/>
              <w:jc w:val="center"/>
              <w:rPr>
                <w:snapToGrid w:val="0"/>
                <w:kern w:val="2"/>
                <w:sz w:val="28"/>
                <w:szCs w:val="28"/>
              </w:rPr>
            </w:pPr>
          </w:p>
        </w:tc>
        <w:tc>
          <w:tcPr>
            <w:tcW w:w="2178" w:type="dxa"/>
            <w:vAlign w:val="center"/>
          </w:tcPr>
          <w:p>
            <w:pPr>
              <w:snapToGrid w:val="0"/>
              <w:jc w:val="center"/>
              <w:rPr>
                <w:snapToGrid w:val="0"/>
                <w:kern w:val="2"/>
                <w:sz w:val="28"/>
                <w:szCs w:val="28"/>
              </w:rPr>
            </w:pPr>
          </w:p>
        </w:tc>
        <w:tc>
          <w:tcPr>
            <w:tcW w:w="2324" w:type="dxa"/>
            <w:vAlign w:val="center"/>
          </w:tcPr>
          <w:p>
            <w:pPr>
              <w:snapToGrid w:val="0"/>
              <w:jc w:val="center"/>
              <w:rPr>
                <w:snapToGrid w:val="0"/>
                <w:kern w:val="2"/>
                <w:sz w:val="28"/>
                <w:szCs w:val="28"/>
              </w:rPr>
            </w:pPr>
          </w:p>
        </w:tc>
        <w:tc>
          <w:tcPr>
            <w:tcW w:w="2251" w:type="dxa"/>
            <w:vAlign w:val="center"/>
          </w:tcPr>
          <w:p>
            <w:pPr>
              <w:snapToGrid w:val="0"/>
              <w:jc w:val="center"/>
              <w:rPr>
                <w:snapToGrid w:val="0"/>
                <w:kern w:val="2"/>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250" w:type="dxa"/>
            <w:vAlign w:val="center"/>
          </w:tcPr>
          <w:p>
            <w:pPr>
              <w:snapToGrid w:val="0"/>
              <w:jc w:val="center"/>
              <w:rPr>
                <w:snapToGrid w:val="0"/>
                <w:kern w:val="2"/>
                <w:sz w:val="28"/>
                <w:szCs w:val="28"/>
              </w:rPr>
            </w:pPr>
          </w:p>
        </w:tc>
        <w:tc>
          <w:tcPr>
            <w:tcW w:w="2178" w:type="dxa"/>
            <w:vAlign w:val="center"/>
          </w:tcPr>
          <w:p>
            <w:pPr>
              <w:snapToGrid w:val="0"/>
              <w:jc w:val="center"/>
              <w:rPr>
                <w:snapToGrid w:val="0"/>
                <w:kern w:val="2"/>
                <w:sz w:val="28"/>
                <w:szCs w:val="28"/>
              </w:rPr>
            </w:pPr>
          </w:p>
        </w:tc>
        <w:tc>
          <w:tcPr>
            <w:tcW w:w="2324" w:type="dxa"/>
            <w:vAlign w:val="center"/>
          </w:tcPr>
          <w:p>
            <w:pPr>
              <w:snapToGrid w:val="0"/>
              <w:jc w:val="center"/>
              <w:rPr>
                <w:snapToGrid w:val="0"/>
                <w:kern w:val="2"/>
                <w:sz w:val="28"/>
                <w:szCs w:val="28"/>
              </w:rPr>
            </w:pPr>
          </w:p>
        </w:tc>
        <w:tc>
          <w:tcPr>
            <w:tcW w:w="2251" w:type="dxa"/>
            <w:vAlign w:val="center"/>
          </w:tcPr>
          <w:p>
            <w:pPr>
              <w:snapToGrid w:val="0"/>
              <w:jc w:val="center"/>
              <w:rPr>
                <w:snapToGrid w:val="0"/>
                <w:kern w:val="2"/>
                <w:sz w:val="28"/>
                <w:szCs w:val="28"/>
              </w:rPr>
            </w:pPr>
          </w:p>
        </w:tc>
      </w:tr>
    </w:tbl>
    <w:p>
      <w:pPr>
        <w:pStyle w:val="6"/>
        <w:jc w:val="center"/>
        <w:rPr>
          <w:snapToGrid w:val="0"/>
        </w:rPr>
      </w:pPr>
      <w:r>
        <w:rPr>
          <w:snapToGrid w:val="0"/>
          <w:sz w:val="28"/>
          <w:szCs w:val="28"/>
        </w:rPr>
        <w:br w:type="page"/>
      </w:r>
      <w:bookmarkStart w:id="775" w:name="_Toc4170"/>
      <w:r>
        <w:rPr>
          <w:rFonts w:hint="eastAsia"/>
          <w:snapToGrid w:val="0"/>
          <w:sz w:val="28"/>
          <w:szCs w:val="28"/>
        </w:rPr>
        <w:t>五</w:t>
      </w:r>
      <w:r>
        <w:rPr>
          <w:snapToGrid w:val="0"/>
          <w:sz w:val="28"/>
          <w:szCs w:val="28"/>
        </w:rPr>
        <w:t>、项目管理机构</w:t>
      </w:r>
      <w:bookmarkEnd w:id="771"/>
      <w:bookmarkEnd w:id="772"/>
      <w:bookmarkEnd w:id="773"/>
      <w:bookmarkEnd w:id="774"/>
      <w:bookmarkEnd w:id="775"/>
    </w:p>
    <w:p>
      <w:pPr>
        <w:pStyle w:val="7"/>
        <w:rPr>
          <w:rFonts w:ascii="黑体" w:hAnsi="黑体" w:eastAsia="黑体"/>
          <w:szCs w:val="24"/>
        </w:rPr>
      </w:pPr>
      <w:r>
        <w:rPr>
          <w:rFonts w:ascii="黑体" w:hAnsi="黑体" w:eastAsia="黑体"/>
          <w:szCs w:val="24"/>
        </w:rPr>
        <w:t>（一）项目管理机构组成表</w:t>
      </w:r>
    </w:p>
    <w:p>
      <w:pPr>
        <w:pStyle w:val="4"/>
        <w:rPr>
          <w:snapToGrid w:val="0"/>
        </w:rPr>
      </w:pPr>
    </w:p>
    <w:tbl>
      <w:tblPr>
        <w:tblStyle w:val="24"/>
        <w:tblW w:w="9175"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693"/>
        <w:gridCol w:w="705"/>
        <w:gridCol w:w="864"/>
        <w:gridCol w:w="1409"/>
        <w:gridCol w:w="875"/>
        <w:gridCol w:w="1050"/>
        <w:gridCol w:w="1250"/>
        <w:gridCol w:w="1290"/>
        <w:gridCol w:w="103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693" w:type="dxa"/>
            <w:vMerge w:val="restart"/>
            <w:vAlign w:val="center"/>
          </w:tcPr>
          <w:p>
            <w:pPr>
              <w:snapToGrid w:val="0"/>
              <w:jc w:val="center"/>
              <w:rPr>
                <w:snapToGrid w:val="0"/>
                <w:kern w:val="2"/>
                <w:szCs w:val="21"/>
              </w:rPr>
            </w:pPr>
            <w:r>
              <w:rPr>
                <w:snapToGrid w:val="0"/>
                <w:kern w:val="2"/>
                <w:szCs w:val="21"/>
              </w:rPr>
              <w:t>职务</w:t>
            </w:r>
          </w:p>
        </w:tc>
        <w:tc>
          <w:tcPr>
            <w:tcW w:w="705" w:type="dxa"/>
            <w:vMerge w:val="restart"/>
            <w:vAlign w:val="center"/>
          </w:tcPr>
          <w:p>
            <w:pPr>
              <w:snapToGrid w:val="0"/>
              <w:jc w:val="center"/>
              <w:rPr>
                <w:snapToGrid w:val="0"/>
                <w:kern w:val="2"/>
                <w:szCs w:val="21"/>
              </w:rPr>
            </w:pPr>
            <w:r>
              <w:rPr>
                <w:snapToGrid w:val="0"/>
                <w:kern w:val="2"/>
                <w:szCs w:val="21"/>
              </w:rPr>
              <w:t>姓名</w:t>
            </w:r>
          </w:p>
        </w:tc>
        <w:tc>
          <w:tcPr>
            <w:tcW w:w="864" w:type="dxa"/>
            <w:vMerge w:val="restart"/>
            <w:vAlign w:val="center"/>
          </w:tcPr>
          <w:p>
            <w:pPr>
              <w:snapToGrid w:val="0"/>
              <w:jc w:val="center"/>
              <w:rPr>
                <w:snapToGrid w:val="0"/>
                <w:kern w:val="2"/>
                <w:szCs w:val="21"/>
              </w:rPr>
            </w:pPr>
            <w:r>
              <w:rPr>
                <w:snapToGrid w:val="0"/>
                <w:kern w:val="2"/>
                <w:szCs w:val="21"/>
              </w:rPr>
              <w:t>职称</w:t>
            </w:r>
          </w:p>
        </w:tc>
        <w:tc>
          <w:tcPr>
            <w:tcW w:w="5874" w:type="dxa"/>
            <w:gridSpan w:val="5"/>
            <w:vAlign w:val="center"/>
          </w:tcPr>
          <w:p>
            <w:pPr>
              <w:snapToGrid w:val="0"/>
              <w:jc w:val="center"/>
              <w:rPr>
                <w:snapToGrid w:val="0"/>
                <w:kern w:val="2"/>
                <w:szCs w:val="21"/>
              </w:rPr>
            </w:pPr>
            <w:r>
              <w:rPr>
                <w:snapToGrid w:val="0"/>
                <w:kern w:val="2"/>
                <w:szCs w:val="21"/>
              </w:rPr>
              <w:t>执业或职业资格证明</w:t>
            </w:r>
          </w:p>
        </w:tc>
        <w:tc>
          <w:tcPr>
            <w:tcW w:w="1039" w:type="dxa"/>
            <w:vMerge w:val="restart"/>
            <w:vAlign w:val="center"/>
          </w:tcPr>
          <w:p>
            <w:pPr>
              <w:snapToGrid w:val="0"/>
              <w:jc w:val="center"/>
              <w:rPr>
                <w:snapToGrid w:val="0"/>
                <w:kern w:val="2"/>
                <w:szCs w:val="21"/>
              </w:rPr>
            </w:pPr>
            <w:r>
              <w:rPr>
                <w:snapToGrid w:val="0"/>
                <w:kern w:val="2"/>
                <w:szCs w:val="21"/>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693" w:type="dxa"/>
            <w:vMerge w:val="continue"/>
          </w:tcPr>
          <w:p>
            <w:pPr>
              <w:snapToGrid w:val="0"/>
              <w:rPr>
                <w:snapToGrid w:val="0"/>
                <w:kern w:val="2"/>
                <w:szCs w:val="21"/>
              </w:rPr>
            </w:pPr>
          </w:p>
        </w:tc>
        <w:tc>
          <w:tcPr>
            <w:tcW w:w="705" w:type="dxa"/>
            <w:vMerge w:val="continue"/>
          </w:tcPr>
          <w:p>
            <w:pPr>
              <w:snapToGrid w:val="0"/>
              <w:rPr>
                <w:snapToGrid w:val="0"/>
                <w:kern w:val="2"/>
                <w:szCs w:val="21"/>
              </w:rPr>
            </w:pPr>
          </w:p>
        </w:tc>
        <w:tc>
          <w:tcPr>
            <w:tcW w:w="864" w:type="dxa"/>
            <w:vMerge w:val="continue"/>
          </w:tcPr>
          <w:p>
            <w:pPr>
              <w:snapToGrid w:val="0"/>
              <w:rPr>
                <w:snapToGrid w:val="0"/>
                <w:kern w:val="2"/>
                <w:szCs w:val="21"/>
              </w:rPr>
            </w:pPr>
          </w:p>
        </w:tc>
        <w:tc>
          <w:tcPr>
            <w:tcW w:w="1409" w:type="dxa"/>
            <w:vAlign w:val="center"/>
          </w:tcPr>
          <w:p>
            <w:pPr>
              <w:snapToGrid w:val="0"/>
              <w:jc w:val="center"/>
              <w:rPr>
                <w:snapToGrid w:val="0"/>
                <w:kern w:val="2"/>
                <w:szCs w:val="21"/>
              </w:rPr>
            </w:pPr>
            <w:r>
              <w:rPr>
                <w:snapToGrid w:val="0"/>
                <w:kern w:val="2"/>
                <w:szCs w:val="21"/>
              </w:rPr>
              <w:t>证书名称</w:t>
            </w:r>
          </w:p>
        </w:tc>
        <w:tc>
          <w:tcPr>
            <w:tcW w:w="875" w:type="dxa"/>
            <w:vAlign w:val="center"/>
          </w:tcPr>
          <w:p>
            <w:pPr>
              <w:snapToGrid w:val="0"/>
              <w:jc w:val="center"/>
              <w:rPr>
                <w:snapToGrid w:val="0"/>
                <w:kern w:val="2"/>
                <w:szCs w:val="21"/>
              </w:rPr>
            </w:pPr>
            <w:r>
              <w:rPr>
                <w:snapToGrid w:val="0"/>
                <w:kern w:val="2"/>
                <w:szCs w:val="21"/>
              </w:rPr>
              <w:t>级别</w:t>
            </w:r>
          </w:p>
        </w:tc>
        <w:tc>
          <w:tcPr>
            <w:tcW w:w="1050" w:type="dxa"/>
            <w:vAlign w:val="center"/>
          </w:tcPr>
          <w:p>
            <w:pPr>
              <w:snapToGrid w:val="0"/>
              <w:jc w:val="center"/>
              <w:rPr>
                <w:snapToGrid w:val="0"/>
                <w:kern w:val="2"/>
                <w:szCs w:val="21"/>
              </w:rPr>
            </w:pPr>
            <w:r>
              <w:rPr>
                <w:snapToGrid w:val="0"/>
                <w:kern w:val="2"/>
                <w:szCs w:val="21"/>
              </w:rPr>
              <w:t>证号</w:t>
            </w:r>
          </w:p>
        </w:tc>
        <w:tc>
          <w:tcPr>
            <w:tcW w:w="1250" w:type="dxa"/>
            <w:vAlign w:val="center"/>
          </w:tcPr>
          <w:p>
            <w:pPr>
              <w:snapToGrid w:val="0"/>
              <w:jc w:val="center"/>
              <w:rPr>
                <w:snapToGrid w:val="0"/>
                <w:kern w:val="2"/>
                <w:szCs w:val="21"/>
              </w:rPr>
            </w:pPr>
            <w:r>
              <w:rPr>
                <w:snapToGrid w:val="0"/>
                <w:kern w:val="2"/>
                <w:szCs w:val="21"/>
              </w:rPr>
              <w:t>专业</w:t>
            </w:r>
          </w:p>
        </w:tc>
        <w:tc>
          <w:tcPr>
            <w:tcW w:w="1290" w:type="dxa"/>
            <w:vAlign w:val="center"/>
          </w:tcPr>
          <w:p>
            <w:pPr>
              <w:snapToGrid w:val="0"/>
              <w:jc w:val="center"/>
              <w:rPr>
                <w:snapToGrid w:val="0"/>
                <w:kern w:val="2"/>
                <w:szCs w:val="21"/>
              </w:rPr>
            </w:pPr>
            <w:r>
              <w:rPr>
                <w:snapToGrid w:val="0"/>
                <w:kern w:val="2"/>
                <w:szCs w:val="21"/>
              </w:rPr>
              <w:t>养老保险</w:t>
            </w:r>
          </w:p>
        </w:tc>
        <w:tc>
          <w:tcPr>
            <w:tcW w:w="1039" w:type="dxa"/>
            <w:vMerge w:val="continue"/>
          </w:tcPr>
          <w:p>
            <w:pPr>
              <w:snapToGrid w:val="0"/>
              <w:rPr>
                <w:snapToGrid w:val="0"/>
                <w:kern w:val="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693" w:type="dxa"/>
          </w:tcPr>
          <w:p>
            <w:pPr>
              <w:snapToGrid w:val="0"/>
              <w:rPr>
                <w:snapToGrid w:val="0"/>
                <w:kern w:val="2"/>
                <w:szCs w:val="21"/>
              </w:rPr>
            </w:pPr>
          </w:p>
        </w:tc>
        <w:tc>
          <w:tcPr>
            <w:tcW w:w="705" w:type="dxa"/>
          </w:tcPr>
          <w:p>
            <w:pPr>
              <w:snapToGrid w:val="0"/>
              <w:rPr>
                <w:snapToGrid w:val="0"/>
                <w:kern w:val="2"/>
                <w:szCs w:val="21"/>
              </w:rPr>
            </w:pPr>
          </w:p>
        </w:tc>
        <w:tc>
          <w:tcPr>
            <w:tcW w:w="864" w:type="dxa"/>
          </w:tcPr>
          <w:p>
            <w:pPr>
              <w:snapToGrid w:val="0"/>
              <w:rPr>
                <w:snapToGrid w:val="0"/>
                <w:kern w:val="2"/>
                <w:szCs w:val="21"/>
              </w:rPr>
            </w:pPr>
          </w:p>
        </w:tc>
        <w:tc>
          <w:tcPr>
            <w:tcW w:w="1409" w:type="dxa"/>
          </w:tcPr>
          <w:p>
            <w:pPr>
              <w:snapToGrid w:val="0"/>
              <w:rPr>
                <w:snapToGrid w:val="0"/>
                <w:kern w:val="2"/>
                <w:szCs w:val="21"/>
              </w:rPr>
            </w:pPr>
          </w:p>
        </w:tc>
        <w:tc>
          <w:tcPr>
            <w:tcW w:w="875" w:type="dxa"/>
          </w:tcPr>
          <w:p>
            <w:pPr>
              <w:snapToGrid w:val="0"/>
              <w:rPr>
                <w:snapToGrid w:val="0"/>
                <w:kern w:val="2"/>
                <w:szCs w:val="21"/>
              </w:rPr>
            </w:pPr>
          </w:p>
        </w:tc>
        <w:tc>
          <w:tcPr>
            <w:tcW w:w="1050" w:type="dxa"/>
          </w:tcPr>
          <w:p>
            <w:pPr>
              <w:snapToGrid w:val="0"/>
              <w:rPr>
                <w:snapToGrid w:val="0"/>
                <w:kern w:val="2"/>
                <w:szCs w:val="21"/>
              </w:rPr>
            </w:pPr>
          </w:p>
        </w:tc>
        <w:tc>
          <w:tcPr>
            <w:tcW w:w="1250" w:type="dxa"/>
          </w:tcPr>
          <w:p>
            <w:pPr>
              <w:snapToGrid w:val="0"/>
              <w:rPr>
                <w:snapToGrid w:val="0"/>
                <w:kern w:val="2"/>
                <w:szCs w:val="21"/>
              </w:rPr>
            </w:pPr>
          </w:p>
        </w:tc>
        <w:tc>
          <w:tcPr>
            <w:tcW w:w="1290" w:type="dxa"/>
          </w:tcPr>
          <w:p>
            <w:pPr>
              <w:snapToGrid w:val="0"/>
              <w:ind w:firstLine="480" w:firstLineChars="200"/>
              <w:rPr>
                <w:snapToGrid w:val="0"/>
                <w:kern w:val="2"/>
                <w:szCs w:val="21"/>
              </w:rPr>
            </w:pPr>
          </w:p>
        </w:tc>
        <w:tc>
          <w:tcPr>
            <w:tcW w:w="1039" w:type="dxa"/>
          </w:tcPr>
          <w:p>
            <w:pPr>
              <w:snapToGrid w:val="0"/>
              <w:rPr>
                <w:snapToGrid w:val="0"/>
                <w:kern w:val="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693" w:type="dxa"/>
          </w:tcPr>
          <w:p>
            <w:pPr>
              <w:snapToGrid w:val="0"/>
              <w:rPr>
                <w:snapToGrid w:val="0"/>
                <w:kern w:val="2"/>
                <w:szCs w:val="21"/>
              </w:rPr>
            </w:pPr>
          </w:p>
        </w:tc>
        <w:tc>
          <w:tcPr>
            <w:tcW w:w="705" w:type="dxa"/>
          </w:tcPr>
          <w:p>
            <w:pPr>
              <w:snapToGrid w:val="0"/>
              <w:rPr>
                <w:snapToGrid w:val="0"/>
                <w:kern w:val="2"/>
                <w:szCs w:val="21"/>
              </w:rPr>
            </w:pPr>
          </w:p>
        </w:tc>
        <w:tc>
          <w:tcPr>
            <w:tcW w:w="864" w:type="dxa"/>
          </w:tcPr>
          <w:p>
            <w:pPr>
              <w:snapToGrid w:val="0"/>
              <w:rPr>
                <w:snapToGrid w:val="0"/>
                <w:kern w:val="2"/>
                <w:szCs w:val="21"/>
              </w:rPr>
            </w:pPr>
          </w:p>
        </w:tc>
        <w:tc>
          <w:tcPr>
            <w:tcW w:w="1409" w:type="dxa"/>
          </w:tcPr>
          <w:p>
            <w:pPr>
              <w:snapToGrid w:val="0"/>
              <w:rPr>
                <w:snapToGrid w:val="0"/>
                <w:kern w:val="2"/>
                <w:szCs w:val="21"/>
              </w:rPr>
            </w:pPr>
          </w:p>
        </w:tc>
        <w:tc>
          <w:tcPr>
            <w:tcW w:w="875" w:type="dxa"/>
          </w:tcPr>
          <w:p>
            <w:pPr>
              <w:snapToGrid w:val="0"/>
              <w:rPr>
                <w:snapToGrid w:val="0"/>
                <w:kern w:val="2"/>
                <w:szCs w:val="21"/>
              </w:rPr>
            </w:pPr>
          </w:p>
        </w:tc>
        <w:tc>
          <w:tcPr>
            <w:tcW w:w="1050" w:type="dxa"/>
          </w:tcPr>
          <w:p>
            <w:pPr>
              <w:snapToGrid w:val="0"/>
              <w:rPr>
                <w:snapToGrid w:val="0"/>
                <w:kern w:val="2"/>
                <w:szCs w:val="21"/>
              </w:rPr>
            </w:pPr>
          </w:p>
        </w:tc>
        <w:tc>
          <w:tcPr>
            <w:tcW w:w="1250" w:type="dxa"/>
          </w:tcPr>
          <w:p>
            <w:pPr>
              <w:snapToGrid w:val="0"/>
              <w:rPr>
                <w:snapToGrid w:val="0"/>
                <w:kern w:val="2"/>
                <w:szCs w:val="21"/>
              </w:rPr>
            </w:pPr>
          </w:p>
        </w:tc>
        <w:tc>
          <w:tcPr>
            <w:tcW w:w="1290" w:type="dxa"/>
          </w:tcPr>
          <w:p>
            <w:pPr>
              <w:snapToGrid w:val="0"/>
              <w:rPr>
                <w:snapToGrid w:val="0"/>
                <w:kern w:val="2"/>
                <w:szCs w:val="21"/>
              </w:rPr>
            </w:pPr>
          </w:p>
        </w:tc>
        <w:tc>
          <w:tcPr>
            <w:tcW w:w="1039" w:type="dxa"/>
          </w:tcPr>
          <w:p>
            <w:pPr>
              <w:snapToGrid w:val="0"/>
              <w:rPr>
                <w:snapToGrid w:val="0"/>
                <w:kern w:val="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693" w:type="dxa"/>
          </w:tcPr>
          <w:p>
            <w:pPr>
              <w:snapToGrid w:val="0"/>
              <w:rPr>
                <w:snapToGrid w:val="0"/>
                <w:kern w:val="2"/>
                <w:szCs w:val="21"/>
              </w:rPr>
            </w:pPr>
          </w:p>
        </w:tc>
        <w:tc>
          <w:tcPr>
            <w:tcW w:w="705" w:type="dxa"/>
          </w:tcPr>
          <w:p>
            <w:pPr>
              <w:snapToGrid w:val="0"/>
              <w:rPr>
                <w:snapToGrid w:val="0"/>
                <w:kern w:val="2"/>
                <w:szCs w:val="21"/>
              </w:rPr>
            </w:pPr>
          </w:p>
        </w:tc>
        <w:tc>
          <w:tcPr>
            <w:tcW w:w="864" w:type="dxa"/>
          </w:tcPr>
          <w:p>
            <w:pPr>
              <w:snapToGrid w:val="0"/>
              <w:rPr>
                <w:snapToGrid w:val="0"/>
                <w:kern w:val="2"/>
                <w:szCs w:val="21"/>
              </w:rPr>
            </w:pPr>
          </w:p>
        </w:tc>
        <w:tc>
          <w:tcPr>
            <w:tcW w:w="1409" w:type="dxa"/>
          </w:tcPr>
          <w:p>
            <w:pPr>
              <w:snapToGrid w:val="0"/>
              <w:rPr>
                <w:snapToGrid w:val="0"/>
                <w:kern w:val="2"/>
                <w:szCs w:val="21"/>
              </w:rPr>
            </w:pPr>
          </w:p>
        </w:tc>
        <w:tc>
          <w:tcPr>
            <w:tcW w:w="875" w:type="dxa"/>
          </w:tcPr>
          <w:p>
            <w:pPr>
              <w:snapToGrid w:val="0"/>
              <w:rPr>
                <w:snapToGrid w:val="0"/>
                <w:kern w:val="2"/>
                <w:szCs w:val="21"/>
              </w:rPr>
            </w:pPr>
          </w:p>
        </w:tc>
        <w:tc>
          <w:tcPr>
            <w:tcW w:w="1050" w:type="dxa"/>
          </w:tcPr>
          <w:p>
            <w:pPr>
              <w:snapToGrid w:val="0"/>
              <w:rPr>
                <w:snapToGrid w:val="0"/>
                <w:kern w:val="2"/>
                <w:szCs w:val="21"/>
              </w:rPr>
            </w:pPr>
          </w:p>
        </w:tc>
        <w:tc>
          <w:tcPr>
            <w:tcW w:w="1250" w:type="dxa"/>
          </w:tcPr>
          <w:p>
            <w:pPr>
              <w:snapToGrid w:val="0"/>
              <w:rPr>
                <w:snapToGrid w:val="0"/>
                <w:kern w:val="2"/>
                <w:szCs w:val="21"/>
              </w:rPr>
            </w:pPr>
          </w:p>
        </w:tc>
        <w:tc>
          <w:tcPr>
            <w:tcW w:w="1290" w:type="dxa"/>
          </w:tcPr>
          <w:p>
            <w:pPr>
              <w:snapToGrid w:val="0"/>
              <w:rPr>
                <w:snapToGrid w:val="0"/>
                <w:kern w:val="2"/>
                <w:szCs w:val="21"/>
              </w:rPr>
            </w:pPr>
          </w:p>
        </w:tc>
        <w:tc>
          <w:tcPr>
            <w:tcW w:w="1039" w:type="dxa"/>
          </w:tcPr>
          <w:p>
            <w:pPr>
              <w:snapToGrid w:val="0"/>
              <w:rPr>
                <w:snapToGrid w:val="0"/>
                <w:kern w:val="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693" w:type="dxa"/>
          </w:tcPr>
          <w:p>
            <w:pPr>
              <w:snapToGrid w:val="0"/>
              <w:rPr>
                <w:snapToGrid w:val="0"/>
                <w:kern w:val="2"/>
                <w:szCs w:val="21"/>
              </w:rPr>
            </w:pPr>
          </w:p>
        </w:tc>
        <w:tc>
          <w:tcPr>
            <w:tcW w:w="705" w:type="dxa"/>
          </w:tcPr>
          <w:p>
            <w:pPr>
              <w:snapToGrid w:val="0"/>
              <w:rPr>
                <w:snapToGrid w:val="0"/>
                <w:kern w:val="2"/>
                <w:szCs w:val="21"/>
              </w:rPr>
            </w:pPr>
          </w:p>
        </w:tc>
        <w:tc>
          <w:tcPr>
            <w:tcW w:w="864" w:type="dxa"/>
          </w:tcPr>
          <w:p>
            <w:pPr>
              <w:snapToGrid w:val="0"/>
              <w:rPr>
                <w:snapToGrid w:val="0"/>
                <w:kern w:val="2"/>
                <w:szCs w:val="21"/>
              </w:rPr>
            </w:pPr>
          </w:p>
        </w:tc>
        <w:tc>
          <w:tcPr>
            <w:tcW w:w="1409" w:type="dxa"/>
          </w:tcPr>
          <w:p>
            <w:pPr>
              <w:snapToGrid w:val="0"/>
              <w:rPr>
                <w:snapToGrid w:val="0"/>
                <w:kern w:val="2"/>
                <w:szCs w:val="21"/>
              </w:rPr>
            </w:pPr>
          </w:p>
        </w:tc>
        <w:tc>
          <w:tcPr>
            <w:tcW w:w="875" w:type="dxa"/>
          </w:tcPr>
          <w:p>
            <w:pPr>
              <w:snapToGrid w:val="0"/>
              <w:rPr>
                <w:snapToGrid w:val="0"/>
                <w:kern w:val="2"/>
                <w:szCs w:val="21"/>
              </w:rPr>
            </w:pPr>
          </w:p>
        </w:tc>
        <w:tc>
          <w:tcPr>
            <w:tcW w:w="1050" w:type="dxa"/>
          </w:tcPr>
          <w:p>
            <w:pPr>
              <w:snapToGrid w:val="0"/>
              <w:rPr>
                <w:snapToGrid w:val="0"/>
                <w:kern w:val="2"/>
                <w:szCs w:val="21"/>
              </w:rPr>
            </w:pPr>
          </w:p>
        </w:tc>
        <w:tc>
          <w:tcPr>
            <w:tcW w:w="1250" w:type="dxa"/>
          </w:tcPr>
          <w:p>
            <w:pPr>
              <w:snapToGrid w:val="0"/>
              <w:rPr>
                <w:snapToGrid w:val="0"/>
                <w:kern w:val="2"/>
                <w:szCs w:val="21"/>
              </w:rPr>
            </w:pPr>
          </w:p>
        </w:tc>
        <w:tc>
          <w:tcPr>
            <w:tcW w:w="1290" w:type="dxa"/>
          </w:tcPr>
          <w:p>
            <w:pPr>
              <w:snapToGrid w:val="0"/>
              <w:rPr>
                <w:snapToGrid w:val="0"/>
                <w:kern w:val="2"/>
                <w:szCs w:val="21"/>
              </w:rPr>
            </w:pPr>
          </w:p>
        </w:tc>
        <w:tc>
          <w:tcPr>
            <w:tcW w:w="1039" w:type="dxa"/>
          </w:tcPr>
          <w:p>
            <w:pPr>
              <w:snapToGrid w:val="0"/>
              <w:rPr>
                <w:snapToGrid w:val="0"/>
                <w:kern w:val="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693" w:type="dxa"/>
          </w:tcPr>
          <w:p>
            <w:pPr>
              <w:snapToGrid w:val="0"/>
              <w:rPr>
                <w:snapToGrid w:val="0"/>
                <w:kern w:val="2"/>
                <w:szCs w:val="21"/>
              </w:rPr>
            </w:pPr>
          </w:p>
        </w:tc>
        <w:tc>
          <w:tcPr>
            <w:tcW w:w="705" w:type="dxa"/>
          </w:tcPr>
          <w:p>
            <w:pPr>
              <w:snapToGrid w:val="0"/>
              <w:rPr>
                <w:snapToGrid w:val="0"/>
                <w:kern w:val="2"/>
                <w:szCs w:val="21"/>
              </w:rPr>
            </w:pPr>
          </w:p>
        </w:tc>
        <w:tc>
          <w:tcPr>
            <w:tcW w:w="864" w:type="dxa"/>
          </w:tcPr>
          <w:p>
            <w:pPr>
              <w:snapToGrid w:val="0"/>
              <w:rPr>
                <w:snapToGrid w:val="0"/>
                <w:kern w:val="2"/>
                <w:szCs w:val="21"/>
              </w:rPr>
            </w:pPr>
          </w:p>
        </w:tc>
        <w:tc>
          <w:tcPr>
            <w:tcW w:w="1409" w:type="dxa"/>
          </w:tcPr>
          <w:p>
            <w:pPr>
              <w:snapToGrid w:val="0"/>
              <w:rPr>
                <w:snapToGrid w:val="0"/>
                <w:kern w:val="2"/>
                <w:szCs w:val="21"/>
              </w:rPr>
            </w:pPr>
          </w:p>
        </w:tc>
        <w:tc>
          <w:tcPr>
            <w:tcW w:w="875" w:type="dxa"/>
          </w:tcPr>
          <w:p>
            <w:pPr>
              <w:snapToGrid w:val="0"/>
              <w:rPr>
                <w:snapToGrid w:val="0"/>
                <w:kern w:val="2"/>
                <w:szCs w:val="21"/>
              </w:rPr>
            </w:pPr>
          </w:p>
        </w:tc>
        <w:tc>
          <w:tcPr>
            <w:tcW w:w="1050" w:type="dxa"/>
          </w:tcPr>
          <w:p>
            <w:pPr>
              <w:snapToGrid w:val="0"/>
              <w:rPr>
                <w:snapToGrid w:val="0"/>
                <w:kern w:val="2"/>
                <w:szCs w:val="21"/>
              </w:rPr>
            </w:pPr>
          </w:p>
        </w:tc>
        <w:tc>
          <w:tcPr>
            <w:tcW w:w="1250" w:type="dxa"/>
          </w:tcPr>
          <w:p>
            <w:pPr>
              <w:snapToGrid w:val="0"/>
              <w:rPr>
                <w:snapToGrid w:val="0"/>
                <w:kern w:val="2"/>
                <w:szCs w:val="21"/>
              </w:rPr>
            </w:pPr>
          </w:p>
        </w:tc>
        <w:tc>
          <w:tcPr>
            <w:tcW w:w="1290" w:type="dxa"/>
          </w:tcPr>
          <w:p>
            <w:pPr>
              <w:snapToGrid w:val="0"/>
              <w:rPr>
                <w:snapToGrid w:val="0"/>
                <w:kern w:val="2"/>
                <w:szCs w:val="21"/>
              </w:rPr>
            </w:pPr>
          </w:p>
        </w:tc>
        <w:tc>
          <w:tcPr>
            <w:tcW w:w="1039" w:type="dxa"/>
          </w:tcPr>
          <w:p>
            <w:pPr>
              <w:snapToGrid w:val="0"/>
              <w:rPr>
                <w:snapToGrid w:val="0"/>
                <w:kern w:val="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693" w:type="dxa"/>
          </w:tcPr>
          <w:p>
            <w:pPr>
              <w:snapToGrid w:val="0"/>
              <w:rPr>
                <w:snapToGrid w:val="0"/>
                <w:kern w:val="2"/>
                <w:szCs w:val="21"/>
              </w:rPr>
            </w:pPr>
          </w:p>
        </w:tc>
        <w:tc>
          <w:tcPr>
            <w:tcW w:w="705" w:type="dxa"/>
          </w:tcPr>
          <w:p>
            <w:pPr>
              <w:snapToGrid w:val="0"/>
              <w:rPr>
                <w:snapToGrid w:val="0"/>
                <w:kern w:val="2"/>
                <w:szCs w:val="21"/>
              </w:rPr>
            </w:pPr>
          </w:p>
        </w:tc>
        <w:tc>
          <w:tcPr>
            <w:tcW w:w="864" w:type="dxa"/>
          </w:tcPr>
          <w:p>
            <w:pPr>
              <w:snapToGrid w:val="0"/>
              <w:rPr>
                <w:snapToGrid w:val="0"/>
                <w:kern w:val="2"/>
                <w:szCs w:val="21"/>
              </w:rPr>
            </w:pPr>
          </w:p>
        </w:tc>
        <w:tc>
          <w:tcPr>
            <w:tcW w:w="1409" w:type="dxa"/>
          </w:tcPr>
          <w:p>
            <w:pPr>
              <w:snapToGrid w:val="0"/>
              <w:rPr>
                <w:snapToGrid w:val="0"/>
                <w:kern w:val="2"/>
                <w:szCs w:val="21"/>
              </w:rPr>
            </w:pPr>
          </w:p>
        </w:tc>
        <w:tc>
          <w:tcPr>
            <w:tcW w:w="875" w:type="dxa"/>
          </w:tcPr>
          <w:p>
            <w:pPr>
              <w:snapToGrid w:val="0"/>
              <w:rPr>
                <w:snapToGrid w:val="0"/>
                <w:kern w:val="2"/>
                <w:szCs w:val="21"/>
              </w:rPr>
            </w:pPr>
          </w:p>
        </w:tc>
        <w:tc>
          <w:tcPr>
            <w:tcW w:w="1050" w:type="dxa"/>
          </w:tcPr>
          <w:p>
            <w:pPr>
              <w:snapToGrid w:val="0"/>
              <w:rPr>
                <w:snapToGrid w:val="0"/>
                <w:kern w:val="2"/>
                <w:szCs w:val="21"/>
              </w:rPr>
            </w:pPr>
          </w:p>
        </w:tc>
        <w:tc>
          <w:tcPr>
            <w:tcW w:w="1250" w:type="dxa"/>
          </w:tcPr>
          <w:p>
            <w:pPr>
              <w:snapToGrid w:val="0"/>
              <w:rPr>
                <w:snapToGrid w:val="0"/>
                <w:kern w:val="2"/>
                <w:szCs w:val="21"/>
              </w:rPr>
            </w:pPr>
          </w:p>
        </w:tc>
        <w:tc>
          <w:tcPr>
            <w:tcW w:w="1290" w:type="dxa"/>
          </w:tcPr>
          <w:p>
            <w:pPr>
              <w:snapToGrid w:val="0"/>
              <w:rPr>
                <w:snapToGrid w:val="0"/>
                <w:kern w:val="2"/>
                <w:szCs w:val="21"/>
              </w:rPr>
            </w:pPr>
          </w:p>
        </w:tc>
        <w:tc>
          <w:tcPr>
            <w:tcW w:w="1039" w:type="dxa"/>
          </w:tcPr>
          <w:p>
            <w:pPr>
              <w:snapToGrid w:val="0"/>
              <w:rPr>
                <w:snapToGrid w:val="0"/>
                <w:kern w:val="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693" w:type="dxa"/>
          </w:tcPr>
          <w:p>
            <w:pPr>
              <w:snapToGrid w:val="0"/>
              <w:rPr>
                <w:snapToGrid w:val="0"/>
                <w:kern w:val="2"/>
                <w:szCs w:val="21"/>
              </w:rPr>
            </w:pPr>
          </w:p>
        </w:tc>
        <w:tc>
          <w:tcPr>
            <w:tcW w:w="705" w:type="dxa"/>
          </w:tcPr>
          <w:p>
            <w:pPr>
              <w:snapToGrid w:val="0"/>
              <w:rPr>
                <w:snapToGrid w:val="0"/>
                <w:kern w:val="2"/>
                <w:szCs w:val="21"/>
              </w:rPr>
            </w:pPr>
          </w:p>
        </w:tc>
        <w:tc>
          <w:tcPr>
            <w:tcW w:w="864" w:type="dxa"/>
          </w:tcPr>
          <w:p>
            <w:pPr>
              <w:snapToGrid w:val="0"/>
              <w:rPr>
                <w:snapToGrid w:val="0"/>
                <w:kern w:val="2"/>
                <w:szCs w:val="21"/>
              </w:rPr>
            </w:pPr>
          </w:p>
        </w:tc>
        <w:tc>
          <w:tcPr>
            <w:tcW w:w="1409" w:type="dxa"/>
          </w:tcPr>
          <w:p>
            <w:pPr>
              <w:snapToGrid w:val="0"/>
              <w:rPr>
                <w:snapToGrid w:val="0"/>
                <w:kern w:val="2"/>
                <w:szCs w:val="21"/>
              </w:rPr>
            </w:pPr>
          </w:p>
        </w:tc>
        <w:tc>
          <w:tcPr>
            <w:tcW w:w="875" w:type="dxa"/>
          </w:tcPr>
          <w:p>
            <w:pPr>
              <w:snapToGrid w:val="0"/>
              <w:rPr>
                <w:snapToGrid w:val="0"/>
                <w:kern w:val="2"/>
                <w:szCs w:val="21"/>
              </w:rPr>
            </w:pPr>
          </w:p>
        </w:tc>
        <w:tc>
          <w:tcPr>
            <w:tcW w:w="1050" w:type="dxa"/>
          </w:tcPr>
          <w:p>
            <w:pPr>
              <w:snapToGrid w:val="0"/>
              <w:rPr>
                <w:snapToGrid w:val="0"/>
                <w:kern w:val="2"/>
                <w:szCs w:val="21"/>
              </w:rPr>
            </w:pPr>
          </w:p>
        </w:tc>
        <w:tc>
          <w:tcPr>
            <w:tcW w:w="1250" w:type="dxa"/>
          </w:tcPr>
          <w:p>
            <w:pPr>
              <w:snapToGrid w:val="0"/>
              <w:rPr>
                <w:snapToGrid w:val="0"/>
                <w:kern w:val="2"/>
                <w:szCs w:val="21"/>
              </w:rPr>
            </w:pPr>
          </w:p>
        </w:tc>
        <w:tc>
          <w:tcPr>
            <w:tcW w:w="1290" w:type="dxa"/>
          </w:tcPr>
          <w:p>
            <w:pPr>
              <w:snapToGrid w:val="0"/>
              <w:rPr>
                <w:snapToGrid w:val="0"/>
                <w:kern w:val="2"/>
                <w:szCs w:val="21"/>
              </w:rPr>
            </w:pPr>
          </w:p>
        </w:tc>
        <w:tc>
          <w:tcPr>
            <w:tcW w:w="1039" w:type="dxa"/>
          </w:tcPr>
          <w:p>
            <w:pPr>
              <w:snapToGrid w:val="0"/>
              <w:rPr>
                <w:snapToGrid w:val="0"/>
                <w:kern w:val="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693" w:type="dxa"/>
          </w:tcPr>
          <w:p>
            <w:pPr>
              <w:snapToGrid w:val="0"/>
              <w:rPr>
                <w:snapToGrid w:val="0"/>
                <w:kern w:val="2"/>
                <w:szCs w:val="21"/>
              </w:rPr>
            </w:pPr>
          </w:p>
        </w:tc>
        <w:tc>
          <w:tcPr>
            <w:tcW w:w="705" w:type="dxa"/>
          </w:tcPr>
          <w:p>
            <w:pPr>
              <w:snapToGrid w:val="0"/>
              <w:rPr>
                <w:snapToGrid w:val="0"/>
                <w:kern w:val="2"/>
                <w:szCs w:val="21"/>
              </w:rPr>
            </w:pPr>
          </w:p>
        </w:tc>
        <w:tc>
          <w:tcPr>
            <w:tcW w:w="864" w:type="dxa"/>
          </w:tcPr>
          <w:p>
            <w:pPr>
              <w:snapToGrid w:val="0"/>
              <w:rPr>
                <w:snapToGrid w:val="0"/>
                <w:kern w:val="2"/>
                <w:szCs w:val="21"/>
              </w:rPr>
            </w:pPr>
          </w:p>
        </w:tc>
        <w:tc>
          <w:tcPr>
            <w:tcW w:w="1409" w:type="dxa"/>
          </w:tcPr>
          <w:p>
            <w:pPr>
              <w:snapToGrid w:val="0"/>
              <w:rPr>
                <w:snapToGrid w:val="0"/>
                <w:kern w:val="2"/>
                <w:szCs w:val="21"/>
              </w:rPr>
            </w:pPr>
          </w:p>
        </w:tc>
        <w:tc>
          <w:tcPr>
            <w:tcW w:w="875" w:type="dxa"/>
          </w:tcPr>
          <w:p>
            <w:pPr>
              <w:snapToGrid w:val="0"/>
              <w:rPr>
                <w:snapToGrid w:val="0"/>
                <w:kern w:val="2"/>
                <w:szCs w:val="21"/>
              </w:rPr>
            </w:pPr>
          </w:p>
        </w:tc>
        <w:tc>
          <w:tcPr>
            <w:tcW w:w="1050" w:type="dxa"/>
          </w:tcPr>
          <w:p>
            <w:pPr>
              <w:snapToGrid w:val="0"/>
              <w:rPr>
                <w:snapToGrid w:val="0"/>
                <w:kern w:val="2"/>
                <w:szCs w:val="21"/>
              </w:rPr>
            </w:pPr>
          </w:p>
        </w:tc>
        <w:tc>
          <w:tcPr>
            <w:tcW w:w="1250" w:type="dxa"/>
          </w:tcPr>
          <w:p>
            <w:pPr>
              <w:snapToGrid w:val="0"/>
              <w:rPr>
                <w:snapToGrid w:val="0"/>
                <w:kern w:val="2"/>
                <w:szCs w:val="21"/>
              </w:rPr>
            </w:pPr>
          </w:p>
        </w:tc>
        <w:tc>
          <w:tcPr>
            <w:tcW w:w="1290" w:type="dxa"/>
          </w:tcPr>
          <w:p>
            <w:pPr>
              <w:snapToGrid w:val="0"/>
              <w:rPr>
                <w:snapToGrid w:val="0"/>
                <w:kern w:val="2"/>
                <w:szCs w:val="21"/>
              </w:rPr>
            </w:pPr>
          </w:p>
        </w:tc>
        <w:tc>
          <w:tcPr>
            <w:tcW w:w="1039" w:type="dxa"/>
          </w:tcPr>
          <w:p>
            <w:pPr>
              <w:snapToGrid w:val="0"/>
              <w:rPr>
                <w:snapToGrid w:val="0"/>
                <w:kern w:val="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693" w:type="dxa"/>
          </w:tcPr>
          <w:p>
            <w:pPr>
              <w:snapToGrid w:val="0"/>
              <w:rPr>
                <w:snapToGrid w:val="0"/>
                <w:kern w:val="2"/>
                <w:szCs w:val="21"/>
              </w:rPr>
            </w:pPr>
          </w:p>
        </w:tc>
        <w:tc>
          <w:tcPr>
            <w:tcW w:w="705" w:type="dxa"/>
          </w:tcPr>
          <w:p>
            <w:pPr>
              <w:snapToGrid w:val="0"/>
              <w:rPr>
                <w:snapToGrid w:val="0"/>
                <w:kern w:val="2"/>
                <w:szCs w:val="21"/>
              </w:rPr>
            </w:pPr>
          </w:p>
        </w:tc>
        <w:tc>
          <w:tcPr>
            <w:tcW w:w="864" w:type="dxa"/>
          </w:tcPr>
          <w:p>
            <w:pPr>
              <w:snapToGrid w:val="0"/>
              <w:rPr>
                <w:snapToGrid w:val="0"/>
                <w:kern w:val="2"/>
                <w:szCs w:val="21"/>
              </w:rPr>
            </w:pPr>
          </w:p>
        </w:tc>
        <w:tc>
          <w:tcPr>
            <w:tcW w:w="1409" w:type="dxa"/>
          </w:tcPr>
          <w:p>
            <w:pPr>
              <w:snapToGrid w:val="0"/>
              <w:rPr>
                <w:snapToGrid w:val="0"/>
                <w:kern w:val="2"/>
                <w:szCs w:val="21"/>
              </w:rPr>
            </w:pPr>
          </w:p>
        </w:tc>
        <w:tc>
          <w:tcPr>
            <w:tcW w:w="875" w:type="dxa"/>
          </w:tcPr>
          <w:p>
            <w:pPr>
              <w:snapToGrid w:val="0"/>
              <w:rPr>
                <w:snapToGrid w:val="0"/>
                <w:kern w:val="2"/>
                <w:szCs w:val="21"/>
              </w:rPr>
            </w:pPr>
          </w:p>
        </w:tc>
        <w:tc>
          <w:tcPr>
            <w:tcW w:w="1050" w:type="dxa"/>
          </w:tcPr>
          <w:p>
            <w:pPr>
              <w:snapToGrid w:val="0"/>
              <w:rPr>
                <w:snapToGrid w:val="0"/>
                <w:kern w:val="2"/>
                <w:szCs w:val="21"/>
              </w:rPr>
            </w:pPr>
          </w:p>
        </w:tc>
        <w:tc>
          <w:tcPr>
            <w:tcW w:w="1250" w:type="dxa"/>
          </w:tcPr>
          <w:p>
            <w:pPr>
              <w:snapToGrid w:val="0"/>
              <w:rPr>
                <w:snapToGrid w:val="0"/>
                <w:kern w:val="2"/>
                <w:szCs w:val="21"/>
              </w:rPr>
            </w:pPr>
          </w:p>
        </w:tc>
        <w:tc>
          <w:tcPr>
            <w:tcW w:w="1290" w:type="dxa"/>
          </w:tcPr>
          <w:p>
            <w:pPr>
              <w:snapToGrid w:val="0"/>
              <w:rPr>
                <w:snapToGrid w:val="0"/>
                <w:kern w:val="2"/>
                <w:szCs w:val="21"/>
              </w:rPr>
            </w:pPr>
          </w:p>
        </w:tc>
        <w:tc>
          <w:tcPr>
            <w:tcW w:w="1039" w:type="dxa"/>
          </w:tcPr>
          <w:p>
            <w:pPr>
              <w:snapToGrid w:val="0"/>
              <w:rPr>
                <w:snapToGrid w:val="0"/>
                <w:kern w:val="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693" w:type="dxa"/>
          </w:tcPr>
          <w:p>
            <w:pPr>
              <w:snapToGrid w:val="0"/>
              <w:rPr>
                <w:snapToGrid w:val="0"/>
                <w:kern w:val="2"/>
                <w:szCs w:val="21"/>
              </w:rPr>
            </w:pPr>
          </w:p>
        </w:tc>
        <w:tc>
          <w:tcPr>
            <w:tcW w:w="705" w:type="dxa"/>
          </w:tcPr>
          <w:p>
            <w:pPr>
              <w:snapToGrid w:val="0"/>
              <w:rPr>
                <w:snapToGrid w:val="0"/>
                <w:kern w:val="2"/>
                <w:szCs w:val="21"/>
              </w:rPr>
            </w:pPr>
          </w:p>
        </w:tc>
        <w:tc>
          <w:tcPr>
            <w:tcW w:w="864" w:type="dxa"/>
          </w:tcPr>
          <w:p>
            <w:pPr>
              <w:snapToGrid w:val="0"/>
              <w:rPr>
                <w:snapToGrid w:val="0"/>
                <w:kern w:val="2"/>
                <w:szCs w:val="21"/>
              </w:rPr>
            </w:pPr>
          </w:p>
        </w:tc>
        <w:tc>
          <w:tcPr>
            <w:tcW w:w="1409" w:type="dxa"/>
          </w:tcPr>
          <w:p>
            <w:pPr>
              <w:snapToGrid w:val="0"/>
              <w:rPr>
                <w:snapToGrid w:val="0"/>
                <w:kern w:val="2"/>
                <w:szCs w:val="21"/>
              </w:rPr>
            </w:pPr>
          </w:p>
        </w:tc>
        <w:tc>
          <w:tcPr>
            <w:tcW w:w="875" w:type="dxa"/>
          </w:tcPr>
          <w:p>
            <w:pPr>
              <w:snapToGrid w:val="0"/>
              <w:rPr>
                <w:snapToGrid w:val="0"/>
                <w:kern w:val="2"/>
                <w:szCs w:val="21"/>
              </w:rPr>
            </w:pPr>
          </w:p>
        </w:tc>
        <w:tc>
          <w:tcPr>
            <w:tcW w:w="1050" w:type="dxa"/>
          </w:tcPr>
          <w:p>
            <w:pPr>
              <w:snapToGrid w:val="0"/>
              <w:rPr>
                <w:snapToGrid w:val="0"/>
                <w:kern w:val="2"/>
                <w:szCs w:val="21"/>
              </w:rPr>
            </w:pPr>
          </w:p>
        </w:tc>
        <w:tc>
          <w:tcPr>
            <w:tcW w:w="1250" w:type="dxa"/>
          </w:tcPr>
          <w:p>
            <w:pPr>
              <w:snapToGrid w:val="0"/>
              <w:rPr>
                <w:snapToGrid w:val="0"/>
                <w:kern w:val="2"/>
                <w:szCs w:val="21"/>
              </w:rPr>
            </w:pPr>
          </w:p>
        </w:tc>
        <w:tc>
          <w:tcPr>
            <w:tcW w:w="1290" w:type="dxa"/>
          </w:tcPr>
          <w:p>
            <w:pPr>
              <w:snapToGrid w:val="0"/>
              <w:rPr>
                <w:snapToGrid w:val="0"/>
                <w:kern w:val="2"/>
                <w:szCs w:val="21"/>
              </w:rPr>
            </w:pPr>
          </w:p>
        </w:tc>
        <w:tc>
          <w:tcPr>
            <w:tcW w:w="1039" w:type="dxa"/>
          </w:tcPr>
          <w:p>
            <w:pPr>
              <w:snapToGrid w:val="0"/>
              <w:rPr>
                <w:snapToGrid w:val="0"/>
                <w:kern w:val="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693" w:type="dxa"/>
          </w:tcPr>
          <w:p>
            <w:pPr>
              <w:snapToGrid w:val="0"/>
              <w:rPr>
                <w:snapToGrid w:val="0"/>
                <w:kern w:val="2"/>
                <w:szCs w:val="21"/>
              </w:rPr>
            </w:pPr>
          </w:p>
        </w:tc>
        <w:tc>
          <w:tcPr>
            <w:tcW w:w="705" w:type="dxa"/>
          </w:tcPr>
          <w:p>
            <w:pPr>
              <w:snapToGrid w:val="0"/>
              <w:rPr>
                <w:snapToGrid w:val="0"/>
                <w:kern w:val="2"/>
                <w:szCs w:val="21"/>
              </w:rPr>
            </w:pPr>
          </w:p>
        </w:tc>
        <w:tc>
          <w:tcPr>
            <w:tcW w:w="864" w:type="dxa"/>
          </w:tcPr>
          <w:p>
            <w:pPr>
              <w:snapToGrid w:val="0"/>
              <w:rPr>
                <w:snapToGrid w:val="0"/>
                <w:kern w:val="2"/>
                <w:szCs w:val="21"/>
              </w:rPr>
            </w:pPr>
          </w:p>
        </w:tc>
        <w:tc>
          <w:tcPr>
            <w:tcW w:w="1409" w:type="dxa"/>
          </w:tcPr>
          <w:p>
            <w:pPr>
              <w:snapToGrid w:val="0"/>
              <w:rPr>
                <w:snapToGrid w:val="0"/>
                <w:kern w:val="2"/>
                <w:szCs w:val="21"/>
              </w:rPr>
            </w:pPr>
          </w:p>
        </w:tc>
        <w:tc>
          <w:tcPr>
            <w:tcW w:w="875" w:type="dxa"/>
          </w:tcPr>
          <w:p>
            <w:pPr>
              <w:snapToGrid w:val="0"/>
              <w:rPr>
                <w:snapToGrid w:val="0"/>
                <w:kern w:val="2"/>
                <w:szCs w:val="21"/>
              </w:rPr>
            </w:pPr>
          </w:p>
        </w:tc>
        <w:tc>
          <w:tcPr>
            <w:tcW w:w="1050" w:type="dxa"/>
          </w:tcPr>
          <w:p>
            <w:pPr>
              <w:snapToGrid w:val="0"/>
              <w:rPr>
                <w:snapToGrid w:val="0"/>
                <w:kern w:val="2"/>
                <w:szCs w:val="21"/>
              </w:rPr>
            </w:pPr>
          </w:p>
        </w:tc>
        <w:tc>
          <w:tcPr>
            <w:tcW w:w="1250" w:type="dxa"/>
          </w:tcPr>
          <w:p>
            <w:pPr>
              <w:snapToGrid w:val="0"/>
              <w:rPr>
                <w:snapToGrid w:val="0"/>
                <w:kern w:val="2"/>
                <w:szCs w:val="21"/>
              </w:rPr>
            </w:pPr>
          </w:p>
        </w:tc>
        <w:tc>
          <w:tcPr>
            <w:tcW w:w="1290" w:type="dxa"/>
          </w:tcPr>
          <w:p>
            <w:pPr>
              <w:snapToGrid w:val="0"/>
              <w:rPr>
                <w:snapToGrid w:val="0"/>
                <w:kern w:val="2"/>
                <w:szCs w:val="21"/>
              </w:rPr>
            </w:pPr>
          </w:p>
        </w:tc>
        <w:tc>
          <w:tcPr>
            <w:tcW w:w="1039" w:type="dxa"/>
          </w:tcPr>
          <w:p>
            <w:pPr>
              <w:snapToGrid w:val="0"/>
              <w:rPr>
                <w:snapToGrid w:val="0"/>
                <w:kern w:val="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693" w:type="dxa"/>
          </w:tcPr>
          <w:p>
            <w:pPr>
              <w:snapToGrid w:val="0"/>
              <w:rPr>
                <w:snapToGrid w:val="0"/>
                <w:kern w:val="2"/>
                <w:szCs w:val="21"/>
              </w:rPr>
            </w:pPr>
          </w:p>
        </w:tc>
        <w:tc>
          <w:tcPr>
            <w:tcW w:w="705" w:type="dxa"/>
          </w:tcPr>
          <w:p>
            <w:pPr>
              <w:snapToGrid w:val="0"/>
              <w:rPr>
                <w:snapToGrid w:val="0"/>
                <w:kern w:val="2"/>
                <w:szCs w:val="21"/>
              </w:rPr>
            </w:pPr>
          </w:p>
        </w:tc>
        <w:tc>
          <w:tcPr>
            <w:tcW w:w="864" w:type="dxa"/>
          </w:tcPr>
          <w:p>
            <w:pPr>
              <w:snapToGrid w:val="0"/>
              <w:rPr>
                <w:snapToGrid w:val="0"/>
                <w:kern w:val="2"/>
                <w:szCs w:val="21"/>
              </w:rPr>
            </w:pPr>
          </w:p>
        </w:tc>
        <w:tc>
          <w:tcPr>
            <w:tcW w:w="1409" w:type="dxa"/>
          </w:tcPr>
          <w:p>
            <w:pPr>
              <w:snapToGrid w:val="0"/>
              <w:rPr>
                <w:snapToGrid w:val="0"/>
                <w:kern w:val="2"/>
                <w:szCs w:val="21"/>
              </w:rPr>
            </w:pPr>
          </w:p>
        </w:tc>
        <w:tc>
          <w:tcPr>
            <w:tcW w:w="875" w:type="dxa"/>
          </w:tcPr>
          <w:p>
            <w:pPr>
              <w:snapToGrid w:val="0"/>
              <w:rPr>
                <w:snapToGrid w:val="0"/>
                <w:kern w:val="2"/>
                <w:szCs w:val="21"/>
              </w:rPr>
            </w:pPr>
          </w:p>
        </w:tc>
        <w:tc>
          <w:tcPr>
            <w:tcW w:w="1050" w:type="dxa"/>
          </w:tcPr>
          <w:p>
            <w:pPr>
              <w:snapToGrid w:val="0"/>
              <w:rPr>
                <w:snapToGrid w:val="0"/>
                <w:kern w:val="2"/>
                <w:szCs w:val="21"/>
              </w:rPr>
            </w:pPr>
          </w:p>
        </w:tc>
        <w:tc>
          <w:tcPr>
            <w:tcW w:w="1250" w:type="dxa"/>
          </w:tcPr>
          <w:p>
            <w:pPr>
              <w:snapToGrid w:val="0"/>
              <w:rPr>
                <w:snapToGrid w:val="0"/>
                <w:kern w:val="2"/>
                <w:szCs w:val="21"/>
              </w:rPr>
            </w:pPr>
          </w:p>
        </w:tc>
        <w:tc>
          <w:tcPr>
            <w:tcW w:w="1290" w:type="dxa"/>
          </w:tcPr>
          <w:p>
            <w:pPr>
              <w:snapToGrid w:val="0"/>
              <w:rPr>
                <w:snapToGrid w:val="0"/>
                <w:kern w:val="2"/>
                <w:szCs w:val="21"/>
              </w:rPr>
            </w:pPr>
          </w:p>
        </w:tc>
        <w:tc>
          <w:tcPr>
            <w:tcW w:w="1039" w:type="dxa"/>
          </w:tcPr>
          <w:p>
            <w:pPr>
              <w:snapToGrid w:val="0"/>
              <w:rPr>
                <w:snapToGrid w:val="0"/>
                <w:kern w:val="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693" w:type="dxa"/>
          </w:tcPr>
          <w:p>
            <w:pPr>
              <w:snapToGrid w:val="0"/>
              <w:rPr>
                <w:snapToGrid w:val="0"/>
                <w:kern w:val="2"/>
                <w:szCs w:val="21"/>
              </w:rPr>
            </w:pPr>
          </w:p>
        </w:tc>
        <w:tc>
          <w:tcPr>
            <w:tcW w:w="705" w:type="dxa"/>
          </w:tcPr>
          <w:p>
            <w:pPr>
              <w:snapToGrid w:val="0"/>
              <w:rPr>
                <w:snapToGrid w:val="0"/>
                <w:kern w:val="2"/>
                <w:szCs w:val="21"/>
              </w:rPr>
            </w:pPr>
          </w:p>
        </w:tc>
        <w:tc>
          <w:tcPr>
            <w:tcW w:w="864" w:type="dxa"/>
          </w:tcPr>
          <w:p>
            <w:pPr>
              <w:snapToGrid w:val="0"/>
              <w:rPr>
                <w:snapToGrid w:val="0"/>
                <w:kern w:val="2"/>
                <w:szCs w:val="21"/>
              </w:rPr>
            </w:pPr>
          </w:p>
        </w:tc>
        <w:tc>
          <w:tcPr>
            <w:tcW w:w="1409" w:type="dxa"/>
          </w:tcPr>
          <w:p>
            <w:pPr>
              <w:snapToGrid w:val="0"/>
              <w:rPr>
                <w:snapToGrid w:val="0"/>
                <w:kern w:val="2"/>
                <w:szCs w:val="21"/>
              </w:rPr>
            </w:pPr>
          </w:p>
        </w:tc>
        <w:tc>
          <w:tcPr>
            <w:tcW w:w="875" w:type="dxa"/>
          </w:tcPr>
          <w:p>
            <w:pPr>
              <w:snapToGrid w:val="0"/>
              <w:rPr>
                <w:snapToGrid w:val="0"/>
                <w:kern w:val="2"/>
                <w:szCs w:val="21"/>
              </w:rPr>
            </w:pPr>
          </w:p>
        </w:tc>
        <w:tc>
          <w:tcPr>
            <w:tcW w:w="1050" w:type="dxa"/>
          </w:tcPr>
          <w:p>
            <w:pPr>
              <w:snapToGrid w:val="0"/>
              <w:rPr>
                <w:snapToGrid w:val="0"/>
                <w:kern w:val="2"/>
                <w:szCs w:val="21"/>
              </w:rPr>
            </w:pPr>
          </w:p>
        </w:tc>
        <w:tc>
          <w:tcPr>
            <w:tcW w:w="1250" w:type="dxa"/>
          </w:tcPr>
          <w:p>
            <w:pPr>
              <w:snapToGrid w:val="0"/>
              <w:rPr>
                <w:snapToGrid w:val="0"/>
                <w:kern w:val="2"/>
                <w:szCs w:val="21"/>
              </w:rPr>
            </w:pPr>
          </w:p>
        </w:tc>
        <w:tc>
          <w:tcPr>
            <w:tcW w:w="1290" w:type="dxa"/>
          </w:tcPr>
          <w:p>
            <w:pPr>
              <w:snapToGrid w:val="0"/>
              <w:rPr>
                <w:snapToGrid w:val="0"/>
                <w:kern w:val="2"/>
                <w:szCs w:val="21"/>
              </w:rPr>
            </w:pPr>
          </w:p>
        </w:tc>
        <w:tc>
          <w:tcPr>
            <w:tcW w:w="1039" w:type="dxa"/>
          </w:tcPr>
          <w:p>
            <w:pPr>
              <w:snapToGrid w:val="0"/>
              <w:rPr>
                <w:snapToGrid w:val="0"/>
                <w:kern w:val="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693" w:type="dxa"/>
          </w:tcPr>
          <w:p>
            <w:pPr>
              <w:snapToGrid w:val="0"/>
              <w:rPr>
                <w:snapToGrid w:val="0"/>
                <w:kern w:val="2"/>
                <w:szCs w:val="21"/>
              </w:rPr>
            </w:pPr>
          </w:p>
        </w:tc>
        <w:tc>
          <w:tcPr>
            <w:tcW w:w="705" w:type="dxa"/>
          </w:tcPr>
          <w:p>
            <w:pPr>
              <w:snapToGrid w:val="0"/>
              <w:rPr>
                <w:snapToGrid w:val="0"/>
                <w:kern w:val="2"/>
                <w:szCs w:val="21"/>
              </w:rPr>
            </w:pPr>
          </w:p>
        </w:tc>
        <w:tc>
          <w:tcPr>
            <w:tcW w:w="864" w:type="dxa"/>
          </w:tcPr>
          <w:p>
            <w:pPr>
              <w:snapToGrid w:val="0"/>
              <w:rPr>
                <w:snapToGrid w:val="0"/>
                <w:kern w:val="2"/>
                <w:szCs w:val="21"/>
              </w:rPr>
            </w:pPr>
          </w:p>
        </w:tc>
        <w:tc>
          <w:tcPr>
            <w:tcW w:w="1409" w:type="dxa"/>
          </w:tcPr>
          <w:p>
            <w:pPr>
              <w:snapToGrid w:val="0"/>
              <w:rPr>
                <w:snapToGrid w:val="0"/>
                <w:kern w:val="2"/>
                <w:szCs w:val="21"/>
              </w:rPr>
            </w:pPr>
          </w:p>
        </w:tc>
        <w:tc>
          <w:tcPr>
            <w:tcW w:w="875" w:type="dxa"/>
          </w:tcPr>
          <w:p>
            <w:pPr>
              <w:snapToGrid w:val="0"/>
              <w:rPr>
                <w:snapToGrid w:val="0"/>
                <w:kern w:val="2"/>
                <w:szCs w:val="21"/>
              </w:rPr>
            </w:pPr>
          </w:p>
        </w:tc>
        <w:tc>
          <w:tcPr>
            <w:tcW w:w="1050" w:type="dxa"/>
          </w:tcPr>
          <w:p>
            <w:pPr>
              <w:snapToGrid w:val="0"/>
              <w:rPr>
                <w:snapToGrid w:val="0"/>
                <w:kern w:val="2"/>
                <w:szCs w:val="21"/>
              </w:rPr>
            </w:pPr>
          </w:p>
        </w:tc>
        <w:tc>
          <w:tcPr>
            <w:tcW w:w="1250" w:type="dxa"/>
          </w:tcPr>
          <w:p>
            <w:pPr>
              <w:snapToGrid w:val="0"/>
              <w:rPr>
                <w:snapToGrid w:val="0"/>
                <w:kern w:val="2"/>
                <w:szCs w:val="21"/>
              </w:rPr>
            </w:pPr>
          </w:p>
        </w:tc>
        <w:tc>
          <w:tcPr>
            <w:tcW w:w="1290" w:type="dxa"/>
          </w:tcPr>
          <w:p>
            <w:pPr>
              <w:snapToGrid w:val="0"/>
              <w:rPr>
                <w:snapToGrid w:val="0"/>
                <w:kern w:val="2"/>
                <w:szCs w:val="21"/>
              </w:rPr>
            </w:pPr>
          </w:p>
        </w:tc>
        <w:tc>
          <w:tcPr>
            <w:tcW w:w="1039" w:type="dxa"/>
          </w:tcPr>
          <w:p>
            <w:pPr>
              <w:snapToGrid w:val="0"/>
              <w:rPr>
                <w:snapToGrid w:val="0"/>
                <w:kern w:val="2"/>
                <w:szCs w:val="21"/>
              </w:rPr>
            </w:pPr>
          </w:p>
        </w:tc>
      </w:tr>
    </w:tbl>
    <w:p>
      <w:pPr>
        <w:ind w:firstLine="480" w:firstLineChars="200"/>
        <w:rPr>
          <w:snapToGrid w:val="0"/>
          <w:szCs w:val="21"/>
        </w:rPr>
      </w:pPr>
    </w:p>
    <w:p>
      <w:pPr>
        <w:rPr>
          <w:snapToGrid w:val="0"/>
          <w:szCs w:val="21"/>
        </w:rPr>
      </w:pPr>
    </w:p>
    <w:p>
      <w:pPr>
        <w:pStyle w:val="7"/>
        <w:rPr>
          <w:rFonts w:ascii="黑体" w:hAnsi="黑体" w:eastAsia="黑体"/>
          <w:szCs w:val="24"/>
        </w:rPr>
      </w:pPr>
      <w:r>
        <w:rPr>
          <w:rFonts w:ascii="黑体" w:hAnsi="黑体" w:eastAsia="黑体"/>
          <w:szCs w:val="24"/>
        </w:rPr>
        <w:br w:type="page"/>
      </w:r>
      <w:r>
        <w:rPr>
          <w:rFonts w:ascii="黑体" w:hAnsi="黑体" w:eastAsia="黑体"/>
          <w:szCs w:val="24"/>
        </w:rPr>
        <w:t>（二）主要人员简历表</w:t>
      </w:r>
    </w:p>
    <w:p>
      <w:pPr>
        <w:pStyle w:val="4"/>
        <w:rPr>
          <w:snapToGrid w:val="0"/>
        </w:rPr>
      </w:pPr>
    </w:p>
    <w:tbl>
      <w:tblPr>
        <w:tblStyle w:val="24"/>
        <w:tblW w:w="8736" w:type="dxa"/>
        <w:tblInd w:w="108"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
      <w:tblGrid>
        <w:gridCol w:w="1181"/>
        <w:gridCol w:w="322"/>
        <w:gridCol w:w="1234"/>
        <w:gridCol w:w="748"/>
        <w:gridCol w:w="1243"/>
        <w:gridCol w:w="111"/>
        <w:gridCol w:w="1302"/>
        <w:gridCol w:w="1076"/>
        <w:gridCol w:w="151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463" w:hRule="atLeast"/>
        </w:trPr>
        <w:tc>
          <w:tcPr>
            <w:tcW w:w="1503" w:type="dxa"/>
            <w:gridSpan w:val="2"/>
            <w:vAlign w:val="center"/>
          </w:tcPr>
          <w:p>
            <w:pPr>
              <w:snapToGrid w:val="0"/>
              <w:jc w:val="center"/>
              <w:rPr>
                <w:snapToGrid w:val="0"/>
                <w:kern w:val="2"/>
                <w:szCs w:val="21"/>
              </w:rPr>
            </w:pPr>
            <w:bookmarkStart w:id="776" w:name="_Toc184635146"/>
            <w:r>
              <w:rPr>
                <w:snapToGrid w:val="0"/>
                <w:kern w:val="2"/>
                <w:szCs w:val="21"/>
              </w:rPr>
              <w:t>姓名</w:t>
            </w:r>
          </w:p>
        </w:tc>
        <w:tc>
          <w:tcPr>
            <w:tcW w:w="1234" w:type="dxa"/>
            <w:vAlign w:val="center"/>
          </w:tcPr>
          <w:p>
            <w:pPr>
              <w:snapToGrid w:val="0"/>
              <w:jc w:val="center"/>
              <w:rPr>
                <w:snapToGrid w:val="0"/>
                <w:kern w:val="2"/>
                <w:szCs w:val="21"/>
              </w:rPr>
            </w:pPr>
          </w:p>
        </w:tc>
        <w:tc>
          <w:tcPr>
            <w:tcW w:w="748" w:type="dxa"/>
            <w:vAlign w:val="center"/>
          </w:tcPr>
          <w:p>
            <w:pPr>
              <w:snapToGrid w:val="0"/>
              <w:jc w:val="center"/>
              <w:rPr>
                <w:snapToGrid w:val="0"/>
                <w:kern w:val="2"/>
                <w:szCs w:val="21"/>
              </w:rPr>
            </w:pPr>
            <w:r>
              <w:rPr>
                <w:snapToGrid w:val="0"/>
                <w:kern w:val="2"/>
                <w:szCs w:val="21"/>
              </w:rPr>
              <w:t>年龄</w:t>
            </w:r>
          </w:p>
        </w:tc>
        <w:tc>
          <w:tcPr>
            <w:tcW w:w="1243" w:type="dxa"/>
            <w:vAlign w:val="center"/>
          </w:tcPr>
          <w:p>
            <w:pPr>
              <w:snapToGrid w:val="0"/>
              <w:jc w:val="center"/>
              <w:rPr>
                <w:snapToGrid w:val="0"/>
                <w:kern w:val="2"/>
                <w:szCs w:val="21"/>
              </w:rPr>
            </w:pPr>
          </w:p>
        </w:tc>
        <w:tc>
          <w:tcPr>
            <w:tcW w:w="2489" w:type="dxa"/>
            <w:gridSpan w:val="3"/>
            <w:vAlign w:val="center"/>
          </w:tcPr>
          <w:p>
            <w:pPr>
              <w:snapToGrid w:val="0"/>
              <w:jc w:val="center"/>
              <w:rPr>
                <w:snapToGrid w:val="0"/>
                <w:kern w:val="2"/>
                <w:szCs w:val="21"/>
              </w:rPr>
            </w:pPr>
            <w:r>
              <w:rPr>
                <w:snapToGrid w:val="0"/>
                <w:kern w:val="2"/>
                <w:szCs w:val="21"/>
              </w:rPr>
              <w:t>学历</w:t>
            </w:r>
          </w:p>
        </w:tc>
        <w:tc>
          <w:tcPr>
            <w:tcW w:w="1519" w:type="dxa"/>
            <w:vAlign w:val="center"/>
          </w:tcPr>
          <w:p>
            <w:pPr>
              <w:snapToGrid w:val="0"/>
              <w:jc w:val="center"/>
              <w:rPr>
                <w:snapToGrid w:val="0"/>
                <w:kern w:val="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451" w:hRule="atLeast"/>
        </w:trPr>
        <w:tc>
          <w:tcPr>
            <w:tcW w:w="1503" w:type="dxa"/>
            <w:gridSpan w:val="2"/>
            <w:vAlign w:val="center"/>
          </w:tcPr>
          <w:p>
            <w:pPr>
              <w:snapToGrid w:val="0"/>
              <w:jc w:val="center"/>
              <w:rPr>
                <w:snapToGrid w:val="0"/>
                <w:kern w:val="2"/>
                <w:szCs w:val="21"/>
              </w:rPr>
            </w:pPr>
            <w:r>
              <w:rPr>
                <w:rFonts w:hint="eastAsia"/>
                <w:snapToGrid w:val="0"/>
                <w:kern w:val="2"/>
                <w:szCs w:val="21"/>
              </w:rPr>
              <w:t>执业资格</w:t>
            </w:r>
          </w:p>
        </w:tc>
        <w:tc>
          <w:tcPr>
            <w:tcW w:w="3225" w:type="dxa"/>
            <w:gridSpan w:val="3"/>
            <w:vAlign w:val="center"/>
          </w:tcPr>
          <w:p>
            <w:pPr>
              <w:snapToGrid w:val="0"/>
              <w:jc w:val="center"/>
              <w:rPr>
                <w:snapToGrid w:val="0"/>
                <w:kern w:val="2"/>
                <w:szCs w:val="21"/>
              </w:rPr>
            </w:pPr>
          </w:p>
        </w:tc>
        <w:tc>
          <w:tcPr>
            <w:tcW w:w="2489" w:type="dxa"/>
            <w:gridSpan w:val="3"/>
            <w:vAlign w:val="center"/>
          </w:tcPr>
          <w:p>
            <w:pPr>
              <w:snapToGrid w:val="0"/>
              <w:jc w:val="center"/>
              <w:rPr>
                <w:snapToGrid w:val="0"/>
                <w:kern w:val="2"/>
                <w:szCs w:val="21"/>
              </w:rPr>
            </w:pPr>
            <w:r>
              <w:rPr>
                <w:rFonts w:hint="eastAsia"/>
                <w:snapToGrid w:val="0"/>
                <w:kern w:val="2"/>
                <w:szCs w:val="21"/>
              </w:rPr>
              <w:t>安全生产考核合格证书</w:t>
            </w:r>
          </w:p>
        </w:tc>
        <w:tc>
          <w:tcPr>
            <w:tcW w:w="1519" w:type="dxa"/>
            <w:vAlign w:val="center"/>
          </w:tcPr>
          <w:p>
            <w:pPr>
              <w:snapToGrid w:val="0"/>
              <w:jc w:val="center"/>
              <w:rPr>
                <w:snapToGrid w:val="0"/>
                <w:kern w:val="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451" w:hRule="atLeast"/>
        </w:trPr>
        <w:tc>
          <w:tcPr>
            <w:tcW w:w="1503" w:type="dxa"/>
            <w:gridSpan w:val="2"/>
            <w:vAlign w:val="center"/>
          </w:tcPr>
          <w:p>
            <w:pPr>
              <w:snapToGrid w:val="0"/>
              <w:jc w:val="center"/>
              <w:rPr>
                <w:snapToGrid w:val="0"/>
                <w:kern w:val="2"/>
                <w:szCs w:val="21"/>
              </w:rPr>
            </w:pPr>
            <w:r>
              <w:rPr>
                <w:snapToGrid w:val="0"/>
                <w:kern w:val="2"/>
                <w:szCs w:val="21"/>
              </w:rPr>
              <w:t>职称</w:t>
            </w:r>
          </w:p>
        </w:tc>
        <w:tc>
          <w:tcPr>
            <w:tcW w:w="1234" w:type="dxa"/>
            <w:vAlign w:val="center"/>
          </w:tcPr>
          <w:p>
            <w:pPr>
              <w:snapToGrid w:val="0"/>
              <w:jc w:val="center"/>
              <w:rPr>
                <w:snapToGrid w:val="0"/>
                <w:kern w:val="2"/>
                <w:szCs w:val="21"/>
              </w:rPr>
            </w:pPr>
          </w:p>
        </w:tc>
        <w:tc>
          <w:tcPr>
            <w:tcW w:w="748" w:type="dxa"/>
            <w:vAlign w:val="center"/>
          </w:tcPr>
          <w:p>
            <w:pPr>
              <w:snapToGrid w:val="0"/>
              <w:jc w:val="center"/>
              <w:rPr>
                <w:snapToGrid w:val="0"/>
                <w:kern w:val="2"/>
                <w:szCs w:val="21"/>
              </w:rPr>
            </w:pPr>
            <w:r>
              <w:rPr>
                <w:snapToGrid w:val="0"/>
                <w:kern w:val="2"/>
                <w:szCs w:val="21"/>
              </w:rPr>
              <w:t>职务</w:t>
            </w:r>
          </w:p>
        </w:tc>
        <w:tc>
          <w:tcPr>
            <w:tcW w:w="1243" w:type="dxa"/>
            <w:vAlign w:val="center"/>
          </w:tcPr>
          <w:p>
            <w:pPr>
              <w:snapToGrid w:val="0"/>
              <w:jc w:val="center"/>
              <w:rPr>
                <w:snapToGrid w:val="0"/>
                <w:kern w:val="2"/>
                <w:szCs w:val="21"/>
              </w:rPr>
            </w:pPr>
          </w:p>
        </w:tc>
        <w:tc>
          <w:tcPr>
            <w:tcW w:w="2489" w:type="dxa"/>
            <w:gridSpan w:val="3"/>
            <w:vAlign w:val="center"/>
          </w:tcPr>
          <w:p>
            <w:pPr>
              <w:snapToGrid w:val="0"/>
              <w:jc w:val="center"/>
              <w:rPr>
                <w:snapToGrid w:val="0"/>
                <w:kern w:val="2"/>
                <w:szCs w:val="21"/>
              </w:rPr>
            </w:pPr>
            <w:r>
              <w:rPr>
                <w:snapToGrid w:val="0"/>
                <w:kern w:val="2"/>
                <w:szCs w:val="21"/>
              </w:rPr>
              <w:t>拟在本合同任职</w:t>
            </w:r>
          </w:p>
        </w:tc>
        <w:tc>
          <w:tcPr>
            <w:tcW w:w="1519" w:type="dxa"/>
            <w:vAlign w:val="center"/>
          </w:tcPr>
          <w:p>
            <w:pPr>
              <w:snapToGrid w:val="0"/>
              <w:jc w:val="center"/>
              <w:rPr>
                <w:snapToGrid w:val="0"/>
                <w:kern w:val="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1503" w:type="dxa"/>
            <w:gridSpan w:val="2"/>
            <w:vAlign w:val="center"/>
          </w:tcPr>
          <w:p>
            <w:pPr>
              <w:snapToGrid w:val="0"/>
              <w:jc w:val="center"/>
              <w:rPr>
                <w:snapToGrid w:val="0"/>
                <w:kern w:val="2"/>
                <w:szCs w:val="21"/>
              </w:rPr>
            </w:pPr>
            <w:r>
              <w:rPr>
                <w:snapToGrid w:val="0"/>
                <w:kern w:val="2"/>
                <w:szCs w:val="21"/>
              </w:rPr>
              <w:t>毕业学校</w:t>
            </w:r>
          </w:p>
        </w:tc>
        <w:tc>
          <w:tcPr>
            <w:tcW w:w="7233" w:type="dxa"/>
            <w:gridSpan w:val="7"/>
            <w:vAlign w:val="center"/>
          </w:tcPr>
          <w:p>
            <w:pPr>
              <w:snapToGrid w:val="0"/>
              <w:ind w:firstLine="600" w:firstLineChars="250"/>
              <w:jc w:val="center"/>
              <w:rPr>
                <w:snapToGrid w:val="0"/>
                <w:kern w:val="2"/>
                <w:szCs w:val="21"/>
              </w:rPr>
            </w:pPr>
            <w:r>
              <w:rPr>
                <w:snapToGrid w:val="0"/>
                <w:kern w:val="2"/>
                <w:szCs w:val="21"/>
              </w:rPr>
              <w:t>年毕业于学校专业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613" w:hRule="atLeast"/>
        </w:trPr>
        <w:tc>
          <w:tcPr>
            <w:tcW w:w="8736" w:type="dxa"/>
            <w:gridSpan w:val="9"/>
            <w:vAlign w:val="center"/>
          </w:tcPr>
          <w:p>
            <w:pPr>
              <w:snapToGrid w:val="0"/>
              <w:jc w:val="center"/>
              <w:rPr>
                <w:snapToGrid w:val="0"/>
                <w:kern w:val="2"/>
                <w:szCs w:val="21"/>
              </w:rPr>
            </w:pPr>
            <w:r>
              <w:rPr>
                <w:snapToGrid w:val="0"/>
                <w:kern w:val="2"/>
                <w:szCs w:val="21"/>
              </w:rPr>
              <w:t>主要工作经历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613" w:hRule="atLeast"/>
        </w:trPr>
        <w:tc>
          <w:tcPr>
            <w:tcW w:w="1181" w:type="dxa"/>
            <w:vAlign w:val="center"/>
          </w:tcPr>
          <w:p>
            <w:pPr>
              <w:snapToGrid w:val="0"/>
              <w:jc w:val="center"/>
              <w:rPr>
                <w:snapToGrid w:val="0"/>
                <w:kern w:val="2"/>
                <w:szCs w:val="21"/>
              </w:rPr>
            </w:pPr>
            <w:r>
              <w:rPr>
                <w:snapToGrid w:val="0"/>
                <w:kern w:val="2"/>
                <w:szCs w:val="21"/>
              </w:rPr>
              <w:t>时间</w:t>
            </w:r>
          </w:p>
        </w:tc>
        <w:tc>
          <w:tcPr>
            <w:tcW w:w="3658" w:type="dxa"/>
            <w:gridSpan w:val="5"/>
            <w:vAlign w:val="center"/>
          </w:tcPr>
          <w:p>
            <w:pPr>
              <w:snapToGrid w:val="0"/>
              <w:jc w:val="center"/>
              <w:rPr>
                <w:snapToGrid w:val="0"/>
                <w:kern w:val="2"/>
                <w:szCs w:val="21"/>
              </w:rPr>
            </w:pPr>
            <w:r>
              <w:rPr>
                <w:snapToGrid w:val="0"/>
                <w:kern w:val="2"/>
                <w:szCs w:val="21"/>
              </w:rPr>
              <w:t>参加过的类似项目</w:t>
            </w:r>
          </w:p>
        </w:tc>
        <w:tc>
          <w:tcPr>
            <w:tcW w:w="1302" w:type="dxa"/>
            <w:vAlign w:val="center"/>
          </w:tcPr>
          <w:p>
            <w:pPr>
              <w:snapToGrid w:val="0"/>
              <w:jc w:val="center"/>
              <w:rPr>
                <w:snapToGrid w:val="0"/>
                <w:kern w:val="2"/>
                <w:szCs w:val="21"/>
              </w:rPr>
            </w:pPr>
            <w:r>
              <w:rPr>
                <w:snapToGrid w:val="0"/>
                <w:kern w:val="2"/>
                <w:szCs w:val="21"/>
              </w:rPr>
              <w:t>担任职务</w:t>
            </w:r>
          </w:p>
        </w:tc>
        <w:tc>
          <w:tcPr>
            <w:tcW w:w="2595" w:type="dxa"/>
            <w:gridSpan w:val="2"/>
            <w:vAlign w:val="center"/>
          </w:tcPr>
          <w:p>
            <w:pPr>
              <w:snapToGrid w:val="0"/>
              <w:jc w:val="center"/>
              <w:rPr>
                <w:snapToGrid w:val="0"/>
                <w:kern w:val="2"/>
                <w:szCs w:val="21"/>
              </w:rPr>
            </w:pPr>
            <w:r>
              <w:rPr>
                <w:snapToGrid w:val="0"/>
                <w:kern w:val="2"/>
                <w:szCs w:val="21"/>
              </w:rPr>
              <w:t>发包人及联系电话</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25" w:hRule="atLeast"/>
        </w:trPr>
        <w:tc>
          <w:tcPr>
            <w:tcW w:w="1181" w:type="dxa"/>
            <w:vAlign w:val="center"/>
          </w:tcPr>
          <w:p>
            <w:pPr>
              <w:snapToGrid w:val="0"/>
              <w:jc w:val="center"/>
              <w:rPr>
                <w:snapToGrid w:val="0"/>
                <w:kern w:val="2"/>
                <w:szCs w:val="21"/>
              </w:rPr>
            </w:pPr>
          </w:p>
        </w:tc>
        <w:tc>
          <w:tcPr>
            <w:tcW w:w="3658" w:type="dxa"/>
            <w:gridSpan w:val="5"/>
            <w:vAlign w:val="center"/>
          </w:tcPr>
          <w:p>
            <w:pPr>
              <w:snapToGrid w:val="0"/>
              <w:jc w:val="center"/>
              <w:rPr>
                <w:snapToGrid w:val="0"/>
                <w:kern w:val="2"/>
                <w:szCs w:val="21"/>
              </w:rPr>
            </w:pPr>
          </w:p>
        </w:tc>
        <w:tc>
          <w:tcPr>
            <w:tcW w:w="1302" w:type="dxa"/>
            <w:vAlign w:val="center"/>
          </w:tcPr>
          <w:p>
            <w:pPr>
              <w:snapToGrid w:val="0"/>
              <w:jc w:val="center"/>
              <w:rPr>
                <w:snapToGrid w:val="0"/>
                <w:kern w:val="2"/>
                <w:szCs w:val="21"/>
              </w:rPr>
            </w:pPr>
          </w:p>
        </w:tc>
        <w:tc>
          <w:tcPr>
            <w:tcW w:w="2595" w:type="dxa"/>
            <w:gridSpan w:val="2"/>
            <w:vAlign w:val="center"/>
          </w:tcPr>
          <w:p>
            <w:pPr>
              <w:snapToGrid w:val="0"/>
              <w:jc w:val="center"/>
              <w:rPr>
                <w:snapToGrid w:val="0"/>
                <w:kern w:val="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25" w:hRule="atLeast"/>
        </w:trPr>
        <w:tc>
          <w:tcPr>
            <w:tcW w:w="1181" w:type="dxa"/>
            <w:vAlign w:val="center"/>
          </w:tcPr>
          <w:p>
            <w:pPr>
              <w:snapToGrid w:val="0"/>
              <w:jc w:val="center"/>
              <w:rPr>
                <w:snapToGrid w:val="0"/>
                <w:kern w:val="2"/>
                <w:szCs w:val="21"/>
              </w:rPr>
            </w:pPr>
          </w:p>
        </w:tc>
        <w:tc>
          <w:tcPr>
            <w:tcW w:w="3658" w:type="dxa"/>
            <w:gridSpan w:val="5"/>
            <w:vAlign w:val="center"/>
          </w:tcPr>
          <w:p>
            <w:pPr>
              <w:snapToGrid w:val="0"/>
              <w:jc w:val="center"/>
              <w:rPr>
                <w:snapToGrid w:val="0"/>
                <w:kern w:val="2"/>
                <w:szCs w:val="21"/>
              </w:rPr>
            </w:pPr>
          </w:p>
        </w:tc>
        <w:tc>
          <w:tcPr>
            <w:tcW w:w="1302" w:type="dxa"/>
            <w:vAlign w:val="center"/>
          </w:tcPr>
          <w:p>
            <w:pPr>
              <w:snapToGrid w:val="0"/>
              <w:jc w:val="center"/>
              <w:rPr>
                <w:snapToGrid w:val="0"/>
                <w:kern w:val="2"/>
                <w:szCs w:val="21"/>
              </w:rPr>
            </w:pPr>
          </w:p>
        </w:tc>
        <w:tc>
          <w:tcPr>
            <w:tcW w:w="2595" w:type="dxa"/>
            <w:gridSpan w:val="2"/>
            <w:vAlign w:val="center"/>
          </w:tcPr>
          <w:p>
            <w:pPr>
              <w:snapToGrid w:val="0"/>
              <w:jc w:val="center"/>
              <w:rPr>
                <w:snapToGrid w:val="0"/>
                <w:kern w:val="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25" w:hRule="atLeast"/>
        </w:trPr>
        <w:tc>
          <w:tcPr>
            <w:tcW w:w="1181" w:type="dxa"/>
            <w:vAlign w:val="center"/>
          </w:tcPr>
          <w:p>
            <w:pPr>
              <w:snapToGrid w:val="0"/>
              <w:jc w:val="center"/>
              <w:rPr>
                <w:snapToGrid w:val="0"/>
                <w:kern w:val="2"/>
                <w:szCs w:val="21"/>
              </w:rPr>
            </w:pPr>
          </w:p>
        </w:tc>
        <w:tc>
          <w:tcPr>
            <w:tcW w:w="3658" w:type="dxa"/>
            <w:gridSpan w:val="5"/>
            <w:vAlign w:val="center"/>
          </w:tcPr>
          <w:p>
            <w:pPr>
              <w:snapToGrid w:val="0"/>
              <w:jc w:val="center"/>
              <w:rPr>
                <w:snapToGrid w:val="0"/>
                <w:kern w:val="2"/>
                <w:szCs w:val="21"/>
              </w:rPr>
            </w:pPr>
          </w:p>
        </w:tc>
        <w:tc>
          <w:tcPr>
            <w:tcW w:w="1302" w:type="dxa"/>
            <w:vAlign w:val="center"/>
          </w:tcPr>
          <w:p>
            <w:pPr>
              <w:snapToGrid w:val="0"/>
              <w:jc w:val="center"/>
              <w:rPr>
                <w:snapToGrid w:val="0"/>
                <w:kern w:val="2"/>
                <w:szCs w:val="21"/>
              </w:rPr>
            </w:pPr>
          </w:p>
        </w:tc>
        <w:tc>
          <w:tcPr>
            <w:tcW w:w="2595" w:type="dxa"/>
            <w:gridSpan w:val="2"/>
            <w:vAlign w:val="center"/>
          </w:tcPr>
          <w:p>
            <w:pPr>
              <w:snapToGrid w:val="0"/>
              <w:jc w:val="center"/>
              <w:rPr>
                <w:snapToGrid w:val="0"/>
                <w:kern w:val="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25" w:hRule="atLeast"/>
        </w:trPr>
        <w:tc>
          <w:tcPr>
            <w:tcW w:w="1181" w:type="dxa"/>
            <w:vAlign w:val="center"/>
          </w:tcPr>
          <w:p>
            <w:pPr>
              <w:snapToGrid w:val="0"/>
              <w:jc w:val="center"/>
              <w:rPr>
                <w:snapToGrid w:val="0"/>
                <w:kern w:val="2"/>
                <w:szCs w:val="21"/>
              </w:rPr>
            </w:pPr>
          </w:p>
        </w:tc>
        <w:tc>
          <w:tcPr>
            <w:tcW w:w="3658" w:type="dxa"/>
            <w:gridSpan w:val="5"/>
            <w:vAlign w:val="center"/>
          </w:tcPr>
          <w:p>
            <w:pPr>
              <w:snapToGrid w:val="0"/>
              <w:jc w:val="center"/>
              <w:rPr>
                <w:snapToGrid w:val="0"/>
                <w:kern w:val="2"/>
                <w:szCs w:val="21"/>
              </w:rPr>
            </w:pPr>
          </w:p>
        </w:tc>
        <w:tc>
          <w:tcPr>
            <w:tcW w:w="1302" w:type="dxa"/>
            <w:vAlign w:val="center"/>
          </w:tcPr>
          <w:p>
            <w:pPr>
              <w:snapToGrid w:val="0"/>
              <w:jc w:val="center"/>
              <w:rPr>
                <w:snapToGrid w:val="0"/>
                <w:kern w:val="2"/>
                <w:szCs w:val="21"/>
              </w:rPr>
            </w:pPr>
          </w:p>
        </w:tc>
        <w:tc>
          <w:tcPr>
            <w:tcW w:w="2595" w:type="dxa"/>
            <w:gridSpan w:val="2"/>
            <w:vAlign w:val="center"/>
          </w:tcPr>
          <w:p>
            <w:pPr>
              <w:snapToGrid w:val="0"/>
              <w:jc w:val="center"/>
              <w:rPr>
                <w:snapToGrid w:val="0"/>
                <w:kern w:val="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25" w:hRule="atLeast"/>
        </w:trPr>
        <w:tc>
          <w:tcPr>
            <w:tcW w:w="1181" w:type="dxa"/>
            <w:vAlign w:val="center"/>
          </w:tcPr>
          <w:p>
            <w:pPr>
              <w:snapToGrid w:val="0"/>
              <w:jc w:val="center"/>
              <w:rPr>
                <w:snapToGrid w:val="0"/>
                <w:kern w:val="2"/>
                <w:szCs w:val="21"/>
              </w:rPr>
            </w:pPr>
          </w:p>
        </w:tc>
        <w:tc>
          <w:tcPr>
            <w:tcW w:w="3658" w:type="dxa"/>
            <w:gridSpan w:val="5"/>
            <w:vAlign w:val="center"/>
          </w:tcPr>
          <w:p>
            <w:pPr>
              <w:snapToGrid w:val="0"/>
              <w:jc w:val="center"/>
              <w:rPr>
                <w:snapToGrid w:val="0"/>
                <w:kern w:val="2"/>
                <w:szCs w:val="21"/>
              </w:rPr>
            </w:pPr>
          </w:p>
        </w:tc>
        <w:tc>
          <w:tcPr>
            <w:tcW w:w="1302" w:type="dxa"/>
            <w:vAlign w:val="center"/>
          </w:tcPr>
          <w:p>
            <w:pPr>
              <w:snapToGrid w:val="0"/>
              <w:jc w:val="center"/>
              <w:rPr>
                <w:snapToGrid w:val="0"/>
                <w:kern w:val="2"/>
                <w:szCs w:val="21"/>
              </w:rPr>
            </w:pPr>
          </w:p>
        </w:tc>
        <w:tc>
          <w:tcPr>
            <w:tcW w:w="2595" w:type="dxa"/>
            <w:gridSpan w:val="2"/>
            <w:vAlign w:val="center"/>
          </w:tcPr>
          <w:p>
            <w:pPr>
              <w:snapToGrid w:val="0"/>
              <w:jc w:val="center"/>
              <w:rPr>
                <w:snapToGrid w:val="0"/>
                <w:kern w:val="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25" w:hRule="atLeast"/>
        </w:trPr>
        <w:tc>
          <w:tcPr>
            <w:tcW w:w="1181" w:type="dxa"/>
            <w:vAlign w:val="center"/>
          </w:tcPr>
          <w:p>
            <w:pPr>
              <w:snapToGrid w:val="0"/>
              <w:jc w:val="center"/>
              <w:rPr>
                <w:snapToGrid w:val="0"/>
                <w:kern w:val="2"/>
                <w:szCs w:val="21"/>
              </w:rPr>
            </w:pPr>
          </w:p>
        </w:tc>
        <w:tc>
          <w:tcPr>
            <w:tcW w:w="3658" w:type="dxa"/>
            <w:gridSpan w:val="5"/>
            <w:vAlign w:val="center"/>
          </w:tcPr>
          <w:p>
            <w:pPr>
              <w:snapToGrid w:val="0"/>
              <w:jc w:val="center"/>
              <w:rPr>
                <w:snapToGrid w:val="0"/>
                <w:kern w:val="2"/>
                <w:szCs w:val="21"/>
              </w:rPr>
            </w:pPr>
          </w:p>
        </w:tc>
        <w:tc>
          <w:tcPr>
            <w:tcW w:w="1302" w:type="dxa"/>
            <w:vAlign w:val="center"/>
          </w:tcPr>
          <w:p>
            <w:pPr>
              <w:snapToGrid w:val="0"/>
              <w:jc w:val="center"/>
              <w:rPr>
                <w:snapToGrid w:val="0"/>
                <w:kern w:val="2"/>
                <w:szCs w:val="21"/>
              </w:rPr>
            </w:pPr>
          </w:p>
        </w:tc>
        <w:tc>
          <w:tcPr>
            <w:tcW w:w="2595" w:type="dxa"/>
            <w:gridSpan w:val="2"/>
            <w:vAlign w:val="center"/>
          </w:tcPr>
          <w:p>
            <w:pPr>
              <w:snapToGrid w:val="0"/>
              <w:jc w:val="center"/>
              <w:rPr>
                <w:snapToGrid w:val="0"/>
                <w:kern w:val="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25" w:hRule="atLeast"/>
        </w:trPr>
        <w:tc>
          <w:tcPr>
            <w:tcW w:w="1181" w:type="dxa"/>
            <w:vAlign w:val="center"/>
          </w:tcPr>
          <w:p>
            <w:pPr>
              <w:snapToGrid w:val="0"/>
              <w:jc w:val="center"/>
              <w:rPr>
                <w:snapToGrid w:val="0"/>
                <w:kern w:val="2"/>
                <w:szCs w:val="21"/>
              </w:rPr>
            </w:pPr>
          </w:p>
        </w:tc>
        <w:tc>
          <w:tcPr>
            <w:tcW w:w="3658" w:type="dxa"/>
            <w:gridSpan w:val="5"/>
            <w:vAlign w:val="center"/>
          </w:tcPr>
          <w:p>
            <w:pPr>
              <w:snapToGrid w:val="0"/>
              <w:jc w:val="center"/>
              <w:rPr>
                <w:snapToGrid w:val="0"/>
                <w:kern w:val="2"/>
                <w:szCs w:val="21"/>
              </w:rPr>
            </w:pPr>
          </w:p>
        </w:tc>
        <w:tc>
          <w:tcPr>
            <w:tcW w:w="1302" w:type="dxa"/>
            <w:vAlign w:val="center"/>
          </w:tcPr>
          <w:p>
            <w:pPr>
              <w:snapToGrid w:val="0"/>
              <w:jc w:val="center"/>
              <w:rPr>
                <w:snapToGrid w:val="0"/>
                <w:kern w:val="2"/>
                <w:szCs w:val="21"/>
              </w:rPr>
            </w:pPr>
          </w:p>
        </w:tc>
        <w:tc>
          <w:tcPr>
            <w:tcW w:w="2595" w:type="dxa"/>
            <w:gridSpan w:val="2"/>
            <w:vAlign w:val="center"/>
          </w:tcPr>
          <w:p>
            <w:pPr>
              <w:snapToGrid w:val="0"/>
              <w:jc w:val="center"/>
              <w:rPr>
                <w:snapToGrid w:val="0"/>
                <w:kern w:val="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25" w:hRule="atLeast"/>
        </w:trPr>
        <w:tc>
          <w:tcPr>
            <w:tcW w:w="1181" w:type="dxa"/>
            <w:vAlign w:val="center"/>
          </w:tcPr>
          <w:p>
            <w:pPr>
              <w:snapToGrid w:val="0"/>
              <w:jc w:val="center"/>
              <w:rPr>
                <w:snapToGrid w:val="0"/>
                <w:kern w:val="2"/>
                <w:szCs w:val="21"/>
              </w:rPr>
            </w:pPr>
          </w:p>
        </w:tc>
        <w:tc>
          <w:tcPr>
            <w:tcW w:w="3658" w:type="dxa"/>
            <w:gridSpan w:val="5"/>
            <w:vAlign w:val="center"/>
          </w:tcPr>
          <w:p>
            <w:pPr>
              <w:snapToGrid w:val="0"/>
              <w:jc w:val="center"/>
              <w:rPr>
                <w:snapToGrid w:val="0"/>
                <w:kern w:val="2"/>
                <w:szCs w:val="21"/>
              </w:rPr>
            </w:pPr>
          </w:p>
        </w:tc>
        <w:tc>
          <w:tcPr>
            <w:tcW w:w="1302" w:type="dxa"/>
            <w:vAlign w:val="center"/>
          </w:tcPr>
          <w:p>
            <w:pPr>
              <w:snapToGrid w:val="0"/>
              <w:jc w:val="center"/>
              <w:rPr>
                <w:snapToGrid w:val="0"/>
                <w:kern w:val="2"/>
                <w:szCs w:val="21"/>
              </w:rPr>
            </w:pPr>
          </w:p>
        </w:tc>
        <w:tc>
          <w:tcPr>
            <w:tcW w:w="2595" w:type="dxa"/>
            <w:gridSpan w:val="2"/>
            <w:vAlign w:val="center"/>
          </w:tcPr>
          <w:p>
            <w:pPr>
              <w:snapToGrid w:val="0"/>
              <w:jc w:val="center"/>
              <w:rPr>
                <w:snapToGrid w:val="0"/>
                <w:kern w:val="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25" w:hRule="atLeast"/>
        </w:trPr>
        <w:tc>
          <w:tcPr>
            <w:tcW w:w="1181" w:type="dxa"/>
            <w:vAlign w:val="center"/>
          </w:tcPr>
          <w:p>
            <w:pPr>
              <w:snapToGrid w:val="0"/>
              <w:jc w:val="center"/>
              <w:rPr>
                <w:snapToGrid w:val="0"/>
                <w:kern w:val="2"/>
                <w:szCs w:val="21"/>
              </w:rPr>
            </w:pPr>
          </w:p>
        </w:tc>
        <w:tc>
          <w:tcPr>
            <w:tcW w:w="3658" w:type="dxa"/>
            <w:gridSpan w:val="5"/>
            <w:vAlign w:val="center"/>
          </w:tcPr>
          <w:p>
            <w:pPr>
              <w:snapToGrid w:val="0"/>
              <w:jc w:val="center"/>
              <w:rPr>
                <w:snapToGrid w:val="0"/>
                <w:kern w:val="2"/>
                <w:szCs w:val="21"/>
              </w:rPr>
            </w:pPr>
          </w:p>
        </w:tc>
        <w:tc>
          <w:tcPr>
            <w:tcW w:w="1302" w:type="dxa"/>
            <w:vAlign w:val="center"/>
          </w:tcPr>
          <w:p>
            <w:pPr>
              <w:snapToGrid w:val="0"/>
              <w:jc w:val="center"/>
              <w:rPr>
                <w:snapToGrid w:val="0"/>
                <w:kern w:val="2"/>
                <w:szCs w:val="21"/>
              </w:rPr>
            </w:pPr>
          </w:p>
        </w:tc>
        <w:tc>
          <w:tcPr>
            <w:tcW w:w="2595" w:type="dxa"/>
            <w:gridSpan w:val="2"/>
            <w:vAlign w:val="center"/>
          </w:tcPr>
          <w:p>
            <w:pPr>
              <w:snapToGrid w:val="0"/>
              <w:jc w:val="center"/>
              <w:rPr>
                <w:snapToGrid w:val="0"/>
                <w:kern w:val="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25" w:hRule="atLeast"/>
        </w:trPr>
        <w:tc>
          <w:tcPr>
            <w:tcW w:w="1181" w:type="dxa"/>
            <w:vAlign w:val="center"/>
          </w:tcPr>
          <w:p>
            <w:pPr>
              <w:snapToGrid w:val="0"/>
              <w:jc w:val="center"/>
              <w:rPr>
                <w:snapToGrid w:val="0"/>
                <w:kern w:val="2"/>
                <w:szCs w:val="21"/>
              </w:rPr>
            </w:pPr>
          </w:p>
        </w:tc>
        <w:tc>
          <w:tcPr>
            <w:tcW w:w="3658" w:type="dxa"/>
            <w:gridSpan w:val="5"/>
            <w:vAlign w:val="center"/>
          </w:tcPr>
          <w:p>
            <w:pPr>
              <w:snapToGrid w:val="0"/>
              <w:jc w:val="center"/>
              <w:rPr>
                <w:snapToGrid w:val="0"/>
                <w:kern w:val="2"/>
                <w:szCs w:val="21"/>
              </w:rPr>
            </w:pPr>
          </w:p>
        </w:tc>
        <w:tc>
          <w:tcPr>
            <w:tcW w:w="1302" w:type="dxa"/>
            <w:vAlign w:val="center"/>
          </w:tcPr>
          <w:p>
            <w:pPr>
              <w:snapToGrid w:val="0"/>
              <w:jc w:val="center"/>
              <w:rPr>
                <w:snapToGrid w:val="0"/>
                <w:kern w:val="2"/>
                <w:szCs w:val="21"/>
              </w:rPr>
            </w:pPr>
          </w:p>
        </w:tc>
        <w:tc>
          <w:tcPr>
            <w:tcW w:w="2595" w:type="dxa"/>
            <w:gridSpan w:val="2"/>
            <w:vAlign w:val="center"/>
          </w:tcPr>
          <w:p>
            <w:pPr>
              <w:snapToGrid w:val="0"/>
              <w:jc w:val="center"/>
              <w:rPr>
                <w:snapToGrid w:val="0"/>
                <w:kern w:val="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25" w:hRule="atLeast"/>
        </w:trPr>
        <w:tc>
          <w:tcPr>
            <w:tcW w:w="1181" w:type="dxa"/>
            <w:vAlign w:val="center"/>
          </w:tcPr>
          <w:p>
            <w:pPr>
              <w:snapToGrid w:val="0"/>
              <w:jc w:val="center"/>
              <w:rPr>
                <w:snapToGrid w:val="0"/>
                <w:kern w:val="2"/>
                <w:szCs w:val="21"/>
              </w:rPr>
            </w:pPr>
          </w:p>
        </w:tc>
        <w:tc>
          <w:tcPr>
            <w:tcW w:w="3658" w:type="dxa"/>
            <w:gridSpan w:val="5"/>
            <w:vAlign w:val="center"/>
          </w:tcPr>
          <w:p>
            <w:pPr>
              <w:snapToGrid w:val="0"/>
              <w:jc w:val="center"/>
              <w:rPr>
                <w:snapToGrid w:val="0"/>
                <w:kern w:val="2"/>
                <w:szCs w:val="21"/>
              </w:rPr>
            </w:pPr>
          </w:p>
        </w:tc>
        <w:tc>
          <w:tcPr>
            <w:tcW w:w="1302" w:type="dxa"/>
            <w:vAlign w:val="center"/>
          </w:tcPr>
          <w:p>
            <w:pPr>
              <w:snapToGrid w:val="0"/>
              <w:jc w:val="center"/>
              <w:rPr>
                <w:snapToGrid w:val="0"/>
                <w:kern w:val="2"/>
                <w:szCs w:val="21"/>
              </w:rPr>
            </w:pPr>
          </w:p>
        </w:tc>
        <w:tc>
          <w:tcPr>
            <w:tcW w:w="2595" w:type="dxa"/>
            <w:gridSpan w:val="2"/>
            <w:vAlign w:val="center"/>
          </w:tcPr>
          <w:p>
            <w:pPr>
              <w:snapToGrid w:val="0"/>
              <w:jc w:val="center"/>
              <w:rPr>
                <w:snapToGrid w:val="0"/>
                <w:kern w:val="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25" w:hRule="atLeast"/>
        </w:trPr>
        <w:tc>
          <w:tcPr>
            <w:tcW w:w="1181" w:type="dxa"/>
            <w:vAlign w:val="center"/>
          </w:tcPr>
          <w:p>
            <w:pPr>
              <w:snapToGrid w:val="0"/>
              <w:jc w:val="center"/>
              <w:rPr>
                <w:snapToGrid w:val="0"/>
                <w:kern w:val="2"/>
                <w:szCs w:val="21"/>
              </w:rPr>
            </w:pPr>
          </w:p>
        </w:tc>
        <w:tc>
          <w:tcPr>
            <w:tcW w:w="3658" w:type="dxa"/>
            <w:gridSpan w:val="5"/>
            <w:vAlign w:val="center"/>
          </w:tcPr>
          <w:p>
            <w:pPr>
              <w:snapToGrid w:val="0"/>
              <w:jc w:val="center"/>
              <w:rPr>
                <w:snapToGrid w:val="0"/>
                <w:kern w:val="2"/>
                <w:szCs w:val="21"/>
              </w:rPr>
            </w:pPr>
          </w:p>
        </w:tc>
        <w:tc>
          <w:tcPr>
            <w:tcW w:w="1302" w:type="dxa"/>
            <w:vAlign w:val="center"/>
          </w:tcPr>
          <w:p>
            <w:pPr>
              <w:snapToGrid w:val="0"/>
              <w:jc w:val="center"/>
              <w:rPr>
                <w:snapToGrid w:val="0"/>
                <w:kern w:val="2"/>
                <w:szCs w:val="21"/>
              </w:rPr>
            </w:pPr>
          </w:p>
        </w:tc>
        <w:tc>
          <w:tcPr>
            <w:tcW w:w="2595" w:type="dxa"/>
            <w:gridSpan w:val="2"/>
            <w:vAlign w:val="center"/>
          </w:tcPr>
          <w:p>
            <w:pPr>
              <w:snapToGrid w:val="0"/>
              <w:jc w:val="center"/>
              <w:rPr>
                <w:snapToGrid w:val="0"/>
                <w:kern w:val="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25" w:hRule="atLeast"/>
        </w:trPr>
        <w:tc>
          <w:tcPr>
            <w:tcW w:w="1181" w:type="dxa"/>
            <w:vAlign w:val="center"/>
          </w:tcPr>
          <w:p>
            <w:pPr>
              <w:snapToGrid w:val="0"/>
              <w:jc w:val="center"/>
              <w:rPr>
                <w:snapToGrid w:val="0"/>
                <w:kern w:val="2"/>
                <w:szCs w:val="21"/>
              </w:rPr>
            </w:pPr>
          </w:p>
        </w:tc>
        <w:tc>
          <w:tcPr>
            <w:tcW w:w="3658" w:type="dxa"/>
            <w:gridSpan w:val="5"/>
            <w:vAlign w:val="center"/>
          </w:tcPr>
          <w:p>
            <w:pPr>
              <w:snapToGrid w:val="0"/>
              <w:jc w:val="center"/>
              <w:rPr>
                <w:snapToGrid w:val="0"/>
                <w:kern w:val="2"/>
                <w:szCs w:val="21"/>
              </w:rPr>
            </w:pPr>
          </w:p>
        </w:tc>
        <w:tc>
          <w:tcPr>
            <w:tcW w:w="1302" w:type="dxa"/>
            <w:vAlign w:val="center"/>
          </w:tcPr>
          <w:p>
            <w:pPr>
              <w:snapToGrid w:val="0"/>
              <w:jc w:val="center"/>
              <w:rPr>
                <w:snapToGrid w:val="0"/>
                <w:kern w:val="2"/>
                <w:szCs w:val="21"/>
              </w:rPr>
            </w:pPr>
          </w:p>
        </w:tc>
        <w:tc>
          <w:tcPr>
            <w:tcW w:w="2595" w:type="dxa"/>
            <w:gridSpan w:val="2"/>
            <w:vAlign w:val="center"/>
          </w:tcPr>
          <w:p>
            <w:pPr>
              <w:snapToGrid w:val="0"/>
              <w:jc w:val="center"/>
              <w:rPr>
                <w:snapToGrid w:val="0"/>
                <w:kern w:val="2"/>
                <w:szCs w:val="21"/>
              </w:rPr>
            </w:pPr>
          </w:p>
        </w:tc>
      </w:tr>
    </w:tbl>
    <w:p>
      <w:pPr>
        <w:ind w:firstLine="480" w:firstLineChars="200"/>
        <w:rPr>
          <w:snapToGrid w:val="0"/>
          <w:szCs w:val="24"/>
        </w:rPr>
      </w:pPr>
      <w:r>
        <w:rPr>
          <w:rFonts w:hint="eastAsia"/>
          <w:snapToGrid w:val="0"/>
          <w:szCs w:val="24"/>
        </w:rPr>
        <w:t>注：主要人员指项目负责人、技术负责人、安全管理人员、质量员、施工员及其他主要人员。</w:t>
      </w:r>
    </w:p>
    <w:p>
      <w:pPr>
        <w:rPr>
          <w:snapToGrid w:val="0"/>
          <w:szCs w:val="24"/>
        </w:rPr>
      </w:pPr>
    </w:p>
    <w:bookmarkEnd w:id="776"/>
    <w:p>
      <w:pPr>
        <w:pStyle w:val="6"/>
        <w:jc w:val="center"/>
        <w:rPr>
          <w:snapToGrid w:val="0"/>
          <w:sz w:val="28"/>
          <w:szCs w:val="28"/>
        </w:rPr>
      </w:pPr>
      <w:bookmarkStart w:id="777" w:name="_Toc217819183"/>
      <w:bookmarkStart w:id="778" w:name="_Toc217457104"/>
      <w:bookmarkStart w:id="779" w:name="_Toc184635147"/>
      <w:r>
        <w:rPr>
          <w:snapToGrid w:val="0"/>
          <w:sz w:val="28"/>
          <w:szCs w:val="28"/>
        </w:rPr>
        <w:br w:type="page"/>
      </w:r>
      <w:bookmarkStart w:id="780" w:name="_Toc336325399"/>
      <w:bookmarkStart w:id="781" w:name="_Toc6515"/>
      <w:r>
        <w:rPr>
          <w:rFonts w:hint="eastAsia"/>
          <w:snapToGrid w:val="0"/>
          <w:sz w:val="28"/>
          <w:szCs w:val="28"/>
        </w:rPr>
        <w:t>六</w:t>
      </w:r>
      <w:r>
        <w:rPr>
          <w:snapToGrid w:val="0"/>
          <w:sz w:val="28"/>
          <w:szCs w:val="28"/>
        </w:rPr>
        <w:t>、资格审查资料</w:t>
      </w:r>
      <w:bookmarkEnd w:id="777"/>
      <w:bookmarkEnd w:id="778"/>
      <w:bookmarkEnd w:id="779"/>
      <w:bookmarkEnd w:id="780"/>
      <w:bookmarkEnd w:id="781"/>
    </w:p>
    <w:p>
      <w:pPr>
        <w:pStyle w:val="6"/>
        <w:jc w:val="both"/>
        <w:rPr>
          <w:rFonts w:ascii="黑体" w:hAnsi="黑体"/>
          <w:szCs w:val="24"/>
        </w:rPr>
      </w:pPr>
      <w:bookmarkStart w:id="782" w:name="_Toc23425"/>
      <w:bookmarkStart w:id="783" w:name="_Toc339983469"/>
      <w:bookmarkStart w:id="784" w:name="_Toc336325400"/>
      <w:bookmarkStart w:id="785" w:name="_Toc341965067"/>
      <w:bookmarkStart w:id="786" w:name="_Toc339482562"/>
      <w:bookmarkStart w:id="787" w:name="_Toc18507"/>
      <w:bookmarkStart w:id="788" w:name="_Toc339224695"/>
      <w:r>
        <w:rPr>
          <w:rFonts w:hint="eastAsia" w:ascii="黑体" w:hAnsi="黑体"/>
          <w:szCs w:val="24"/>
        </w:rPr>
        <w:t>（一）竞包人基本情况表</w:t>
      </w:r>
      <w:bookmarkEnd w:id="782"/>
      <w:bookmarkEnd w:id="783"/>
      <w:bookmarkEnd w:id="784"/>
      <w:bookmarkEnd w:id="785"/>
      <w:bookmarkEnd w:id="786"/>
      <w:bookmarkEnd w:id="787"/>
      <w:bookmarkEnd w:id="788"/>
    </w:p>
    <w:p>
      <w:pPr>
        <w:jc w:val="center"/>
        <w:rPr>
          <w:b/>
          <w:bCs/>
          <w:snapToGrid w:val="0"/>
          <w:sz w:val="30"/>
          <w:szCs w:val="30"/>
        </w:rPr>
      </w:pPr>
      <w:r>
        <w:rPr>
          <w:rFonts w:hint="eastAsia"/>
          <w:b/>
          <w:bCs/>
          <w:snapToGrid w:val="0"/>
          <w:sz w:val="30"/>
          <w:szCs w:val="30"/>
        </w:rPr>
        <w:t>竞包人基本情况表（格式）</w:t>
      </w:r>
    </w:p>
    <w:tbl>
      <w:tblPr>
        <w:tblStyle w:val="24"/>
        <w:tblW w:w="9175"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293"/>
        <w:gridCol w:w="88"/>
        <w:gridCol w:w="261"/>
        <w:gridCol w:w="365"/>
        <w:gridCol w:w="206"/>
        <w:gridCol w:w="398"/>
        <w:gridCol w:w="198"/>
        <w:gridCol w:w="1081"/>
        <w:gridCol w:w="831"/>
        <w:gridCol w:w="536"/>
        <w:gridCol w:w="301"/>
        <w:gridCol w:w="141"/>
        <w:gridCol w:w="927"/>
        <w:gridCol w:w="310"/>
        <w:gridCol w:w="791"/>
        <w:gridCol w:w="144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381" w:type="dxa"/>
            <w:gridSpan w:val="2"/>
            <w:vAlign w:val="center"/>
          </w:tcPr>
          <w:p>
            <w:pPr>
              <w:jc w:val="center"/>
              <w:rPr>
                <w:rFonts w:asciiTheme="minorEastAsia" w:hAnsiTheme="minorEastAsia" w:cstheme="minorEastAsia"/>
                <w:snapToGrid w:val="0"/>
                <w:kern w:val="2"/>
                <w:szCs w:val="24"/>
              </w:rPr>
            </w:pPr>
            <w:r>
              <w:rPr>
                <w:rFonts w:hint="eastAsia" w:asciiTheme="minorEastAsia" w:hAnsiTheme="minorEastAsia" w:cstheme="minorEastAsia"/>
                <w:snapToGrid w:val="0"/>
                <w:kern w:val="2"/>
                <w:szCs w:val="24"/>
              </w:rPr>
              <w:t>企业名称</w:t>
            </w:r>
          </w:p>
        </w:tc>
        <w:tc>
          <w:tcPr>
            <w:tcW w:w="7794" w:type="dxa"/>
            <w:gridSpan w:val="14"/>
            <w:vAlign w:val="center"/>
          </w:tcPr>
          <w:p>
            <w:pPr>
              <w:jc w:val="center"/>
              <w:rPr>
                <w:rFonts w:asciiTheme="minorEastAsia" w:hAnsiTheme="minorEastAsia" w:cstheme="minorEastAsia"/>
                <w:snapToGrid w:val="0"/>
                <w:kern w:val="2"/>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381" w:type="dxa"/>
            <w:gridSpan w:val="2"/>
            <w:vAlign w:val="center"/>
          </w:tcPr>
          <w:p>
            <w:pPr>
              <w:jc w:val="center"/>
              <w:rPr>
                <w:rFonts w:asciiTheme="minorEastAsia" w:hAnsiTheme="minorEastAsia" w:cstheme="minorEastAsia"/>
                <w:snapToGrid w:val="0"/>
                <w:kern w:val="2"/>
                <w:szCs w:val="24"/>
              </w:rPr>
            </w:pPr>
            <w:r>
              <w:rPr>
                <w:rFonts w:hint="eastAsia" w:asciiTheme="minorEastAsia" w:hAnsiTheme="minorEastAsia" w:cstheme="minorEastAsia"/>
                <w:snapToGrid w:val="0"/>
                <w:kern w:val="2"/>
                <w:szCs w:val="24"/>
              </w:rPr>
              <w:t>注册地址</w:t>
            </w:r>
          </w:p>
        </w:tc>
        <w:tc>
          <w:tcPr>
            <w:tcW w:w="7794" w:type="dxa"/>
            <w:gridSpan w:val="14"/>
            <w:vAlign w:val="center"/>
          </w:tcPr>
          <w:p>
            <w:pPr>
              <w:jc w:val="center"/>
              <w:rPr>
                <w:rFonts w:asciiTheme="minorEastAsia" w:hAnsiTheme="minorEastAsia" w:cstheme="minorEastAsia"/>
                <w:snapToGrid w:val="0"/>
                <w:kern w:val="2"/>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381" w:type="dxa"/>
            <w:gridSpan w:val="2"/>
            <w:vAlign w:val="center"/>
          </w:tcPr>
          <w:p>
            <w:pPr>
              <w:jc w:val="center"/>
              <w:rPr>
                <w:rFonts w:asciiTheme="minorEastAsia" w:hAnsiTheme="minorEastAsia" w:cstheme="minorEastAsia"/>
                <w:snapToGrid w:val="0"/>
                <w:kern w:val="2"/>
                <w:szCs w:val="24"/>
              </w:rPr>
            </w:pPr>
            <w:r>
              <w:rPr>
                <w:rFonts w:hint="eastAsia" w:asciiTheme="minorEastAsia" w:hAnsiTheme="minorEastAsia" w:cstheme="minorEastAsia"/>
                <w:snapToGrid w:val="0"/>
                <w:kern w:val="2"/>
                <w:szCs w:val="24"/>
              </w:rPr>
              <w:t>通信代码</w:t>
            </w:r>
          </w:p>
        </w:tc>
        <w:tc>
          <w:tcPr>
            <w:tcW w:w="1230" w:type="dxa"/>
            <w:gridSpan w:val="4"/>
            <w:vAlign w:val="center"/>
          </w:tcPr>
          <w:p>
            <w:pPr>
              <w:jc w:val="center"/>
              <w:rPr>
                <w:rFonts w:asciiTheme="minorEastAsia" w:hAnsiTheme="minorEastAsia" w:cstheme="minorEastAsia"/>
                <w:snapToGrid w:val="0"/>
                <w:kern w:val="2"/>
                <w:szCs w:val="24"/>
              </w:rPr>
            </w:pPr>
            <w:r>
              <w:rPr>
                <w:rFonts w:hint="eastAsia" w:asciiTheme="minorEastAsia" w:hAnsiTheme="minorEastAsia" w:cstheme="minorEastAsia"/>
                <w:snapToGrid w:val="0"/>
                <w:kern w:val="2"/>
                <w:szCs w:val="24"/>
              </w:rPr>
              <w:t>电话</w:t>
            </w:r>
          </w:p>
        </w:tc>
        <w:tc>
          <w:tcPr>
            <w:tcW w:w="2646" w:type="dxa"/>
            <w:gridSpan w:val="4"/>
            <w:vAlign w:val="center"/>
          </w:tcPr>
          <w:p>
            <w:pPr>
              <w:jc w:val="center"/>
              <w:rPr>
                <w:rFonts w:asciiTheme="minorEastAsia" w:hAnsiTheme="minorEastAsia" w:cstheme="minorEastAsia"/>
                <w:snapToGrid w:val="0"/>
                <w:kern w:val="2"/>
                <w:szCs w:val="24"/>
              </w:rPr>
            </w:pPr>
          </w:p>
        </w:tc>
        <w:tc>
          <w:tcPr>
            <w:tcW w:w="1369" w:type="dxa"/>
            <w:gridSpan w:val="3"/>
            <w:vAlign w:val="center"/>
          </w:tcPr>
          <w:p>
            <w:pPr>
              <w:jc w:val="center"/>
              <w:rPr>
                <w:rFonts w:asciiTheme="minorEastAsia" w:hAnsiTheme="minorEastAsia" w:cstheme="minorEastAsia"/>
                <w:snapToGrid w:val="0"/>
                <w:kern w:val="2"/>
                <w:szCs w:val="24"/>
              </w:rPr>
            </w:pPr>
            <w:r>
              <w:rPr>
                <w:rFonts w:hint="eastAsia" w:asciiTheme="minorEastAsia" w:hAnsiTheme="minorEastAsia" w:cstheme="minorEastAsia"/>
                <w:snapToGrid w:val="0"/>
                <w:kern w:val="2"/>
                <w:szCs w:val="24"/>
              </w:rPr>
              <w:t>传真</w:t>
            </w:r>
          </w:p>
        </w:tc>
        <w:tc>
          <w:tcPr>
            <w:tcW w:w="2549" w:type="dxa"/>
            <w:gridSpan w:val="3"/>
            <w:vAlign w:val="center"/>
          </w:tcPr>
          <w:p>
            <w:pPr>
              <w:jc w:val="center"/>
              <w:rPr>
                <w:rFonts w:asciiTheme="minorEastAsia" w:hAnsiTheme="minorEastAsia" w:cstheme="minorEastAsia"/>
                <w:snapToGrid w:val="0"/>
                <w:kern w:val="2"/>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381" w:type="dxa"/>
            <w:gridSpan w:val="2"/>
            <w:vAlign w:val="center"/>
          </w:tcPr>
          <w:p>
            <w:pPr>
              <w:jc w:val="center"/>
              <w:rPr>
                <w:rFonts w:asciiTheme="minorEastAsia" w:hAnsiTheme="minorEastAsia" w:cstheme="minorEastAsia"/>
                <w:snapToGrid w:val="0"/>
                <w:kern w:val="2"/>
                <w:szCs w:val="24"/>
              </w:rPr>
            </w:pPr>
          </w:p>
        </w:tc>
        <w:tc>
          <w:tcPr>
            <w:tcW w:w="1230" w:type="dxa"/>
            <w:gridSpan w:val="4"/>
            <w:vAlign w:val="center"/>
          </w:tcPr>
          <w:p>
            <w:pPr>
              <w:jc w:val="center"/>
              <w:rPr>
                <w:rFonts w:asciiTheme="minorEastAsia" w:hAnsiTheme="minorEastAsia" w:cstheme="minorEastAsia"/>
                <w:snapToGrid w:val="0"/>
                <w:kern w:val="2"/>
                <w:szCs w:val="24"/>
              </w:rPr>
            </w:pPr>
            <w:r>
              <w:rPr>
                <w:rFonts w:hint="eastAsia" w:asciiTheme="minorEastAsia" w:hAnsiTheme="minorEastAsia" w:cstheme="minorEastAsia"/>
                <w:snapToGrid w:val="0"/>
                <w:kern w:val="2"/>
                <w:szCs w:val="24"/>
              </w:rPr>
              <w:t>网址</w:t>
            </w:r>
          </w:p>
        </w:tc>
        <w:tc>
          <w:tcPr>
            <w:tcW w:w="2646" w:type="dxa"/>
            <w:gridSpan w:val="4"/>
            <w:vAlign w:val="center"/>
          </w:tcPr>
          <w:p>
            <w:pPr>
              <w:jc w:val="center"/>
              <w:rPr>
                <w:rFonts w:asciiTheme="minorEastAsia" w:hAnsiTheme="minorEastAsia" w:cstheme="minorEastAsia"/>
                <w:snapToGrid w:val="0"/>
                <w:kern w:val="2"/>
                <w:szCs w:val="24"/>
              </w:rPr>
            </w:pPr>
          </w:p>
        </w:tc>
        <w:tc>
          <w:tcPr>
            <w:tcW w:w="1369" w:type="dxa"/>
            <w:gridSpan w:val="3"/>
            <w:vAlign w:val="center"/>
          </w:tcPr>
          <w:p>
            <w:pPr>
              <w:jc w:val="center"/>
              <w:rPr>
                <w:rFonts w:asciiTheme="minorEastAsia" w:hAnsiTheme="minorEastAsia" w:cstheme="minorEastAsia"/>
                <w:snapToGrid w:val="0"/>
                <w:kern w:val="2"/>
                <w:szCs w:val="24"/>
              </w:rPr>
            </w:pPr>
            <w:r>
              <w:rPr>
                <w:rFonts w:hint="eastAsia" w:asciiTheme="minorEastAsia" w:hAnsiTheme="minorEastAsia" w:cstheme="minorEastAsia"/>
                <w:snapToGrid w:val="0"/>
                <w:kern w:val="2"/>
                <w:szCs w:val="24"/>
              </w:rPr>
              <w:t>邮政编码</w:t>
            </w:r>
          </w:p>
        </w:tc>
        <w:tc>
          <w:tcPr>
            <w:tcW w:w="2549" w:type="dxa"/>
            <w:gridSpan w:val="3"/>
            <w:vAlign w:val="center"/>
          </w:tcPr>
          <w:p>
            <w:pPr>
              <w:jc w:val="center"/>
              <w:rPr>
                <w:rFonts w:asciiTheme="minorEastAsia" w:hAnsiTheme="minorEastAsia" w:cstheme="minorEastAsia"/>
                <w:snapToGrid w:val="0"/>
                <w:kern w:val="2"/>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381" w:type="dxa"/>
            <w:gridSpan w:val="2"/>
            <w:vAlign w:val="center"/>
          </w:tcPr>
          <w:p>
            <w:pPr>
              <w:jc w:val="center"/>
              <w:rPr>
                <w:rFonts w:asciiTheme="minorEastAsia" w:hAnsiTheme="minorEastAsia" w:cstheme="minorEastAsia"/>
                <w:snapToGrid w:val="0"/>
                <w:kern w:val="2"/>
                <w:szCs w:val="24"/>
              </w:rPr>
            </w:pPr>
            <w:r>
              <w:rPr>
                <w:rFonts w:hint="eastAsia" w:asciiTheme="minorEastAsia" w:hAnsiTheme="minorEastAsia" w:cstheme="minorEastAsia"/>
                <w:snapToGrid w:val="0"/>
                <w:kern w:val="2"/>
                <w:szCs w:val="24"/>
              </w:rPr>
              <w:t>成立时间</w:t>
            </w:r>
          </w:p>
        </w:tc>
        <w:tc>
          <w:tcPr>
            <w:tcW w:w="7794" w:type="dxa"/>
            <w:gridSpan w:val="14"/>
            <w:vAlign w:val="center"/>
          </w:tcPr>
          <w:p>
            <w:pPr>
              <w:jc w:val="center"/>
              <w:rPr>
                <w:rFonts w:asciiTheme="minorEastAsia" w:hAnsiTheme="minorEastAsia" w:cstheme="minorEastAsia"/>
                <w:snapToGrid w:val="0"/>
                <w:kern w:val="2"/>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381" w:type="dxa"/>
            <w:gridSpan w:val="2"/>
            <w:vAlign w:val="center"/>
          </w:tcPr>
          <w:p>
            <w:pPr>
              <w:jc w:val="center"/>
              <w:rPr>
                <w:rFonts w:asciiTheme="minorEastAsia" w:hAnsiTheme="minorEastAsia" w:cstheme="minorEastAsia"/>
                <w:snapToGrid w:val="0"/>
                <w:kern w:val="2"/>
                <w:szCs w:val="24"/>
              </w:rPr>
            </w:pPr>
            <w:r>
              <w:rPr>
                <w:rFonts w:hint="eastAsia" w:asciiTheme="minorEastAsia" w:hAnsiTheme="minorEastAsia" w:cstheme="minorEastAsia"/>
                <w:snapToGrid w:val="0"/>
                <w:kern w:val="2"/>
                <w:szCs w:val="24"/>
              </w:rPr>
              <w:t>企业性质</w:t>
            </w:r>
          </w:p>
        </w:tc>
        <w:tc>
          <w:tcPr>
            <w:tcW w:w="2509" w:type="dxa"/>
            <w:gridSpan w:val="6"/>
            <w:vAlign w:val="center"/>
          </w:tcPr>
          <w:p>
            <w:pPr>
              <w:jc w:val="center"/>
              <w:rPr>
                <w:rFonts w:asciiTheme="minorEastAsia" w:hAnsiTheme="minorEastAsia" w:cstheme="minorEastAsia"/>
                <w:snapToGrid w:val="0"/>
                <w:kern w:val="2"/>
                <w:szCs w:val="24"/>
              </w:rPr>
            </w:pPr>
          </w:p>
        </w:tc>
        <w:tc>
          <w:tcPr>
            <w:tcW w:w="1809" w:type="dxa"/>
            <w:gridSpan w:val="4"/>
            <w:vAlign w:val="center"/>
          </w:tcPr>
          <w:p>
            <w:pPr>
              <w:jc w:val="center"/>
              <w:rPr>
                <w:rFonts w:asciiTheme="minorEastAsia" w:hAnsiTheme="minorEastAsia" w:cstheme="minorEastAsia"/>
                <w:snapToGrid w:val="0"/>
                <w:kern w:val="2"/>
                <w:szCs w:val="24"/>
              </w:rPr>
            </w:pPr>
            <w:r>
              <w:rPr>
                <w:rFonts w:hint="eastAsia" w:asciiTheme="minorEastAsia" w:hAnsiTheme="minorEastAsia" w:cstheme="minorEastAsia"/>
                <w:snapToGrid w:val="0"/>
                <w:kern w:val="2"/>
                <w:szCs w:val="24"/>
              </w:rPr>
              <w:t>上级主管单位</w:t>
            </w:r>
          </w:p>
        </w:tc>
        <w:tc>
          <w:tcPr>
            <w:tcW w:w="3476" w:type="dxa"/>
            <w:gridSpan w:val="4"/>
            <w:vAlign w:val="center"/>
          </w:tcPr>
          <w:p>
            <w:pPr>
              <w:jc w:val="center"/>
              <w:rPr>
                <w:rFonts w:asciiTheme="minorEastAsia" w:hAnsiTheme="minorEastAsia" w:cstheme="minorEastAsia"/>
                <w:snapToGrid w:val="0"/>
                <w:kern w:val="2"/>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642" w:type="dxa"/>
            <w:gridSpan w:val="3"/>
            <w:vAlign w:val="center"/>
          </w:tcPr>
          <w:p>
            <w:pPr>
              <w:jc w:val="center"/>
              <w:rPr>
                <w:rFonts w:asciiTheme="minorEastAsia" w:hAnsiTheme="minorEastAsia" w:cstheme="minorEastAsia"/>
                <w:snapToGrid w:val="0"/>
                <w:kern w:val="2"/>
                <w:szCs w:val="24"/>
              </w:rPr>
            </w:pPr>
            <w:r>
              <w:rPr>
                <w:rFonts w:hint="eastAsia" w:asciiTheme="minorEastAsia" w:hAnsiTheme="minorEastAsia" w:cstheme="minorEastAsia"/>
                <w:snapToGrid w:val="0"/>
                <w:kern w:val="2"/>
                <w:szCs w:val="24"/>
              </w:rPr>
              <w:t>法定代表人</w:t>
            </w:r>
          </w:p>
        </w:tc>
        <w:tc>
          <w:tcPr>
            <w:tcW w:w="1167" w:type="dxa"/>
            <w:gridSpan w:val="4"/>
            <w:vAlign w:val="center"/>
          </w:tcPr>
          <w:p>
            <w:pPr>
              <w:jc w:val="center"/>
              <w:rPr>
                <w:rFonts w:asciiTheme="minorEastAsia" w:hAnsiTheme="minorEastAsia" w:cstheme="minorEastAsia"/>
                <w:snapToGrid w:val="0"/>
                <w:kern w:val="2"/>
                <w:szCs w:val="24"/>
              </w:rPr>
            </w:pPr>
            <w:r>
              <w:rPr>
                <w:rFonts w:hint="eastAsia" w:asciiTheme="minorEastAsia" w:hAnsiTheme="minorEastAsia" w:cstheme="minorEastAsia"/>
                <w:snapToGrid w:val="0"/>
                <w:kern w:val="2"/>
                <w:szCs w:val="24"/>
              </w:rPr>
              <w:t>姓名</w:t>
            </w:r>
          </w:p>
        </w:tc>
        <w:tc>
          <w:tcPr>
            <w:tcW w:w="1081" w:type="dxa"/>
            <w:vAlign w:val="center"/>
          </w:tcPr>
          <w:p>
            <w:pPr>
              <w:jc w:val="center"/>
              <w:rPr>
                <w:rFonts w:asciiTheme="minorEastAsia" w:hAnsiTheme="minorEastAsia" w:cstheme="minorEastAsia"/>
                <w:snapToGrid w:val="0"/>
                <w:kern w:val="2"/>
                <w:szCs w:val="24"/>
              </w:rPr>
            </w:pPr>
          </w:p>
        </w:tc>
        <w:tc>
          <w:tcPr>
            <w:tcW w:w="1809" w:type="dxa"/>
            <w:gridSpan w:val="4"/>
            <w:vAlign w:val="center"/>
          </w:tcPr>
          <w:p>
            <w:pPr>
              <w:jc w:val="center"/>
              <w:rPr>
                <w:rFonts w:asciiTheme="minorEastAsia" w:hAnsiTheme="minorEastAsia" w:cstheme="minorEastAsia"/>
                <w:snapToGrid w:val="0"/>
                <w:kern w:val="2"/>
                <w:szCs w:val="24"/>
              </w:rPr>
            </w:pPr>
            <w:r>
              <w:rPr>
                <w:rFonts w:hint="eastAsia" w:asciiTheme="minorEastAsia" w:hAnsiTheme="minorEastAsia" w:cstheme="minorEastAsia"/>
                <w:snapToGrid w:val="0"/>
                <w:kern w:val="2"/>
                <w:szCs w:val="24"/>
              </w:rPr>
              <w:t>出生年月</w:t>
            </w:r>
          </w:p>
        </w:tc>
        <w:tc>
          <w:tcPr>
            <w:tcW w:w="1237" w:type="dxa"/>
            <w:gridSpan w:val="2"/>
            <w:vAlign w:val="center"/>
          </w:tcPr>
          <w:p>
            <w:pPr>
              <w:jc w:val="center"/>
              <w:rPr>
                <w:rFonts w:asciiTheme="minorEastAsia" w:hAnsiTheme="minorEastAsia" w:cstheme="minorEastAsia"/>
                <w:snapToGrid w:val="0"/>
                <w:kern w:val="2"/>
                <w:szCs w:val="24"/>
              </w:rPr>
            </w:pPr>
          </w:p>
        </w:tc>
        <w:tc>
          <w:tcPr>
            <w:tcW w:w="791" w:type="dxa"/>
            <w:vAlign w:val="center"/>
          </w:tcPr>
          <w:p>
            <w:pPr>
              <w:jc w:val="center"/>
              <w:rPr>
                <w:rFonts w:asciiTheme="minorEastAsia" w:hAnsiTheme="minorEastAsia" w:cstheme="minorEastAsia"/>
                <w:snapToGrid w:val="0"/>
                <w:kern w:val="2"/>
                <w:szCs w:val="24"/>
              </w:rPr>
            </w:pPr>
            <w:r>
              <w:rPr>
                <w:rFonts w:hint="eastAsia" w:asciiTheme="minorEastAsia" w:hAnsiTheme="minorEastAsia" w:cstheme="minorEastAsia"/>
                <w:snapToGrid w:val="0"/>
                <w:kern w:val="2"/>
                <w:szCs w:val="24"/>
              </w:rPr>
              <w:t>职称</w:t>
            </w:r>
          </w:p>
        </w:tc>
        <w:tc>
          <w:tcPr>
            <w:tcW w:w="1448" w:type="dxa"/>
            <w:vAlign w:val="center"/>
          </w:tcPr>
          <w:p>
            <w:pPr>
              <w:jc w:val="center"/>
              <w:rPr>
                <w:rFonts w:asciiTheme="minorEastAsia" w:hAnsiTheme="minorEastAsia" w:cstheme="minorEastAsia"/>
                <w:snapToGrid w:val="0"/>
                <w:kern w:val="2"/>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642" w:type="dxa"/>
            <w:gridSpan w:val="3"/>
            <w:vAlign w:val="center"/>
          </w:tcPr>
          <w:p>
            <w:pPr>
              <w:jc w:val="center"/>
              <w:rPr>
                <w:rFonts w:asciiTheme="minorEastAsia" w:hAnsiTheme="minorEastAsia" w:cstheme="minorEastAsia"/>
                <w:snapToGrid w:val="0"/>
                <w:kern w:val="2"/>
                <w:szCs w:val="24"/>
              </w:rPr>
            </w:pPr>
            <w:r>
              <w:rPr>
                <w:rFonts w:hint="eastAsia" w:asciiTheme="minorEastAsia" w:hAnsiTheme="minorEastAsia" w:cstheme="minorEastAsia"/>
                <w:snapToGrid w:val="0"/>
                <w:kern w:val="2"/>
                <w:szCs w:val="24"/>
              </w:rPr>
              <w:t>技术负责人</w:t>
            </w:r>
          </w:p>
        </w:tc>
        <w:tc>
          <w:tcPr>
            <w:tcW w:w="1167" w:type="dxa"/>
            <w:gridSpan w:val="4"/>
            <w:vAlign w:val="center"/>
          </w:tcPr>
          <w:p>
            <w:pPr>
              <w:jc w:val="center"/>
              <w:rPr>
                <w:rFonts w:asciiTheme="minorEastAsia" w:hAnsiTheme="minorEastAsia" w:cstheme="minorEastAsia"/>
                <w:snapToGrid w:val="0"/>
                <w:kern w:val="2"/>
                <w:szCs w:val="24"/>
              </w:rPr>
            </w:pPr>
            <w:r>
              <w:rPr>
                <w:rFonts w:hint="eastAsia" w:asciiTheme="minorEastAsia" w:hAnsiTheme="minorEastAsia" w:cstheme="minorEastAsia"/>
                <w:snapToGrid w:val="0"/>
                <w:kern w:val="2"/>
                <w:szCs w:val="24"/>
              </w:rPr>
              <w:t>姓名</w:t>
            </w:r>
          </w:p>
        </w:tc>
        <w:tc>
          <w:tcPr>
            <w:tcW w:w="1081" w:type="dxa"/>
            <w:vAlign w:val="center"/>
          </w:tcPr>
          <w:p>
            <w:pPr>
              <w:jc w:val="center"/>
              <w:rPr>
                <w:rFonts w:asciiTheme="minorEastAsia" w:hAnsiTheme="minorEastAsia" w:cstheme="minorEastAsia"/>
                <w:snapToGrid w:val="0"/>
                <w:kern w:val="2"/>
                <w:szCs w:val="24"/>
              </w:rPr>
            </w:pPr>
          </w:p>
        </w:tc>
        <w:tc>
          <w:tcPr>
            <w:tcW w:w="1809" w:type="dxa"/>
            <w:gridSpan w:val="4"/>
            <w:vAlign w:val="center"/>
          </w:tcPr>
          <w:p>
            <w:pPr>
              <w:jc w:val="center"/>
              <w:rPr>
                <w:rFonts w:asciiTheme="minorEastAsia" w:hAnsiTheme="minorEastAsia" w:cstheme="minorEastAsia"/>
                <w:snapToGrid w:val="0"/>
                <w:kern w:val="2"/>
                <w:szCs w:val="24"/>
              </w:rPr>
            </w:pPr>
            <w:r>
              <w:rPr>
                <w:rFonts w:hint="eastAsia" w:asciiTheme="minorEastAsia" w:hAnsiTheme="minorEastAsia" w:cstheme="minorEastAsia"/>
                <w:snapToGrid w:val="0"/>
                <w:kern w:val="2"/>
                <w:szCs w:val="24"/>
              </w:rPr>
              <w:t>出生年月</w:t>
            </w:r>
          </w:p>
        </w:tc>
        <w:tc>
          <w:tcPr>
            <w:tcW w:w="1237" w:type="dxa"/>
            <w:gridSpan w:val="2"/>
            <w:vAlign w:val="center"/>
          </w:tcPr>
          <w:p>
            <w:pPr>
              <w:jc w:val="center"/>
              <w:rPr>
                <w:rFonts w:asciiTheme="minorEastAsia" w:hAnsiTheme="minorEastAsia" w:cstheme="minorEastAsia"/>
                <w:snapToGrid w:val="0"/>
                <w:kern w:val="2"/>
                <w:szCs w:val="24"/>
              </w:rPr>
            </w:pPr>
          </w:p>
        </w:tc>
        <w:tc>
          <w:tcPr>
            <w:tcW w:w="791" w:type="dxa"/>
            <w:vAlign w:val="center"/>
          </w:tcPr>
          <w:p>
            <w:pPr>
              <w:jc w:val="center"/>
              <w:rPr>
                <w:rFonts w:asciiTheme="minorEastAsia" w:hAnsiTheme="minorEastAsia" w:cstheme="minorEastAsia"/>
                <w:snapToGrid w:val="0"/>
                <w:kern w:val="2"/>
                <w:szCs w:val="24"/>
              </w:rPr>
            </w:pPr>
            <w:r>
              <w:rPr>
                <w:rFonts w:hint="eastAsia" w:asciiTheme="minorEastAsia" w:hAnsiTheme="minorEastAsia" w:cstheme="minorEastAsia"/>
                <w:snapToGrid w:val="0"/>
                <w:kern w:val="2"/>
                <w:szCs w:val="24"/>
              </w:rPr>
              <w:t>职称</w:t>
            </w:r>
          </w:p>
        </w:tc>
        <w:tc>
          <w:tcPr>
            <w:tcW w:w="1448" w:type="dxa"/>
            <w:vAlign w:val="center"/>
          </w:tcPr>
          <w:p>
            <w:pPr>
              <w:jc w:val="center"/>
              <w:rPr>
                <w:rFonts w:asciiTheme="minorEastAsia" w:hAnsiTheme="minorEastAsia" w:cstheme="minorEastAsia"/>
                <w:snapToGrid w:val="0"/>
                <w:kern w:val="2"/>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2213" w:type="dxa"/>
            <w:gridSpan w:val="5"/>
            <w:vAlign w:val="center"/>
          </w:tcPr>
          <w:p>
            <w:pPr>
              <w:pStyle w:val="20"/>
              <w:rPr>
                <w:rFonts w:asciiTheme="minorEastAsia" w:hAnsiTheme="minorEastAsia" w:cstheme="minorEastAsia"/>
                <w:snapToGrid w:val="0"/>
                <w:szCs w:val="24"/>
              </w:rPr>
            </w:pPr>
            <w:r>
              <w:rPr>
                <w:rFonts w:hint="eastAsia" w:asciiTheme="minorEastAsia" w:hAnsiTheme="minorEastAsia" w:cstheme="minorEastAsia"/>
                <w:snapToGrid w:val="0"/>
                <w:szCs w:val="24"/>
              </w:rPr>
              <w:t>企业资质等级</w:t>
            </w:r>
          </w:p>
        </w:tc>
        <w:tc>
          <w:tcPr>
            <w:tcW w:w="2508" w:type="dxa"/>
            <w:gridSpan w:val="4"/>
            <w:vAlign w:val="center"/>
          </w:tcPr>
          <w:p>
            <w:pPr>
              <w:jc w:val="center"/>
              <w:rPr>
                <w:rFonts w:asciiTheme="minorEastAsia" w:hAnsiTheme="minorEastAsia" w:cstheme="minorEastAsia"/>
                <w:snapToGrid w:val="0"/>
                <w:kern w:val="2"/>
                <w:szCs w:val="24"/>
              </w:rPr>
            </w:pPr>
          </w:p>
        </w:tc>
        <w:tc>
          <w:tcPr>
            <w:tcW w:w="2215" w:type="dxa"/>
            <w:gridSpan w:val="5"/>
            <w:vAlign w:val="center"/>
          </w:tcPr>
          <w:p>
            <w:pPr>
              <w:jc w:val="center"/>
              <w:rPr>
                <w:rFonts w:asciiTheme="minorEastAsia" w:hAnsiTheme="minorEastAsia" w:cstheme="minorEastAsia"/>
                <w:snapToGrid w:val="0"/>
                <w:kern w:val="2"/>
                <w:szCs w:val="24"/>
              </w:rPr>
            </w:pPr>
            <w:r>
              <w:rPr>
                <w:rFonts w:hint="eastAsia" w:asciiTheme="minorEastAsia" w:hAnsiTheme="minorEastAsia" w:cstheme="minorEastAsia"/>
                <w:snapToGrid w:val="0"/>
                <w:kern w:val="2"/>
                <w:szCs w:val="24"/>
              </w:rPr>
              <w:t>员工总人数(人)</w:t>
            </w:r>
          </w:p>
        </w:tc>
        <w:tc>
          <w:tcPr>
            <w:tcW w:w="2239" w:type="dxa"/>
            <w:gridSpan w:val="2"/>
            <w:vAlign w:val="center"/>
          </w:tcPr>
          <w:p>
            <w:pPr>
              <w:jc w:val="center"/>
              <w:rPr>
                <w:rFonts w:asciiTheme="minorEastAsia" w:hAnsiTheme="minorEastAsia" w:cstheme="minorEastAsia"/>
                <w:snapToGrid w:val="0"/>
                <w:kern w:val="2"/>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2213" w:type="dxa"/>
            <w:gridSpan w:val="5"/>
            <w:vAlign w:val="center"/>
          </w:tcPr>
          <w:p>
            <w:pPr>
              <w:rPr>
                <w:rFonts w:asciiTheme="minorEastAsia" w:hAnsiTheme="minorEastAsia" w:cstheme="minorEastAsia"/>
                <w:snapToGrid w:val="0"/>
                <w:kern w:val="2"/>
                <w:szCs w:val="24"/>
              </w:rPr>
            </w:pPr>
            <w:r>
              <w:rPr>
                <w:rFonts w:hint="eastAsia" w:asciiTheme="minorEastAsia" w:hAnsiTheme="minorEastAsia" w:cstheme="minorEastAsia"/>
                <w:snapToGrid w:val="0"/>
                <w:kern w:val="2"/>
                <w:szCs w:val="24"/>
              </w:rPr>
              <w:t>法人营业执照号</w:t>
            </w:r>
          </w:p>
        </w:tc>
        <w:tc>
          <w:tcPr>
            <w:tcW w:w="2508" w:type="dxa"/>
            <w:gridSpan w:val="4"/>
            <w:vAlign w:val="center"/>
          </w:tcPr>
          <w:p>
            <w:pPr>
              <w:jc w:val="center"/>
              <w:rPr>
                <w:rFonts w:asciiTheme="minorEastAsia" w:hAnsiTheme="minorEastAsia" w:cstheme="minorEastAsia"/>
                <w:snapToGrid w:val="0"/>
                <w:kern w:val="2"/>
                <w:szCs w:val="24"/>
              </w:rPr>
            </w:pPr>
          </w:p>
        </w:tc>
        <w:tc>
          <w:tcPr>
            <w:tcW w:w="837" w:type="dxa"/>
            <w:gridSpan w:val="2"/>
            <w:vMerge w:val="restart"/>
            <w:vAlign w:val="center"/>
          </w:tcPr>
          <w:p>
            <w:pPr>
              <w:jc w:val="center"/>
              <w:rPr>
                <w:rFonts w:asciiTheme="minorEastAsia" w:hAnsiTheme="minorEastAsia" w:cstheme="minorEastAsia"/>
                <w:snapToGrid w:val="0"/>
                <w:kern w:val="2"/>
                <w:szCs w:val="24"/>
              </w:rPr>
            </w:pPr>
            <w:r>
              <w:rPr>
                <w:rFonts w:hint="eastAsia" w:asciiTheme="minorEastAsia" w:hAnsiTheme="minorEastAsia" w:cstheme="minorEastAsia"/>
                <w:snapToGrid w:val="0"/>
                <w:kern w:val="2"/>
                <w:szCs w:val="24"/>
              </w:rPr>
              <w:t>其</w:t>
            </w:r>
          </w:p>
          <w:p>
            <w:pPr>
              <w:jc w:val="center"/>
              <w:rPr>
                <w:rFonts w:asciiTheme="minorEastAsia" w:hAnsiTheme="minorEastAsia" w:cstheme="minorEastAsia"/>
                <w:snapToGrid w:val="0"/>
                <w:kern w:val="2"/>
                <w:szCs w:val="24"/>
              </w:rPr>
            </w:pPr>
          </w:p>
          <w:p>
            <w:pPr>
              <w:jc w:val="center"/>
              <w:rPr>
                <w:rFonts w:asciiTheme="minorEastAsia" w:hAnsiTheme="minorEastAsia" w:cstheme="minorEastAsia"/>
                <w:snapToGrid w:val="0"/>
                <w:kern w:val="2"/>
                <w:szCs w:val="24"/>
              </w:rPr>
            </w:pPr>
          </w:p>
          <w:p>
            <w:pPr>
              <w:jc w:val="center"/>
              <w:rPr>
                <w:rFonts w:asciiTheme="minorEastAsia" w:hAnsiTheme="minorEastAsia" w:cstheme="minorEastAsia"/>
                <w:snapToGrid w:val="0"/>
                <w:kern w:val="2"/>
                <w:szCs w:val="24"/>
              </w:rPr>
            </w:pPr>
            <w:r>
              <w:rPr>
                <w:rFonts w:hint="eastAsia" w:asciiTheme="minorEastAsia" w:hAnsiTheme="minorEastAsia" w:cstheme="minorEastAsia"/>
                <w:snapToGrid w:val="0"/>
                <w:kern w:val="2"/>
                <w:szCs w:val="24"/>
              </w:rPr>
              <w:t>中</w:t>
            </w:r>
          </w:p>
        </w:tc>
        <w:tc>
          <w:tcPr>
            <w:tcW w:w="3617" w:type="dxa"/>
            <w:gridSpan w:val="5"/>
            <w:vAlign w:val="center"/>
          </w:tcPr>
          <w:p>
            <w:pPr>
              <w:rPr>
                <w:rFonts w:asciiTheme="minorEastAsia" w:hAnsiTheme="minorEastAsia" w:cstheme="minorEastAsia"/>
                <w:snapToGrid w:val="0"/>
                <w:kern w:val="2"/>
                <w:szCs w:val="24"/>
              </w:rPr>
            </w:pPr>
            <w:r>
              <w:rPr>
                <w:rFonts w:hint="eastAsia" w:asciiTheme="minorEastAsia" w:hAnsiTheme="minorEastAsia" w:cstheme="minorEastAsia"/>
                <w:snapToGrid w:val="0"/>
                <w:kern w:val="2"/>
                <w:szCs w:val="24"/>
              </w:rPr>
              <w:t>项目经理(人)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2213" w:type="dxa"/>
            <w:gridSpan w:val="5"/>
            <w:vAlign w:val="center"/>
          </w:tcPr>
          <w:p>
            <w:pPr>
              <w:rPr>
                <w:rFonts w:asciiTheme="minorEastAsia" w:hAnsiTheme="minorEastAsia" w:cstheme="minorEastAsia"/>
                <w:snapToGrid w:val="0"/>
                <w:kern w:val="2"/>
                <w:szCs w:val="24"/>
              </w:rPr>
            </w:pPr>
            <w:r>
              <w:rPr>
                <w:rFonts w:hint="eastAsia" w:asciiTheme="minorEastAsia" w:hAnsiTheme="minorEastAsia" w:cstheme="minorEastAsia"/>
                <w:snapToGrid w:val="0"/>
                <w:kern w:val="2"/>
                <w:szCs w:val="24"/>
              </w:rPr>
              <w:t>固定资产（万元）</w:t>
            </w:r>
          </w:p>
        </w:tc>
        <w:tc>
          <w:tcPr>
            <w:tcW w:w="2508" w:type="dxa"/>
            <w:gridSpan w:val="4"/>
            <w:vAlign w:val="center"/>
          </w:tcPr>
          <w:p>
            <w:pPr>
              <w:jc w:val="center"/>
              <w:rPr>
                <w:rFonts w:asciiTheme="minorEastAsia" w:hAnsiTheme="minorEastAsia" w:cstheme="minorEastAsia"/>
                <w:snapToGrid w:val="0"/>
                <w:kern w:val="2"/>
                <w:szCs w:val="24"/>
              </w:rPr>
            </w:pPr>
          </w:p>
        </w:tc>
        <w:tc>
          <w:tcPr>
            <w:tcW w:w="837" w:type="dxa"/>
            <w:gridSpan w:val="2"/>
            <w:vMerge w:val="continue"/>
            <w:vAlign w:val="center"/>
          </w:tcPr>
          <w:p>
            <w:pPr>
              <w:jc w:val="center"/>
              <w:rPr>
                <w:rFonts w:asciiTheme="minorEastAsia" w:hAnsiTheme="minorEastAsia" w:cstheme="minorEastAsia"/>
                <w:snapToGrid w:val="0"/>
                <w:kern w:val="2"/>
                <w:szCs w:val="24"/>
              </w:rPr>
            </w:pPr>
          </w:p>
        </w:tc>
        <w:tc>
          <w:tcPr>
            <w:tcW w:w="3617" w:type="dxa"/>
            <w:gridSpan w:val="5"/>
            <w:vAlign w:val="center"/>
          </w:tcPr>
          <w:p>
            <w:pPr>
              <w:rPr>
                <w:rFonts w:asciiTheme="minorEastAsia" w:hAnsiTheme="minorEastAsia" w:cstheme="minorEastAsia"/>
                <w:snapToGrid w:val="0"/>
                <w:kern w:val="2"/>
                <w:szCs w:val="24"/>
              </w:rPr>
            </w:pPr>
            <w:r>
              <w:rPr>
                <w:rFonts w:hint="eastAsia" w:asciiTheme="minorEastAsia" w:hAnsiTheme="minorEastAsia" w:cstheme="minorEastAsia"/>
                <w:snapToGrid w:val="0"/>
                <w:kern w:val="2"/>
                <w:szCs w:val="24"/>
              </w:rPr>
              <w:t>高级职称人员(人)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2213" w:type="dxa"/>
            <w:gridSpan w:val="5"/>
            <w:vAlign w:val="center"/>
          </w:tcPr>
          <w:p>
            <w:pPr>
              <w:rPr>
                <w:rFonts w:asciiTheme="minorEastAsia" w:hAnsiTheme="minorEastAsia" w:cstheme="minorEastAsia"/>
                <w:snapToGrid w:val="0"/>
                <w:kern w:val="2"/>
                <w:szCs w:val="24"/>
              </w:rPr>
            </w:pPr>
            <w:r>
              <w:rPr>
                <w:rFonts w:hint="eastAsia" w:asciiTheme="minorEastAsia" w:hAnsiTheme="minorEastAsia" w:cstheme="minorEastAsia"/>
                <w:snapToGrid w:val="0"/>
                <w:kern w:val="2"/>
                <w:szCs w:val="24"/>
              </w:rPr>
              <w:t>流动资金（万元）</w:t>
            </w:r>
          </w:p>
        </w:tc>
        <w:tc>
          <w:tcPr>
            <w:tcW w:w="2508" w:type="dxa"/>
            <w:gridSpan w:val="4"/>
            <w:vAlign w:val="center"/>
          </w:tcPr>
          <w:p>
            <w:pPr>
              <w:jc w:val="center"/>
              <w:rPr>
                <w:rFonts w:asciiTheme="minorEastAsia" w:hAnsiTheme="minorEastAsia" w:cstheme="minorEastAsia"/>
                <w:snapToGrid w:val="0"/>
                <w:kern w:val="2"/>
                <w:szCs w:val="24"/>
              </w:rPr>
            </w:pPr>
          </w:p>
        </w:tc>
        <w:tc>
          <w:tcPr>
            <w:tcW w:w="837" w:type="dxa"/>
            <w:gridSpan w:val="2"/>
            <w:vMerge w:val="continue"/>
            <w:vAlign w:val="center"/>
          </w:tcPr>
          <w:p>
            <w:pPr>
              <w:jc w:val="center"/>
              <w:rPr>
                <w:rFonts w:asciiTheme="minorEastAsia" w:hAnsiTheme="minorEastAsia" w:cstheme="minorEastAsia"/>
                <w:snapToGrid w:val="0"/>
                <w:kern w:val="2"/>
                <w:szCs w:val="24"/>
              </w:rPr>
            </w:pPr>
          </w:p>
        </w:tc>
        <w:tc>
          <w:tcPr>
            <w:tcW w:w="3617" w:type="dxa"/>
            <w:gridSpan w:val="5"/>
            <w:vAlign w:val="center"/>
          </w:tcPr>
          <w:p>
            <w:pPr>
              <w:rPr>
                <w:rFonts w:asciiTheme="minorEastAsia" w:hAnsiTheme="minorEastAsia" w:cstheme="minorEastAsia"/>
                <w:snapToGrid w:val="0"/>
                <w:kern w:val="2"/>
                <w:szCs w:val="24"/>
              </w:rPr>
            </w:pPr>
            <w:r>
              <w:rPr>
                <w:rFonts w:hint="eastAsia" w:asciiTheme="minorEastAsia" w:hAnsiTheme="minorEastAsia" w:cstheme="minorEastAsia"/>
                <w:snapToGrid w:val="0"/>
                <w:kern w:val="2"/>
                <w:szCs w:val="24"/>
              </w:rPr>
              <w:t>中级职称人员(人)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293" w:type="dxa"/>
            <w:vMerge w:val="restart"/>
            <w:vAlign w:val="center"/>
          </w:tcPr>
          <w:p>
            <w:pPr>
              <w:jc w:val="center"/>
              <w:rPr>
                <w:rFonts w:asciiTheme="minorEastAsia" w:hAnsiTheme="minorEastAsia" w:cstheme="minorEastAsia"/>
                <w:snapToGrid w:val="0"/>
                <w:kern w:val="2"/>
                <w:szCs w:val="24"/>
              </w:rPr>
            </w:pPr>
            <w:r>
              <w:rPr>
                <w:rFonts w:hint="eastAsia" w:asciiTheme="minorEastAsia" w:hAnsiTheme="minorEastAsia" w:cstheme="minorEastAsia"/>
                <w:snapToGrid w:val="0"/>
                <w:kern w:val="2"/>
                <w:szCs w:val="24"/>
              </w:rPr>
              <w:t>开户银行</w:t>
            </w:r>
          </w:p>
        </w:tc>
        <w:tc>
          <w:tcPr>
            <w:tcW w:w="920" w:type="dxa"/>
            <w:gridSpan w:val="4"/>
            <w:vAlign w:val="center"/>
          </w:tcPr>
          <w:p>
            <w:pPr>
              <w:jc w:val="center"/>
              <w:rPr>
                <w:rFonts w:asciiTheme="minorEastAsia" w:hAnsiTheme="minorEastAsia" w:cstheme="minorEastAsia"/>
                <w:snapToGrid w:val="0"/>
                <w:kern w:val="2"/>
                <w:szCs w:val="24"/>
              </w:rPr>
            </w:pPr>
            <w:r>
              <w:rPr>
                <w:rFonts w:hint="eastAsia" w:asciiTheme="minorEastAsia" w:hAnsiTheme="minorEastAsia" w:cstheme="minorEastAsia"/>
                <w:snapToGrid w:val="0"/>
                <w:kern w:val="2"/>
                <w:szCs w:val="24"/>
              </w:rPr>
              <w:t>名称</w:t>
            </w:r>
          </w:p>
        </w:tc>
        <w:tc>
          <w:tcPr>
            <w:tcW w:w="2508" w:type="dxa"/>
            <w:gridSpan w:val="4"/>
            <w:vAlign w:val="center"/>
          </w:tcPr>
          <w:p>
            <w:pPr>
              <w:jc w:val="center"/>
              <w:rPr>
                <w:rFonts w:asciiTheme="minorEastAsia" w:hAnsiTheme="minorEastAsia" w:cstheme="minorEastAsia"/>
                <w:snapToGrid w:val="0"/>
                <w:kern w:val="2"/>
                <w:szCs w:val="24"/>
              </w:rPr>
            </w:pPr>
          </w:p>
        </w:tc>
        <w:tc>
          <w:tcPr>
            <w:tcW w:w="837" w:type="dxa"/>
            <w:gridSpan w:val="2"/>
            <w:vMerge w:val="continue"/>
            <w:vAlign w:val="center"/>
          </w:tcPr>
          <w:p>
            <w:pPr>
              <w:jc w:val="center"/>
              <w:rPr>
                <w:rFonts w:asciiTheme="minorEastAsia" w:hAnsiTheme="minorEastAsia" w:cstheme="minorEastAsia"/>
                <w:snapToGrid w:val="0"/>
                <w:kern w:val="2"/>
                <w:szCs w:val="24"/>
              </w:rPr>
            </w:pPr>
          </w:p>
        </w:tc>
        <w:tc>
          <w:tcPr>
            <w:tcW w:w="3617" w:type="dxa"/>
            <w:gridSpan w:val="5"/>
            <w:vAlign w:val="center"/>
          </w:tcPr>
          <w:p>
            <w:pPr>
              <w:rPr>
                <w:rFonts w:asciiTheme="minorEastAsia" w:hAnsiTheme="minorEastAsia" w:cstheme="minorEastAsia"/>
                <w:snapToGrid w:val="0"/>
                <w:kern w:val="2"/>
                <w:szCs w:val="24"/>
              </w:rPr>
            </w:pPr>
            <w:r>
              <w:rPr>
                <w:rFonts w:hint="eastAsia" w:asciiTheme="minorEastAsia" w:hAnsiTheme="minorEastAsia" w:cstheme="minorEastAsia"/>
                <w:snapToGrid w:val="0"/>
                <w:kern w:val="2"/>
                <w:szCs w:val="24"/>
              </w:rPr>
              <w:t>初级职称人员(人)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293" w:type="dxa"/>
            <w:vMerge w:val="continue"/>
            <w:vAlign w:val="center"/>
          </w:tcPr>
          <w:p>
            <w:pPr>
              <w:jc w:val="center"/>
              <w:rPr>
                <w:rFonts w:asciiTheme="minorEastAsia" w:hAnsiTheme="minorEastAsia" w:cstheme="minorEastAsia"/>
                <w:snapToGrid w:val="0"/>
                <w:kern w:val="2"/>
                <w:szCs w:val="24"/>
              </w:rPr>
            </w:pPr>
          </w:p>
        </w:tc>
        <w:tc>
          <w:tcPr>
            <w:tcW w:w="920" w:type="dxa"/>
            <w:gridSpan w:val="4"/>
            <w:vAlign w:val="center"/>
          </w:tcPr>
          <w:p>
            <w:pPr>
              <w:jc w:val="center"/>
              <w:rPr>
                <w:rFonts w:asciiTheme="minorEastAsia" w:hAnsiTheme="minorEastAsia" w:cstheme="minorEastAsia"/>
                <w:snapToGrid w:val="0"/>
                <w:kern w:val="2"/>
                <w:szCs w:val="24"/>
              </w:rPr>
            </w:pPr>
            <w:r>
              <w:rPr>
                <w:rFonts w:hint="eastAsia" w:asciiTheme="minorEastAsia" w:hAnsiTheme="minorEastAsia" w:cstheme="minorEastAsia"/>
                <w:snapToGrid w:val="0"/>
                <w:kern w:val="2"/>
                <w:szCs w:val="24"/>
              </w:rPr>
              <w:t>账号</w:t>
            </w:r>
          </w:p>
        </w:tc>
        <w:tc>
          <w:tcPr>
            <w:tcW w:w="2508" w:type="dxa"/>
            <w:gridSpan w:val="4"/>
            <w:vAlign w:val="center"/>
          </w:tcPr>
          <w:p>
            <w:pPr>
              <w:jc w:val="center"/>
              <w:rPr>
                <w:rFonts w:asciiTheme="minorEastAsia" w:hAnsiTheme="minorEastAsia" w:cstheme="minorEastAsia"/>
                <w:snapToGrid w:val="0"/>
                <w:kern w:val="2"/>
                <w:szCs w:val="24"/>
              </w:rPr>
            </w:pPr>
          </w:p>
        </w:tc>
        <w:tc>
          <w:tcPr>
            <w:tcW w:w="837" w:type="dxa"/>
            <w:gridSpan w:val="2"/>
            <w:vMerge w:val="continue"/>
            <w:vAlign w:val="center"/>
          </w:tcPr>
          <w:p>
            <w:pPr>
              <w:jc w:val="center"/>
              <w:rPr>
                <w:rFonts w:asciiTheme="minorEastAsia" w:hAnsiTheme="minorEastAsia" w:cstheme="minorEastAsia"/>
                <w:snapToGrid w:val="0"/>
                <w:kern w:val="2"/>
                <w:szCs w:val="24"/>
              </w:rPr>
            </w:pPr>
          </w:p>
        </w:tc>
        <w:tc>
          <w:tcPr>
            <w:tcW w:w="3617" w:type="dxa"/>
            <w:gridSpan w:val="5"/>
            <w:vAlign w:val="center"/>
          </w:tcPr>
          <w:p>
            <w:pPr>
              <w:rPr>
                <w:rFonts w:asciiTheme="minorEastAsia" w:hAnsiTheme="minorEastAsia" w:cstheme="minorEastAsia"/>
                <w:snapToGrid w:val="0"/>
                <w:kern w:val="2"/>
                <w:szCs w:val="24"/>
              </w:rPr>
            </w:pPr>
            <w:r>
              <w:rPr>
                <w:rFonts w:hint="eastAsia" w:asciiTheme="minorEastAsia" w:hAnsiTheme="minorEastAsia" w:cstheme="minorEastAsia"/>
                <w:snapToGrid w:val="0"/>
                <w:kern w:val="2"/>
                <w:szCs w:val="24"/>
              </w:rPr>
              <w:t>技工（人）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5558" w:type="dxa"/>
            <w:gridSpan w:val="11"/>
            <w:vAlign w:val="center"/>
          </w:tcPr>
          <w:p>
            <w:pPr>
              <w:jc w:val="center"/>
              <w:rPr>
                <w:rFonts w:asciiTheme="minorEastAsia" w:hAnsiTheme="minorEastAsia" w:cstheme="minorEastAsia"/>
                <w:snapToGrid w:val="0"/>
                <w:kern w:val="2"/>
                <w:szCs w:val="24"/>
              </w:rPr>
            </w:pPr>
            <w:r>
              <w:rPr>
                <w:rFonts w:hint="eastAsia" w:asciiTheme="minorEastAsia" w:hAnsiTheme="minorEastAsia" w:cstheme="minorEastAsia"/>
                <w:snapToGrid w:val="0"/>
                <w:kern w:val="2"/>
                <w:szCs w:val="24"/>
              </w:rPr>
              <w:t>最近5年完成的营业额（万元）</w:t>
            </w:r>
          </w:p>
        </w:tc>
        <w:tc>
          <w:tcPr>
            <w:tcW w:w="3617" w:type="dxa"/>
            <w:gridSpan w:val="5"/>
            <w:vAlign w:val="center"/>
          </w:tcPr>
          <w:p>
            <w:pPr>
              <w:jc w:val="center"/>
              <w:rPr>
                <w:rFonts w:asciiTheme="minorEastAsia" w:hAnsiTheme="minorEastAsia" w:cstheme="minorEastAsia"/>
                <w:snapToGrid w:val="0"/>
                <w:kern w:val="2"/>
                <w:szCs w:val="24"/>
              </w:rPr>
            </w:pPr>
            <w:r>
              <w:rPr>
                <w:rFonts w:hint="eastAsia" w:asciiTheme="minorEastAsia" w:hAnsiTheme="minorEastAsia" w:cstheme="minorEastAsia"/>
                <w:snapToGrid w:val="0"/>
                <w:kern w:val="2"/>
                <w:szCs w:val="24"/>
              </w:rPr>
              <w:t>近期完成的类似工程情况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2007" w:type="dxa"/>
            <w:gridSpan w:val="4"/>
            <w:vAlign w:val="center"/>
          </w:tcPr>
          <w:p>
            <w:pPr>
              <w:jc w:val="center"/>
              <w:rPr>
                <w:rFonts w:asciiTheme="minorEastAsia" w:hAnsiTheme="minorEastAsia" w:cstheme="minorEastAsia"/>
                <w:snapToGrid w:val="0"/>
                <w:kern w:val="2"/>
                <w:szCs w:val="24"/>
              </w:rPr>
            </w:pPr>
            <w:r>
              <w:rPr>
                <w:rFonts w:hint="eastAsia" w:asciiTheme="minorEastAsia" w:hAnsiTheme="minorEastAsia" w:cstheme="minorEastAsia"/>
                <w:snapToGrid w:val="0"/>
                <w:kern w:val="2"/>
                <w:szCs w:val="24"/>
              </w:rPr>
              <w:t>年</w:t>
            </w:r>
          </w:p>
        </w:tc>
        <w:tc>
          <w:tcPr>
            <w:tcW w:w="3551" w:type="dxa"/>
            <w:gridSpan w:val="7"/>
            <w:vAlign w:val="center"/>
          </w:tcPr>
          <w:p>
            <w:pPr>
              <w:jc w:val="center"/>
              <w:rPr>
                <w:rFonts w:asciiTheme="minorEastAsia" w:hAnsiTheme="minorEastAsia" w:cstheme="minorEastAsia"/>
                <w:snapToGrid w:val="0"/>
                <w:kern w:val="2"/>
                <w:szCs w:val="24"/>
              </w:rPr>
            </w:pPr>
          </w:p>
        </w:tc>
        <w:tc>
          <w:tcPr>
            <w:tcW w:w="3617" w:type="dxa"/>
            <w:gridSpan w:val="5"/>
            <w:vAlign w:val="center"/>
          </w:tcPr>
          <w:p>
            <w:pPr>
              <w:rPr>
                <w:rFonts w:asciiTheme="minorEastAsia" w:hAnsiTheme="minorEastAsia" w:cstheme="minorEastAsia"/>
                <w:snapToGrid w:val="0"/>
                <w:kern w:val="2"/>
                <w:szCs w:val="24"/>
              </w:rPr>
            </w:pPr>
            <w:r>
              <w:rPr>
                <w:rFonts w:hint="eastAsia" w:asciiTheme="minorEastAsia" w:hAnsiTheme="minorEastAsia" w:cstheme="minorEastAsia"/>
                <w:snapToGrid w:val="0"/>
                <w:kern w:val="2"/>
                <w:szCs w:val="24"/>
              </w:rPr>
              <w:t>另附表，格式见《近期完成的类似工程情况表》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2007" w:type="dxa"/>
            <w:gridSpan w:val="4"/>
            <w:vAlign w:val="center"/>
          </w:tcPr>
          <w:p>
            <w:pPr>
              <w:jc w:val="center"/>
              <w:rPr>
                <w:rFonts w:asciiTheme="minorEastAsia" w:hAnsiTheme="minorEastAsia" w:cstheme="minorEastAsia"/>
                <w:snapToGrid w:val="0"/>
                <w:kern w:val="2"/>
                <w:szCs w:val="24"/>
              </w:rPr>
            </w:pPr>
            <w:r>
              <w:rPr>
                <w:rFonts w:hint="eastAsia" w:asciiTheme="minorEastAsia" w:hAnsiTheme="minorEastAsia" w:cstheme="minorEastAsia"/>
                <w:snapToGrid w:val="0"/>
                <w:kern w:val="2"/>
                <w:szCs w:val="24"/>
              </w:rPr>
              <w:t>年</w:t>
            </w:r>
          </w:p>
        </w:tc>
        <w:tc>
          <w:tcPr>
            <w:tcW w:w="3551" w:type="dxa"/>
            <w:gridSpan w:val="7"/>
            <w:vAlign w:val="center"/>
          </w:tcPr>
          <w:p>
            <w:pPr>
              <w:jc w:val="center"/>
              <w:rPr>
                <w:rFonts w:asciiTheme="minorEastAsia" w:hAnsiTheme="minorEastAsia" w:cstheme="minorEastAsia"/>
                <w:snapToGrid w:val="0"/>
                <w:kern w:val="2"/>
                <w:szCs w:val="24"/>
              </w:rPr>
            </w:pPr>
          </w:p>
        </w:tc>
        <w:tc>
          <w:tcPr>
            <w:tcW w:w="3617" w:type="dxa"/>
            <w:gridSpan w:val="5"/>
            <w:vAlign w:val="center"/>
          </w:tcPr>
          <w:p>
            <w:pPr>
              <w:jc w:val="center"/>
              <w:rPr>
                <w:rFonts w:asciiTheme="minorEastAsia" w:hAnsiTheme="minorEastAsia" w:cstheme="minorEastAsia"/>
                <w:snapToGrid w:val="0"/>
                <w:kern w:val="2"/>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2007" w:type="dxa"/>
            <w:gridSpan w:val="4"/>
            <w:vAlign w:val="center"/>
          </w:tcPr>
          <w:p>
            <w:pPr>
              <w:jc w:val="center"/>
              <w:rPr>
                <w:rFonts w:asciiTheme="minorEastAsia" w:hAnsiTheme="minorEastAsia" w:cstheme="minorEastAsia"/>
                <w:snapToGrid w:val="0"/>
                <w:kern w:val="2"/>
                <w:szCs w:val="24"/>
              </w:rPr>
            </w:pPr>
            <w:r>
              <w:rPr>
                <w:rFonts w:hint="eastAsia" w:asciiTheme="minorEastAsia" w:hAnsiTheme="minorEastAsia" w:cstheme="minorEastAsia"/>
                <w:snapToGrid w:val="0"/>
                <w:kern w:val="2"/>
                <w:szCs w:val="24"/>
              </w:rPr>
              <w:t>年</w:t>
            </w:r>
          </w:p>
        </w:tc>
        <w:tc>
          <w:tcPr>
            <w:tcW w:w="3551" w:type="dxa"/>
            <w:gridSpan w:val="7"/>
            <w:vAlign w:val="center"/>
          </w:tcPr>
          <w:p>
            <w:pPr>
              <w:jc w:val="center"/>
              <w:rPr>
                <w:rFonts w:asciiTheme="minorEastAsia" w:hAnsiTheme="minorEastAsia" w:cstheme="minorEastAsia"/>
                <w:snapToGrid w:val="0"/>
                <w:kern w:val="2"/>
                <w:szCs w:val="24"/>
              </w:rPr>
            </w:pPr>
          </w:p>
        </w:tc>
        <w:tc>
          <w:tcPr>
            <w:tcW w:w="3617" w:type="dxa"/>
            <w:gridSpan w:val="5"/>
            <w:vAlign w:val="center"/>
          </w:tcPr>
          <w:p>
            <w:pPr>
              <w:jc w:val="center"/>
              <w:rPr>
                <w:rFonts w:asciiTheme="minorEastAsia" w:hAnsiTheme="minorEastAsia" w:cstheme="minorEastAsia"/>
                <w:snapToGrid w:val="0"/>
                <w:kern w:val="2"/>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2007" w:type="dxa"/>
            <w:gridSpan w:val="4"/>
            <w:vAlign w:val="center"/>
          </w:tcPr>
          <w:p>
            <w:pPr>
              <w:jc w:val="center"/>
              <w:rPr>
                <w:rFonts w:asciiTheme="minorEastAsia" w:hAnsiTheme="minorEastAsia" w:cstheme="minorEastAsia"/>
                <w:snapToGrid w:val="0"/>
                <w:kern w:val="2"/>
                <w:szCs w:val="24"/>
              </w:rPr>
            </w:pPr>
            <w:r>
              <w:rPr>
                <w:rFonts w:hint="eastAsia" w:asciiTheme="minorEastAsia" w:hAnsiTheme="minorEastAsia" w:cstheme="minorEastAsia"/>
                <w:snapToGrid w:val="0"/>
                <w:kern w:val="2"/>
                <w:szCs w:val="24"/>
              </w:rPr>
              <w:t>年</w:t>
            </w:r>
          </w:p>
        </w:tc>
        <w:tc>
          <w:tcPr>
            <w:tcW w:w="3551" w:type="dxa"/>
            <w:gridSpan w:val="7"/>
            <w:vAlign w:val="center"/>
          </w:tcPr>
          <w:p>
            <w:pPr>
              <w:jc w:val="center"/>
              <w:rPr>
                <w:rFonts w:asciiTheme="minorEastAsia" w:hAnsiTheme="minorEastAsia" w:cstheme="minorEastAsia"/>
                <w:snapToGrid w:val="0"/>
                <w:kern w:val="2"/>
                <w:szCs w:val="24"/>
              </w:rPr>
            </w:pPr>
          </w:p>
        </w:tc>
        <w:tc>
          <w:tcPr>
            <w:tcW w:w="3617" w:type="dxa"/>
            <w:gridSpan w:val="5"/>
            <w:vAlign w:val="center"/>
          </w:tcPr>
          <w:p>
            <w:pPr>
              <w:jc w:val="center"/>
              <w:rPr>
                <w:rFonts w:asciiTheme="minorEastAsia" w:hAnsiTheme="minorEastAsia" w:cstheme="minorEastAsia"/>
                <w:snapToGrid w:val="0"/>
                <w:kern w:val="2"/>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9175" w:type="dxa"/>
            <w:gridSpan w:val="16"/>
            <w:vAlign w:val="center"/>
          </w:tcPr>
          <w:p>
            <w:pPr>
              <w:jc w:val="center"/>
              <w:rPr>
                <w:rFonts w:asciiTheme="minorEastAsia" w:hAnsiTheme="minorEastAsia" w:cstheme="minorEastAsia"/>
                <w:snapToGrid w:val="0"/>
                <w:kern w:val="2"/>
                <w:szCs w:val="24"/>
              </w:rPr>
            </w:pPr>
            <w:r>
              <w:rPr>
                <w:rFonts w:hint="eastAsia" w:asciiTheme="minorEastAsia" w:hAnsiTheme="minorEastAsia" w:cstheme="minorEastAsia"/>
                <w:snapToGrid w:val="0"/>
                <w:kern w:val="2"/>
                <w:szCs w:val="24"/>
              </w:rPr>
              <w:t>能承担的年最大建安工作量（万元）</w:t>
            </w:r>
          </w:p>
        </w:tc>
      </w:tr>
    </w:tbl>
    <w:p>
      <w:pPr>
        <w:pStyle w:val="6"/>
        <w:rPr>
          <w:snapToGrid w:val="0"/>
          <w:sz w:val="21"/>
          <w:szCs w:val="21"/>
        </w:rPr>
      </w:pPr>
      <w:r>
        <w:rPr>
          <w:rFonts w:hint="eastAsia"/>
          <w:snapToGrid w:val="0"/>
          <w:sz w:val="21"/>
          <w:szCs w:val="21"/>
        </w:rPr>
        <w:t>注：相关材料复印件在“原件的扫描件或电子件（复印件）”中提供。</w:t>
      </w:r>
    </w:p>
    <w:p>
      <w:pPr>
        <w:rPr>
          <w:snapToGrid w:val="0"/>
          <w:szCs w:val="24"/>
        </w:rPr>
      </w:pPr>
      <w:r>
        <w:rPr>
          <w:rFonts w:hint="eastAsia"/>
          <w:snapToGrid w:val="0"/>
          <w:szCs w:val="24"/>
        </w:rPr>
        <w:t>竞包人：</w:t>
      </w:r>
      <w:r>
        <w:rPr>
          <w:rFonts w:hint="eastAsia"/>
          <w:snapToGrid w:val="0"/>
          <w:szCs w:val="24"/>
          <w:u w:val="single"/>
        </w:rPr>
        <w:t>（盖单位章）</w:t>
      </w:r>
    </w:p>
    <w:p>
      <w:pPr>
        <w:rPr>
          <w:snapToGrid w:val="0"/>
          <w:szCs w:val="24"/>
        </w:rPr>
      </w:pPr>
      <w:r>
        <w:rPr>
          <w:rFonts w:hint="eastAsia"/>
          <w:snapToGrid w:val="0"/>
          <w:szCs w:val="24"/>
        </w:rPr>
        <w:t>法定代表人（或委托代理人）：</w:t>
      </w:r>
      <w:r>
        <w:rPr>
          <w:rFonts w:hint="eastAsia"/>
          <w:snapToGrid w:val="0"/>
          <w:szCs w:val="24"/>
          <w:u w:val="single"/>
        </w:rPr>
        <w:t>（签字或盖章）</w:t>
      </w:r>
    </w:p>
    <w:p>
      <w:pPr>
        <w:ind w:firstLine="4440"/>
        <w:rPr>
          <w:snapToGrid w:val="0"/>
          <w:szCs w:val="24"/>
        </w:rPr>
      </w:pPr>
      <w:r>
        <w:rPr>
          <w:rFonts w:hint="eastAsia"/>
          <w:snapToGrid w:val="0"/>
          <w:szCs w:val="24"/>
        </w:rPr>
        <w:t>年  月  日</w:t>
      </w:r>
    </w:p>
    <w:p>
      <w:pPr>
        <w:rPr>
          <w:snapToGrid w:val="0"/>
          <w:szCs w:val="24"/>
        </w:rPr>
      </w:pPr>
    </w:p>
    <w:p>
      <w:pPr>
        <w:pStyle w:val="7"/>
        <w:rPr>
          <w:szCs w:val="24"/>
        </w:rPr>
      </w:pPr>
      <w:r>
        <w:rPr>
          <w:rFonts w:hint="eastAsia" w:ascii="黑体" w:hAnsi="黑体" w:eastAsia="黑体"/>
          <w:szCs w:val="24"/>
        </w:rPr>
        <w:t>（二</w:t>
      </w:r>
      <w:r>
        <w:rPr>
          <w:rFonts w:hint="eastAsia" w:ascii="宋体" w:hAnsi="宋体" w:eastAsia="宋体" w:cs="宋体"/>
          <w:szCs w:val="24"/>
        </w:rPr>
        <w:t>）201</w:t>
      </w:r>
      <w:r>
        <w:rPr>
          <w:rFonts w:hint="eastAsia" w:ascii="宋体" w:hAnsi="宋体" w:eastAsia="宋体" w:cs="宋体"/>
          <w:szCs w:val="24"/>
          <w:lang w:val="en-US" w:eastAsia="zh-CN"/>
        </w:rPr>
        <w:t>7</w:t>
      </w:r>
      <w:r>
        <w:rPr>
          <w:rFonts w:hint="eastAsia" w:ascii="宋体" w:hAnsi="宋体" w:eastAsia="宋体" w:cs="宋体"/>
          <w:szCs w:val="24"/>
        </w:rPr>
        <w:t>年、201</w:t>
      </w:r>
      <w:r>
        <w:rPr>
          <w:rFonts w:hint="eastAsia" w:ascii="宋体" w:hAnsi="宋体" w:eastAsia="宋体" w:cs="宋体"/>
          <w:szCs w:val="24"/>
          <w:lang w:val="en-US" w:eastAsia="zh-CN"/>
        </w:rPr>
        <w:t>8</w:t>
      </w:r>
      <w:r>
        <w:rPr>
          <w:rFonts w:hint="eastAsia" w:ascii="宋体" w:hAnsi="宋体" w:eastAsia="宋体" w:cs="宋体"/>
          <w:szCs w:val="24"/>
        </w:rPr>
        <w:t>年、201</w:t>
      </w:r>
      <w:r>
        <w:rPr>
          <w:rFonts w:hint="eastAsia" w:ascii="宋体" w:hAnsi="宋体" w:eastAsia="宋体" w:cs="宋体"/>
          <w:szCs w:val="24"/>
          <w:lang w:val="en-US" w:eastAsia="zh-CN"/>
        </w:rPr>
        <w:t>9</w:t>
      </w:r>
      <w:r>
        <w:rPr>
          <w:rFonts w:hint="eastAsia" w:ascii="宋体" w:hAnsi="宋体" w:eastAsia="宋体" w:cs="宋体"/>
          <w:szCs w:val="24"/>
        </w:rPr>
        <w:t>年财务状况表</w:t>
      </w:r>
    </w:p>
    <w:p>
      <w:pPr>
        <w:ind w:firstLine="480" w:firstLineChars="200"/>
        <w:rPr>
          <w:snapToGrid w:val="0"/>
          <w:szCs w:val="24"/>
        </w:rPr>
      </w:pPr>
      <w:r>
        <w:rPr>
          <w:rFonts w:hint="eastAsia"/>
          <w:snapToGrid w:val="0"/>
          <w:szCs w:val="24"/>
        </w:rPr>
        <w:t>1</w:t>
      </w:r>
      <w:r>
        <w:rPr>
          <w:rFonts w:hint="eastAsia" w:ascii="宋体" w:hAnsi="宋体"/>
          <w:snapToGrid w:val="0"/>
          <w:szCs w:val="24"/>
        </w:rPr>
        <w:t>.</w:t>
      </w:r>
      <w:r>
        <w:rPr>
          <w:rFonts w:hint="eastAsia"/>
          <w:snapToGrid w:val="0"/>
          <w:szCs w:val="24"/>
        </w:rPr>
        <w:t>财务状况表</w:t>
      </w:r>
    </w:p>
    <w:p>
      <w:pPr>
        <w:jc w:val="center"/>
        <w:rPr>
          <w:b/>
          <w:snapToGrid w:val="0"/>
          <w:sz w:val="28"/>
          <w:szCs w:val="28"/>
        </w:rPr>
      </w:pPr>
      <w:r>
        <w:rPr>
          <w:rFonts w:hint="eastAsia"/>
          <w:b/>
          <w:snapToGrid w:val="0"/>
          <w:sz w:val="28"/>
          <w:szCs w:val="28"/>
        </w:rPr>
        <w:t>财务状况表</w:t>
      </w:r>
    </w:p>
    <w:tbl>
      <w:tblPr>
        <w:tblStyle w:val="24"/>
        <w:tblW w:w="9175"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2295"/>
        <w:gridCol w:w="1216"/>
        <w:gridCol w:w="1888"/>
        <w:gridCol w:w="1888"/>
        <w:gridCol w:w="188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295" w:type="dxa"/>
            <w:vAlign w:val="center"/>
          </w:tcPr>
          <w:p>
            <w:pPr>
              <w:snapToGrid w:val="0"/>
              <w:jc w:val="center"/>
              <w:rPr>
                <w:rFonts w:ascii="宋体" w:hAnsi="宋体" w:cs="宋体"/>
                <w:snapToGrid w:val="0"/>
                <w:kern w:val="2"/>
                <w:szCs w:val="28"/>
              </w:rPr>
            </w:pPr>
            <w:r>
              <w:rPr>
                <w:rFonts w:hint="eastAsia" w:ascii="宋体" w:hAnsi="宋体" w:cs="宋体"/>
                <w:snapToGrid w:val="0"/>
                <w:kern w:val="2"/>
                <w:szCs w:val="28"/>
              </w:rPr>
              <w:t>项目名称</w:t>
            </w:r>
          </w:p>
        </w:tc>
        <w:tc>
          <w:tcPr>
            <w:tcW w:w="1216" w:type="dxa"/>
            <w:vAlign w:val="center"/>
          </w:tcPr>
          <w:p>
            <w:pPr>
              <w:snapToGrid w:val="0"/>
              <w:jc w:val="center"/>
              <w:rPr>
                <w:rFonts w:ascii="宋体" w:hAnsi="宋体" w:cs="宋体"/>
                <w:snapToGrid w:val="0"/>
                <w:kern w:val="2"/>
                <w:szCs w:val="28"/>
              </w:rPr>
            </w:pPr>
            <w:r>
              <w:rPr>
                <w:rFonts w:hint="eastAsia" w:ascii="宋体" w:hAnsi="宋体" w:cs="宋体"/>
                <w:snapToGrid w:val="0"/>
                <w:kern w:val="2"/>
                <w:szCs w:val="28"/>
              </w:rPr>
              <w:t>单位</w:t>
            </w:r>
          </w:p>
        </w:tc>
        <w:tc>
          <w:tcPr>
            <w:tcW w:w="1888" w:type="dxa"/>
            <w:vAlign w:val="center"/>
          </w:tcPr>
          <w:p>
            <w:pPr>
              <w:snapToGrid w:val="0"/>
              <w:jc w:val="center"/>
              <w:rPr>
                <w:rFonts w:ascii="宋体" w:hAnsi="宋体" w:cs="宋体"/>
                <w:snapToGrid w:val="0"/>
                <w:kern w:val="2"/>
                <w:szCs w:val="28"/>
              </w:rPr>
            </w:pPr>
            <w:r>
              <w:rPr>
                <w:rFonts w:hint="eastAsia" w:ascii="宋体" w:hAnsi="宋体" w:cs="宋体"/>
                <w:snapToGrid w:val="0"/>
                <w:kern w:val="2"/>
                <w:szCs w:val="28"/>
              </w:rPr>
              <w:t>年</w:t>
            </w:r>
          </w:p>
        </w:tc>
        <w:tc>
          <w:tcPr>
            <w:tcW w:w="1888" w:type="dxa"/>
            <w:vAlign w:val="center"/>
          </w:tcPr>
          <w:p>
            <w:pPr>
              <w:snapToGrid w:val="0"/>
              <w:jc w:val="center"/>
              <w:rPr>
                <w:rFonts w:ascii="宋体" w:hAnsi="宋体" w:cs="宋体"/>
                <w:snapToGrid w:val="0"/>
                <w:kern w:val="2"/>
                <w:szCs w:val="28"/>
              </w:rPr>
            </w:pPr>
            <w:r>
              <w:rPr>
                <w:rFonts w:hint="eastAsia" w:ascii="宋体" w:hAnsi="宋体" w:cs="宋体"/>
                <w:snapToGrid w:val="0"/>
                <w:kern w:val="2"/>
                <w:szCs w:val="28"/>
              </w:rPr>
              <w:t>年</w:t>
            </w:r>
          </w:p>
        </w:tc>
        <w:tc>
          <w:tcPr>
            <w:tcW w:w="1888" w:type="dxa"/>
            <w:vAlign w:val="center"/>
          </w:tcPr>
          <w:p>
            <w:pPr>
              <w:snapToGrid w:val="0"/>
              <w:jc w:val="center"/>
              <w:rPr>
                <w:rFonts w:ascii="宋体" w:hAnsi="宋体" w:cs="宋体"/>
                <w:snapToGrid w:val="0"/>
                <w:kern w:val="2"/>
                <w:szCs w:val="28"/>
              </w:rPr>
            </w:pPr>
            <w:r>
              <w:rPr>
                <w:rFonts w:hint="eastAsia" w:ascii="宋体" w:hAnsi="宋体" w:cs="宋体"/>
                <w:snapToGrid w:val="0"/>
                <w:kern w:val="2"/>
                <w:szCs w:val="28"/>
              </w:rPr>
              <w:t>年</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295" w:type="dxa"/>
            <w:vAlign w:val="center"/>
          </w:tcPr>
          <w:p>
            <w:pPr>
              <w:snapToGrid w:val="0"/>
              <w:rPr>
                <w:rFonts w:ascii="宋体" w:hAnsi="宋体" w:cs="宋体"/>
                <w:snapToGrid w:val="0"/>
                <w:kern w:val="2"/>
                <w:szCs w:val="28"/>
              </w:rPr>
            </w:pPr>
            <w:r>
              <w:rPr>
                <w:rFonts w:hint="eastAsia" w:ascii="宋体" w:hAnsi="宋体" w:cs="宋体"/>
                <w:snapToGrid w:val="0"/>
                <w:kern w:val="2"/>
                <w:szCs w:val="28"/>
              </w:rPr>
              <w:t>一、注册资金</w:t>
            </w:r>
          </w:p>
        </w:tc>
        <w:tc>
          <w:tcPr>
            <w:tcW w:w="1216" w:type="dxa"/>
            <w:vAlign w:val="center"/>
          </w:tcPr>
          <w:p>
            <w:pPr>
              <w:snapToGrid w:val="0"/>
              <w:jc w:val="center"/>
              <w:rPr>
                <w:rFonts w:ascii="宋体" w:hAnsi="宋体" w:cs="宋体"/>
                <w:snapToGrid w:val="0"/>
                <w:kern w:val="2"/>
                <w:szCs w:val="28"/>
              </w:rPr>
            </w:pPr>
          </w:p>
        </w:tc>
        <w:tc>
          <w:tcPr>
            <w:tcW w:w="1888" w:type="dxa"/>
            <w:vAlign w:val="center"/>
          </w:tcPr>
          <w:p>
            <w:pPr>
              <w:snapToGrid w:val="0"/>
              <w:jc w:val="center"/>
              <w:rPr>
                <w:rFonts w:ascii="宋体" w:hAnsi="宋体" w:cs="宋体"/>
                <w:snapToGrid w:val="0"/>
                <w:kern w:val="2"/>
                <w:szCs w:val="28"/>
              </w:rPr>
            </w:pPr>
          </w:p>
        </w:tc>
        <w:tc>
          <w:tcPr>
            <w:tcW w:w="1888" w:type="dxa"/>
            <w:vAlign w:val="center"/>
          </w:tcPr>
          <w:p>
            <w:pPr>
              <w:snapToGrid w:val="0"/>
              <w:jc w:val="center"/>
              <w:rPr>
                <w:rFonts w:ascii="宋体" w:hAnsi="宋体" w:cs="宋体"/>
                <w:snapToGrid w:val="0"/>
                <w:kern w:val="2"/>
                <w:szCs w:val="28"/>
              </w:rPr>
            </w:pPr>
          </w:p>
        </w:tc>
        <w:tc>
          <w:tcPr>
            <w:tcW w:w="1888" w:type="dxa"/>
            <w:vAlign w:val="center"/>
          </w:tcPr>
          <w:p>
            <w:pPr>
              <w:snapToGrid w:val="0"/>
              <w:jc w:val="center"/>
              <w:rPr>
                <w:rFonts w:ascii="宋体" w:hAnsi="宋体" w:cs="宋体"/>
                <w:snapToGrid w:val="0"/>
                <w:kern w:val="2"/>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295" w:type="dxa"/>
            <w:vAlign w:val="center"/>
          </w:tcPr>
          <w:p>
            <w:pPr>
              <w:snapToGrid w:val="0"/>
              <w:rPr>
                <w:rFonts w:ascii="宋体" w:hAnsi="宋体" w:cs="宋体"/>
                <w:snapToGrid w:val="0"/>
                <w:kern w:val="2"/>
                <w:szCs w:val="28"/>
              </w:rPr>
            </w:pPr>
            <w:r>
              <w:rPr>
                <w:rFonts w:hint="eastAsia" w:ascii="宋体" w:hAnsi="宋体" w:cs="宋体"/>
                <w:snapToGrid w:val="0"/>
                <w:kern w:val="2"/>
                <w:szCs w:val="28"/>
              </w:rPr>
              <w:t>二、净资产</w:t>
            </w:r>
          </w:p>
        </w:tc>
        <w:tc>
          <w:tcPr>
            <w:tcW w:w="1216" w:type="dxa"/>
            <w:vAlign w:val="center"/>
          </w:tcPr>
          <w:p>
            <w:pPr>
              <w:snapToGrid w:val="0"/>
              <w:jc w:val="center"/>
              <w:rPr>
                <w:rFonts w:ascii="宋体" w:hAnsi="宋体" w:cs="宋体"/>
                <w:snapToGrid w:val="0"/>
                <w:kern w:val="2"/>
                <w:szCs w:val="28"/>
              </w:rPr>
            </w:pPr>
          </w:p>
        </w:tc>
        <w:tc>
          <w:tcPr>
            <w:tcW w:w="1888" w:type="dxa"/>
            <w:vAlign w:val="center"/>
          </w:tcPr>
          <w:p>
            <w:pPr>
              <w:snapToGrid w:val="0"/>
              <w:jc w:val="center"/>
              <w:rPr>
                <w:rFonts w:ascii="宋体" w:hAnsi="宋体" w:cs="宋体"/>
                <w:snapToGrid w:val="0"/>
                <w:kern w:val="2"/>
                <w:szCs w:val="28"/>
              </w:rPr>
            </w:pPr>
          </w:p>
        </w:tc>
        <w:tc>
          <w:tcPr>
            <w:tcW w:w="1888" w:type="dxa"/>
            <w:vAlign w:val="center"/>
          </w:tcPr>
          <w:p>
            <w:pPr>
              <w:snapToGrid w:val="0"/>
              <w:jc w:val="center"/>
              <w:rPr>
                <w:rFonts w:ascii="宋体" w:hAnsi="宋体" w:cs="宋体"/>
                <w:snapToGrid w:val="0"/>
                <w:kern w:val="2"/>
                <w:szCs w:val="28"/>
              </w:rPr>
            </w:pPr>
          </w:p>
        </w:tc>
        <w:tc>
          <w:tcPr>
            <w:tcW w:w="1888" w:type="dxa"/>
            <w:vAlign w:val="center"/>
          </w:tcPr>
          <w:p>
            <w:pPr>
              <w:snapToGrid w:val="0"/>
              <w:jc w:val="center"/>
              <w:rPr>
                <w:rFonts w:ascii="宋体" w:hAnsi="宋体" w:cs="宋体"/>
                <w:snapToGrid w:val="0"/>
                <w:kern w:val="2"/>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295" w:type="dxa"/>
            <w:vAlign w:val="center"/>
          </w:tcPr>
          <w:p>
            <w:pPr>
              <w:snapToGrid w:val="0"/>
              <w:rPr>
                <w:rFonts w:ascii="宋体" w:hAnsi="宋体" w:cs="宋体"/>
                <w:snapToGrid w:val="0"/>
                <w:kern w:val="2"/>
                <w:szCs w:val="28"/>
              </w:rPr>
            </w:pPr>
            <w:r>
              <w:rPr>
                <w:rFonts w:hint="eastAsia" w:ascii="宋体" w:hAnsi="宋体" w:cs="宋体"/>
                <w:snapToGrid w:val="0"/>
                <w:kern w:val="2"/>
                <w:szCs w:val="28"/>
              </w:rPr>
              <w:t>三、总资产</w:t>
            </w:r>
          </w:p>
        </w:tc>
        <w:tc>
          <w:tcPr>
            <w:tcW w:w="1216" w:type="dxa"/>
            <w:vAlign w:val="center"/>
          </w:tcPr>
          <w:p>
            <w:pPr>
              <w:snapToGrid w:val="0"/>
              <w:jc w:val="center"/>
              <w:rPr>
                <w:rFonts w:ascii="宋体" w:hAnsi="宋体" w:cs="宋体"/>
                <w:snapToGrid w:val="0"/>
                <w:kern w:val="2"/>
                <w:szCs w:val="28"/>
              </w:rPr>
            </w:pPr>
          </w:p>
        </w:tc>
        <w:tc>
          <w:tcPr>
            <w:tcW w:w="1888" w:type="dxa"/>
            <w:vAlign w:val="center"/>
          </w:tcPr>
          <w:p>
            <w:pPr>
              <w:snapToGrid w:val="0"/>
              <w:jc w:val="center"/>
              <w:rPr>
                <w:rFonts w:ascii="宋体" w:hAnsi="宋体" w:cs="宋体"/>
                <w:snapToGrid w:val="0"/>
                <w:kern w:val="2"/>
                <w:szCs w:val="28"/>
              </w:rPr>
            </w:pPr>
          </w:p>
        </w:tc>
        <w:tc>
          <w:tcPr>
            <w:tcW w:w="1888" w:type="dxa"/>
            <w:vAlign w:val="center"/>
          </w:tcPr>
          <w:p>
            <w:pPr>
              <w:snapToGrid w:val="0"/>
              <w:jc w:val="center"/>
              <w:rPr>
                <w:rFonts w:ascii="宋体" w:hAnsi="宋体" w:cs="宋体"/>
                <w:snapToGrid w:val="0"/>
                <w:kern w:val="2"/>
                <w:szCs w:val="28"/>
              </w:rPr>
            </w:pPr>
          </w:p>
        </w:tc>
        <w:tc>
          <w:tcPr>
            <w:tcW w:w="1888" w:type="dxa"/>
            <w:vAlign w:val="center"/>
          </w:tcPr>
          <w:p>
            <w:pPr>
              <w:snapToGrid w:val="0"/>
              <w:jc w:val="center"/>
              <w:rPr>
                <w:rFonts w:ascii="宋体" w:hAnsi="宋体" w:cs="宋体"/>
                <w:snapToGrid w:val="0"/>
                <w:kern w:val="2"/>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295" w:type="dxa"/>
            <w:vAlign w:val="center"/>
          </w:tcPr>
          <w:p>
            <w:pPr>
              <w:snapToGrid w:val="0"/>
              <w:rPr>
                <w:rFonts w:ascii="宋体" w:hAnsi="宋体" w:cs="宋体"/>
                <w:snapToGrid w:val="0"/>
                <w:kern w:val="2"/>
                <w:szCs w:val="28"/>
              </w:rPr>
            </w:pPr>
            <w:r>
              <w:rPr>
                <w:rFonts w:hint="eastAsia" w:ascii="宋体" w:hAnsi="宋体" w:cs="宋体"/>
                <w:snapToGrid w:val="0"/>
                <w:kern w:val="2"/>
                <w:szCs w:val="28"/>
              </w:rPr>
              <w:t>四、固定资产</w:t>
            </w:r>
          </w:p>
        </w:tc>
        <w:tc>
          <w:tcPr>
            <w:tcW w:w="1216" w:type="dxa"/>
            <w:vAlign w:val="center"/>
          </w:tcPr>
          <w:p>
            <w:pPr>
              <w:snapToGrid w:val="0"/>
              <w:jc w:val="center"/>
              <w:rPr>
                <w:rFonts w:ascii="宋体" w:hAnsi="宋体" w:cs="宋体"/>
                <w:snapToGrid w:val="0"/>
                <w:kern w:val="2"/>
                <w:szCs w:val="28"/>
              </w:rPr>
            </w:pPr>
          </w:p>
        </w:tc>
        <w:tc>
          <w:tcPr>
            <w:tcW w:w="1888" w:type="dxa"/>
            <w:vAlign w:val="center"/>
          </w:tcPr>
          <w:p>
            <w:pPr>
              <w:snapToGrid w:val="0"/>
              <w:jc w:val="center"/>
              <w:rPr>
                <w:rFonts w:ascii="宋体" w:hAnsi="宋体" w:cs="宋体"/>
                <w:snapToGrid w:val="0"/>
                <w:kern w:val="2"/>
                <w:szCs w:val="28"/>
              </w:rPr>
            </w:pPr>
          </w:p>
        </w:tc>
        <w:tc>
          <w:tcPr>
            <w:tcW w:w="1888" w:type="dxa"/>
            <w:vAlign w:val="center"/>
          </w:tcPr>
          <w:p>
            <w:pPr>
              <w:snapToGrid w:val="0"/>
              <w:jc w:val="center"/>
              <w:rPr>
                <w:rFonts w:ascii="宋体" w:hAnsi="宋体" w:cs="宋体"/>
                <w:snapToGrid w:val="0"/>
                <w:kern w:val="2"/>
                <w:szCs w:val="28"/>
              </w:rPr>
            </w:pPr>
          </w:p>
        </w:tc>
        <w:tc>
          <w:tcPr>
            <w:tcW w:w="1888" w:type="dxa"/>
            <w:vAlign w:val="center"/>
          </w:tcPr>
          <w:p>
            <w:pPr>
              <w:snapToGrid w:val="0"/>
              <w:jc w:val="center"/>
              <w:rPr>
                <w:rFonts w:ascii="宋体" w:hAnsi="宋体" w:cs="宋体"/>
                <w:snapToGrid w:val="0"/>
                <w:kern w:val="2"/>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295" w:type="dxa"/>
            <w:vAlign w:val="center"/>
          </w:tcPr>
          <w:p>
            <w:pPr>
              <w:snapToGrid w:val="0"/>
              <w:rPr>
                <w:rFonts w:ascii="宋体" w:hAnsi="宋体" w:cs="宋体"/>
                <w:snapToGrid w:val="0"/>
                <w:kern w:val="2"/>
                <w:szCs w:val="28"/>
              </w:rPr>
            </w:pPr>
            <w:r>
              <w:rPr>
                <w:rFonts w:hint="eastAsia" w:ascii="宋体" w:hAnsi="宋体" w:cs="宋体"/>
                <w:snapToGrid w:val="0"/>
                <w:kern w:val="2"/>
                <w:szCs w:val="28"/>
              </w:rPr>
              <w:t>五、流动资产</w:t>
            </w:r>
          </w:p>
        </w:tc>
        <w:tc>
          <w:tcPr>
            <w:tcW w:w="1216" w:type="dxa"/>
            <w:vAlign w:val="center"/>
          </w:tcPr>
          <w:p>
            <w:pPr>
              <w:snapToGrid w:val="0"/>
              <w:jc w:val="center"/>
              <w:rPr>
                <w:rFonts w:ascii="宋体" w:hAnsi="宋体" w:cs="宋体"/>
                <w:snapToGrid w:val="0"/>
                <w:kern w:val="2"/>
                <w:szCs w:val="28"/>
              </w:rPr>
            </w:pPr>
          </w:p>
        </w:tc>
        <w:tc>
          <w:tcPr>
            <w:tcW w:w="1888" w:type="dxa"/>
            <w:vAlign w:val="center"/>
          </w:tcPr>
          <w:p>
            <w:pPr>
              <w:snapToGrid w:val="0"/>
              <w:jc w:val="center"/>
              <w:rPr>
                <w:rFonts w:ascii="宋体" w:hAnsi="宋体" w:cs="宋体"/>
                <w:snapToGrid w:val="0"/>
                <w:kern w:val="2"/>
                <w:szCs w:val="28"/>
              </w:rPr>
            </w:pPr>
          </w:p>
        </w:tc>
        <w:tc>
          <w:tcPr>
            <w:tcW w:w="1888" w:type="dxa"/>
            <w:vAlign w:val="center"/>
          </w:tcPr>
          <w:p>
            <w:pPr>
              <w:snapToGrid w:val="0"/>
              <w:jc w:val="center"/>
              <w:rPr>
                <w:rFonts w:ascii="宋体" w:hAnsi="宋体" w:cs="宋体"/>
                <w:snapToGrid w:val="0"/>
                <w:kern w:val="2"/>
                <w:szCs w:val="28"/>
              </w:rPr>
            </w:pPr>
          </w:p>
        </w:tc>
        <w:tc>
          <w:tcPr>
            <w:tcW w:w="1888" w:type="dxa"/>
            <w:vAlign w:val="center"/>
          </w:tcPr>
          <w:p>
            <w:pPr>
              <w:snapToGrid w:val="0"/>
              <w:jc w:val="center"/>
              <w:rPr>
                <w:rFonts w:ascii="宋体" w:hAnsi="宋体" w:cs="宋体"/>
                <w:snapToGrid w:val="0"/>
                <w:kern w:val="2"/>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295" w:type="dxa"/>
            <w:vAlign w:val="center"/>
          </w:tcPr>
          <w:p>
            <w:pPr>
              <w:snapToGrid w:val="0"/>
              <w:rPr>
                <w:rFonts w:ascii="宋体" w:hAnsi="宋体" w:cs="宋体"/>
                <w:snapToGrid w:val="0"/>
                <w:kern w:val="2"/>
                <w:szCs w:val="28"/>
              </w:rPr>
            </w:pPr>
            <w:r>
              <w:rPr>
                <w:rFonts w:hint="eastAsia" w:ascii="宋体" w:hAnsi="宋体" w:cs="宋体"/>
                <w:snapToGrid w:val="0"/>
                <w:kern w:val="2"/>
                <w:szCs w:val="28"/>
              </w:rPr>
              <w:t>六、流动负债</w:t>
            </w:r>
          </w:p>
        </w:tc>
        <w:tc>
          <w:tcPr>
            <w:tcW w:w="1216" w:type="dxa"/>
            <w:vAlign w:val="center"/>
          </w:tcPr>
          <w:p>
            <w:pPr>
              <w:snapToGrid w:val="0"/>
              <w:jc w:val="center"/>
              <w:rPr>
                <w:rFonts w:ascii="宋体" w:hAnsi="宋体" w:cs="宋体"/>
                <w:snapToGrid w:val="0"/>
                <w:kern w:val="2"/>
                <w:szCs w:val="28"/>
              </w:rPr>
            </w:pPr>
          </w:p>
        </w:tc>
        <w:tc>
          <w:tcPr>
            <w:tcW w:w="1888" w:type="dxa"/>
            <w:vAlign w:val="center"/>
          </w:tcPr>
          <w:p>
            <w:pPr>
              <w:snapToGrid w:val="0"/>
              <w:jc w:val="center"/>
              <w:rPr>
                <w:rFonts w:ascii="宋体" w:hAnsi="宋体" w:cs="宋体"/>
                <w:snapToGrid w:val="0"/>
                <w:kern w:val="2"/>
                <w:szCs w:val="28"/>
              </w:rPr>
            </w:pPr>
          </w:p>
        </w:tc>
        <w:tc>
          <w:tcPr>
            <w:tcW w:w="1888" w:type="dxa"/>
            <w:vAlign w:val="center"/>
          </w:tcPr>
          <w:p>
            <w:pPr>
              <w:snapToGrid w:val="0"/>
              <w:jc w:val="center"/>
              <w:rPr>
                <w:rFonts w:ascii="宋体" w:hAnsi="宋体" w:cs="宋体"/>
                <w:snapToGrid w:val="0"/>
                <w:kern w:val="2"/>
                <w:szCs w:val="28"/>
              </w:rPr>
            </w:pPr>
          </w:p>
        </w:tc>
        <w:tc>
          <w:tcPr>
            <w:tcW w:w="1888" w:type="dxa"/>
            <w:vAlign w:val="center"/>
          </w:tcPr>
          <w:p>
            <w:pPr>
              <w:snapToGrid w:val="0"/>
              <w:jc w:val="center"/>
              <w:rPr>
                <w:rFonts w:ascii="宋体" w:hAnsi="宋体" w:cs="宋体"/>
                <w:snapToGrid w:val="0"/>
                <w:kern w:val="2"/>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295" w:type="dxa"/>
            <w:vAlign w:val="center"/>
          </w:tcPr>
          <w:p>
            <w:pPr>
              <w:snapToGrid w:val="0"/>
              <w:rPr>
                <w:rFonts w:ascii="宋体" w:hAnsi="宋体" w:cs="宋体"/>
                <w:snapToGrid w:val="0"/>
                <w:kern w:val="2"/>
                <w:szCs w:val="28"/>
              </w:rPr>
            </w:pPr>
            <w:r>
              <w:rPr>
                <w:rFonts w:hint="eastAsia" w:ascii="宋体" w:hAnsi="宋体" w:cs="宋体"/>
                <w:snapToGrid w:val="0"/>
                <w:kern w:val="2"/>
                <w:szCs w:val="28"/>
              </w:rPr>
              <w:t>七、负债合计</w:t>
            </w:r>
          </w:p>
        </w:tc>
        <w:tc>
          <w:tcPr>
            <w:tcW w:w="1216" w:type="dxa"/>
            <w:vAlign w:val="center"/>
          </w:tcPr>
          <w:p>
            <w:pPr>
              <w:snapToGrid w:val="0"/>
              <w:jc w:val="center"/>
              <w:rPr>
                <w:rFonts w:ascii="宋体" w:hAnsi="宋体" w:cs="宋体"/>
                <w:snapToGrid w:val="0"/>
                <w:kern w:val="2"/>
                <w:szCs w:val="28"/>
              </w:rPr>
            </w:pPr>
          </w:p>
        </w:tc>
        <w:tc>
          <w:tcPr>
            <w:tcW w:w="1888" w:type="dxa"/>
            <w:vAlign w:val="center"/>
          </w:tcPr>
          <w:p>
            <w:pPr>
              <w:snapToGrid w:val="0"/>
              <w:jc w:val="center"/>
              <w:rPr>
                <w:rFonts w:ascii="宋体" w:hAnsi="宋体" w:cs="宋体"/>
                <w:snapToGrid w:val="0"/>
                <w:kern w:val="2"/>
                <w:szCs w:val="28"/>
              </w:rPr>
            </w:pPr>
          </w:p>
        </w:tc>
        <w:tc>
          <w:tcPr>
            <w:tcW w:w="1888" w:type="dxa"/>
            <w:vAlign w:val="center"/>
          </w:tcPr>
          <w:p>
            <w:pPr>
              <w:snapToGrid w:val="0"/>
              <w:jc w:val="center"/>
              <w:rPr>
                <w:rFonts w:ascii="宋体" w:hAnsi="宋体" w:cs="宋体"/>
                <w:snapToGrid w:val="0"/>
                <w:kern w:val="2"/>
                <w:szCs w:val="28"/>
              </w:rPr>
            </w:pPr>
          </w:p>
        </w:tc>
        <w:tc>
          <w:tcPr>
            <w:tcW w:w="1888" w:type="dxa"/>
            <w:vAlign w:val="center"/>
          </w:tcPr>
          <w:p>
            <w:pPr>
              <w:snapToGrid w:val="0"/>
              <w:jc w:val="center"/>
              <w:rPr>
                <w:rFonts w:ascii="宋体" w:hAnsi="宋体" w:cs="宋体"/>
                <w:snapToGrid w:val="0"/>
                <w:kern w:val="2"/>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295" w:type="dxa"/>
            <w:vAlign w:val="center"/>
          </w:tcPr>
          <w:p>
            <w:pPr>
              <w:snapToGrid w:val="0"/>
              <w:rPr>
                <w:rFonts w:ascii="宋体" w:hAnsi="宋体" w:cs="宋体"/>
                <w:snapToGrid w:val="0"/>
                <w:kern w:val="2"/>
                <w:szCs w:val="28"/>
              </w:rPr>
            </w:pPr>
            <w:r>
              <w:rPr>
                <w:rFonts w:hint="eastAsia" w:ascii="宋体" w:hAnsi="宋体" w:cs="宋体"/>
                <w:snapToGrid w:val="0"/>
                <w:kern w:val="2"/>
                <w:szCs w:val="28"/>
              </w:rPr>
              <w:t>八、营业收入</w:t>
            </w:r>
          </w:p>
        </w:tc>
        <w:tc>
          <w:tcPr>
            <w:tcW w:w="1216" w:type="dxa"/>
            <w:vAlign w:val="center"/>
          </w:tcPr>
          <w:p>
            <w:pPr>
              <w:snapToGrid w:val="0"/>
              <w:jc w:val="center"/>
              <w:rPr>
                <w:rFonts w:ascii="宋体" w:hAnsi="宋体" w:cs="宋体"/>
                <w:snapToGrid w:val="0"/>
                <w:kern w:val="2"/>
                <w:szCs w:val="28"/>
              </w:rPr>
            </w:pPr>
          </w:p>
        </w:tc>
        <w:tc>
          <w:tcPr>
            <w:tcW w:w="1888" w:type="dxa"/>
            <w:vAlign w:val="center"/>
          </w:tcPr>
          <w:p>
            <w:pPr>
              <w:snapToGrid w:val="0"/>
              <w:jc w:val="center"/>
              <w:rPr>
                <w:rFonts w:ascii="宋体" w:hAnsi="宋体" w:cs="宋体"/>
                <w:snapToGrid w:val="0"/>
                <w:kern w:val="2"/>
                <w:szCs w:val="28"/>
              </w:rPr>
            </w:pPr>
          </w:p>
        </w:tc>
        <w:tc>
          <w:tcPr>
            <w:tcW w:w="1888" w:type="dxa"/>
            <w:vAlign w:val="center"/>
          </w:tcPr>
          <w:p>
            <w:pPr>
              <w:snapToGrid w:val="0"/>
              <w:jc w:val="center"/>
              <w:rPr>
                <w:rFonts w:ascii="宋体" w:hAnsi="宋体" w:cs="宋体"/>
                <w:snapToGrid w:val="0"/>
                <w:kern w:val="2"/>
                <w:szCs w:val="28"/>
              </w:rPr>
            </w:pPr>
          </w:p>
        </w:tc>
        <w:tc>
          <w:tcPr>
            <w:tcW w:w="1888" w:type="dxa"/>
            <w:vAlign w:val="center"/>
          </w:tcPr>
          <w:p>
            <w:pPr>
              <w:snapToGrid w:val="0"/>
              <w:jc w:val="center"/>
              <w:rPr>
                <w:rFonts w:ascii="宋体" w:hAnsi="宋体" w:cs="宋体"/>
                <w:snapToGrid w:val="0"/>
                <w:kern w:val="2"/>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295" w:type="dxa"/>
            <w:vAlign w:val="center"/>
          </w:tcPr>
          <w:p>
            <w:pPr>
              <w:snapToGrid w:val="0"/>
              <w:rPr>
                <w:rFonts w:ascii="宋体" w:hAnsi="宋体" w:cs="宋体"/>
                <w:snapToGrid w:val="0"/>
                <w:kern w:val="2"/>
                <w:szCs w:val="28"/>
              </w:rPr>
            </w:pPr>
            <w:r>
              <w:rPr>
                <w:rFonts w:hint="eastAsia" w:ascii="宋体" w:hAnsi="宋体" w:cs="宋体"/>
                <w:snapToGrid w:val="0"/>
                <w:kern w:val="2"/>
                <w:szCs w:val="28"/>
              </w:rPr>
              <w:t>九、净利润</w:t>
            </w:r>
          </w:p>
        </w:tc>
        <w:tc>
          <w:tcPr>
            <w:tcW w:w="1216" w:type="dxa"/>
            <w:vAlign w:val="center"/>
          </w:tcPr>
          <w:p>
            <w:pPr>
              <w:snapToGrid w:val="0"/>
              <w:jc w:val="center"/>
              <w:rPr>
                <w:rFonts w:ascii="宋体" w:hAnsi="宋体" w:cs="宋体"/>
                <w:snapToGrid w:val="0"/>
                <w:kern w:val="2"/>
                <w:szCs w:val="28"/>
              </w:rPr>
            </w:pPr>
          </w:p>
        </w:tc>
        <w:tc>
          <w:tcPr>
            <w:tcW w:w="1888" w:type="dxa"/>
            <w:vAlign w:val="center"/>
          </w:tcPr>
          <w:p>
            <w:pPr>
              <w:snapToGrid w:val="0"/>
              <w:jc w:val="center"/>
              <w:rPr>
                <w:rFonts w:ascii="宋体" w:hAnsi="宋体" w:cs="宋体"/>
                <w:snapToGrid w:val="0"/>
                <w:kern w:val="2"/>
                <w:szCs w:val="28"/>
              </w:rPr>
            </w:pPr>
          </w:p>
        </w:tc>
        <w:tc>
          <w:tcPr>
            <w:tcW w:w="1888" w:type="dxa"/>
            <w:vAlign w:val="center"/>
          </w:tcPr>
          <w:p>
            <w:pPr>
              <w:snapToGrid w:val="0"/>
              <w:jc w:val="center"/>
              <w:rPr>
                <w:rFonts w:ascii="宋体" w:hAnsi="宋体" w:cs="宋体"/>
                <w:snapToGrid w:val="0"/>
                <w:kern w:val="2"/>
                <w:szCs w:val="28"/>
              </w:rPr>
            </w:pPr>
          </w:p>
        </w:tc>
        <w:tc>
          <w:tcPr>
            <w:tcW w:w="1888" w:type="dxa"/>
            <w:vAlign w:val="center"/>
          </w:tcPr>
          <w:p>
            <w:pPr>
              <w:snapToGrid w:val="0"/>
              <w:jc w:val="center"/>
              <w:rPr>
                <w:rFonts w:ascii="宋体" w:hAnsi="宋体" w:cs="宋体"/>
                <w:snapToGrid w:val="0"/>
                <w:kern w:val="2"/>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295" w:type="dxa"/>
            <w:vAlign w:val="center"/>
          </w:tcPr>
          <w:p>
            <w:pPr>
              <w:snapToGrid w:val="0"/>
              <w:jc w:val="center"/>
              <w:rPr>
                <w:rFonts w:ascii="宋体" w:hAnsi="宋体" w:cs="宋体"/>
                <w:snapToGrid w:val="0"/>
                <w:kern w:val="2"/>
                <w:szCs w:val="28"/>
              </w:rPr>
            </w:pPr>
            <w:r>
              <w:rPr>
                <w:rFonts w:ascii="宋体" w:hAnsi="宋体" w:cs="宋体"/>
                <w:snapToGrid w:val="0"/>
                <w:kern w:val="2"/>
                <w:szCs w:val="28"/>
              </w:rPr>
              <w:t>……</w:t>
            </w:r>
          </w:p>
        </w:tc>
        <w:tc>
          <w:tcPr>
            <w:tcW w:w="1216" w:type="dxa"/>
            <w:vAlign w:val="center"/>
          </w:tcPr>
          <w:p>
            <w:pPr>
              <w:snapToGrid w:val="0"/>
              <w:jc w:val="center"/>
              <w:rPr>
                <w:rFonts w:ascii="宋体" w:hAnsi="宋体" w:cs="宋体"/>
                <w:snapToGrid w:val="0"/>
                <w:kern w:val="2"/>
                <w:szCs w:val="28"/>
              </w:rPr>
            </w:pPr>
          </w:p>
        </w:tc>
        <w:tc>
          <w:tcPr>
            <w:tcW w:w="1888" w:type="dxa"/>
            <w:vAlign w:val="center"/>
          </w:tcPr>
          <w:p>
            <w:pPr>
              <w:snapToGrid w:val="0"/>
              <w:jc w:val="center"/>
              <w:rPr>
                <w:rFonts w:ascii="宋体" w:hAnsi="宋体" w:cs="宋体"/>
                <w:snapToGrid w:val="0"/>
                <w:kern w:val="2"/>
                <w:szCs w:val="28"/>
              </w:rPr>
            </w:pPr>
          </w:p>
        </w:tc>
        <w:tc>
          <w:tcPr>
            <w:tcW w:w="1888" w:type="dxa"/>
            <w:vAlign w:val="center"/>
          </w:tcPr>
          <w:p>
            <w:pPr>
              <w:snapToGrid w:val="0"/>
              <w:jc w:val="center"/>
              <w:rPr>
                <w:rFonts w:ascii="宋体" w:hAnsi="宋体" w:cs="宋体"/>
                <w:snapToGrid w:val="0"/>
                <w:kern w:val="2"/>
                <w:szCs w:val="28"/>
              </w:rPr>
            </w:pPr>
          </w:p>
        </w:tc>
        <w:tc>
          <w:tcPr>
            <w:tcW w:w="1888" w:type="dxa"/>
            <w:vAlign w:val="center"/>
          </w:tcPr>
          <w:p>
            <w:pPr>
              <w:snapToGrid w:val="0"/>
              <w:jc w:val="center"/>
              <w:rPr>
                <w:rFonts w:ascii="宋体" w:hAnsi="宋体" w:cs="宋体"/>
                <w:snapToGrid w:val="0"/>
                <w:kern w:val="2"/>
                <w:szCs w:val="28"/>
              </w:rPr>
            </w:pPr>
          </w:p>
        </w:tc>
      </w:tr>
    </w:tbl>
    <w:p>
      <w:pPr>
        <w:ind w:firstLine="560" w:firstLineChars="200"/>
        <w:rPr>
          <w:snapToGrid w:val="0"/>
          <w:sz w:val="28"/>
          <w:szCs w:val="28"/>
        </w:rPr>
      </w:pPr>
    </w:p>
    <w:p>
      <w:pPr>
        <w:ind w:firstLine="480" w:firstLineChars="200"/>
        <w:rPr>
          <w:snapToGrid w:val="0"/>
          <w:szCs w:val="24"/>
        </w:rPr>
      </w:pPr>
    </w:p>
    <w:p>
      <w:pPr>
        <w:ind w:firstLine="480" w:firstLineChars="200"/>
        <w:rPr>
          <w:rFonts w:ascii="宋体" w:hAnsi="宋体"/>
          <w:snapToGrid w:val="0"/>
          <w:szCs w:val="24"/>
        </w:rPr>
      </w:pPr>
      <w:r>
        <w:rPr>
          <w:rFonts w:hint="eastAsia"/>
          <w:snapToGrid w:val="0"/>
          <w:szCs w:val="24"/>
        </w:rPr>
        <w:t>2</w:t>
      </w:r>
      <w:r>
        <w:rPr>
          <w:rFonts w:hint="eastAsia" w:ascii="宋体" w:hAnsi="宋体"/>
          <w:snapToGrid w:val="0"/>
          <w:szCs w:val="24"/>
        </w:rPr>
        <w:t>. 拟投入本项目的流动资金函</w:t>
      </w:r>
    </w:p>
    <w:p>
      <w:pPr>
        <w:ind w:firstLine="560" w:firstLineChars="200"/>
        <w:rPr>
          <w:snapToGrid w:val="0"/>
          <w:sz w:val="28"/>
          <w:szCs w:val="28"/>
        </w:rPr>
      </w:pPr>
    </w:p>
    <w:p>
      <w:pPr>
        <w:jc w:val="center"/>
        <w:rPr>
          <w:b/>
          <w:snapToGrid w:val="0"/>
          <w:sz w:val="28"/>
          <w:szCs w:val="28"/>
        </w:rPr>
      </w:pPr>
      <w:r>
        <w:rPr>
          <w:rFonts w:hint="eastAsia" w:ascii="宋体" w:hAnsi="宋体"/>
          <w:b/>
          <w:snapToGrid w:val="0"/>
          <w:sz w:val="28"/>
          <w:szCs w:val="28"/>
        </w:rPr>
        <w:t>拟投入本项目的流动资金函</w:t>
      </w:r>
    </w:p>
    <w:p>
      <w:pPr>
        <w:rPr>
          <w:snapToGrid w:val="0"/>
          <w:szCs w:val="24"/>
        </w:rPr>
      </w:pPr>
      <w:r>
        <w:rPr>
          <w:rFonts w:hint="eastAsia"/>
          <w:snapToGrid w:val="0"/>
          <w:szCs w:val="24"/>
          <w:u w:val="single"/>
        </w:rPr>
        <w:t>（发包人名称）</w:t>
      </w:r>
      <w:r>
        <w:rPr>
          <w:rFonts w:hint="eastAsia"/>
          <w:snapToGrid w:val="0"/>
          <w:szCs w:val="24"/>
        </w:rPr>
        <w:t>：</w:t>
      </w:r>
    </w:p>
    <w:p>
      <w:pPr>
        <w:ind w:firstLine="480" w:firstLineChars="200"/>
        <w:rPr>
          <w:snapToGrid w:val="0"/>
          <w:szCs w:val="24"/>
        </w:rPr>
      </w:pPr>
      <w:r>
        <w:rPr>
          <w:rFonts w:hint="eastAsia"/>
          <w:snapToGrid w:val="0"/>
          <w:szCs w:val="24"/>
        </w:rPr>
        <w:t>我方拟投入</w:t>
      </w:r>
      <w:r>
        <w:rPr>
          <w:rFonts w:hint="eastAsia"/>
          <w:snapToGrid w:val="0"/>
          <w:szCs w:val="24"/>
          <w:u w:val="single"/>
        </w:rPr>
        <w:t>（项目名称）</w:t>
      </w:r>
      <w:r>
        <w:rPr>
          <w:rFonts w:hint="eastAsia"/>
          <w:snapToGrid w:val="0"/>
          <w:szCs w:val="24"/>
        </w:rPr>
        <w:t>（标段名称）的流动资金为______万元，资金来源于______，资金来源证明文件附后。</w:t>
      </w:r>
    </w:p>
    <w:p>
      <w:pPr>
        <w:ind w:firstLine="480" w:firstLineChars="200"/>
        <w:rPr>
          <w:snapToGrid w:val="0"/>
          <w:szCs w:val="24"/>
        </w:rPr>
      </w:pPr>
    </w:p>
    <w:p>
      <w:pPr>
        <w:rPr>
          <w:snapToGrid w:val="0"/>
          <w:szCs w:val="24"/>
        </w:rPr>
      </w:pPr>
      <w:r>
        <w:rPr>
          <w:rFonts w:hint="eastAsia"/>
          <w:snapToGrid w:val="0"/>
          <w:spacing w:val="142"/>
          <w:szCs w:val="24"/>
        </w:rPr>
        <w:t>申请</w:t>
      </w:r>
      <w:r>
        <w:rPr>
          <w:rFonts w:hint="eastAsia"/>
          <w:snapToGrid w:val="0"/>
          <w:spacing w:val="1"/>
          <w:szCs w:val="24"/>
        </w:rPr>
        <w:t>人</w:t>
      </w:r>
      <w:r>
        <w:rPr>
          <w:rFonts w:hint="eastAsia"/>
          <w:snapToGrid w:val="0"/>
          <w:szCs w:val="24"/>
        </w:rPr>
        <w:t>：</w:t>
      </w:r>
      <w:r>
        <w:rPr>
          <w:rFonts w:hint="eastAsia"/>
          <w:snapToGrid w:val="0"/>
          <w:szCs w:val="24"/>
          <w:u w:val="single"/>
        </w:rPr>
        <w:t>（盖单位章）</w:t>
      </w:r>
    </w:p>
    <w:p>
      <w:pPr>
        <w:ind w:firstLine="120" w:firstLineChars="50"/>
        <w:rPr>
          <w:snapToGrid w:val="0"/>
          <w:szCs w:val="24"/>
        </w:rPr>
      </w:pPr>
      <w:r>
        <w:rPr>
          <w:rFonts w:hint="eastAsia"/>
          <w:snapToGrid w:val="0"/>
          <w:szCs w:val="24"/>
        </w:rPr>
        <w:t>年 月 日</w:t>
      </w:r>
    </w:p>
    <w:p>
      <w:pPr>
        <w:ind w:firstLine="480" w:firstLineChars="200"/>
        <w:rPr>
          <w:snapToGrid w:val="0"/>
          <w:szCs w:val="24"/>
        </w:rPr>
      </w:pPr>
    </w:p>
    <w:p>
      <w:pPr>
        <w:ind w:firstLine="420" w:firstLineChars="200"/>
        <w:rPr>
          <w:snapToGrid w:val="0"/>
          <w:sz w:val="21"/>
          <w:szCs w:val="21"/>
        </w:rPr>
      </w:pPr>
      <w:r>
        <w:rPr>
          <w:rFonts w:hint="eastAsia"/>
          <w:snapToGrid w:val="0"/>
          <w:sz w:val="21"/>
          <w:szCs w:val="21"/>
        </w:rPr>
        <w:t>注：相关材料复印件在“原件的扫描件或电子件（复印件）”中提供。资金来源填写银行存款、银行信贷或其他形式。</w:t>
      </w:r>
    </w:p>
    <w:p>
      <w:pPr>
        <w:ind w:firstLine="420" w:firstLineChars="200"/>
        <w:rPr>
          <w:snapToGrid w:val="0"/>
          <w:sz w:val="21"/>
          <w:szCs w:val="21"/>
        </w:rPr>
      </w:pPr>
      <w:bookmarkStart w:id="789" w:name="_Toc260286509"/>
      <w:bookmarkStart w:id="790" w:name="_Toc250640954"/>
      <w:r>
        <w:rPr>
          <w:rFonts w:hint="eastAsia"/>
          <w:snapToGrid w:val="0"/>
          <w:sz w:val="21"/>
          <w:szCs w:val="21"/>
        </w:rPr>
        <w:br w:type="page"/>
      </w:r>
      <w:bookmarkEnd w:id="789"/>
      <w:bookmarkEnd w:id="790"/>
    </w:p>
    <w:p>
      <w:pPr>
        <w:ind w:firstLine="420" w:firstLineChars="200"/>
        <w:rPr>
          <w:snapToGrid w:val="0"/>
          <w:sz w:val="21"/>
          <w:szCs w:val="21"/>
        </w:rPr>
      </w:pPr>
    </w:p>
    <w:p>
      <w:pPr>
        <w:pStyle w:val="6"/>
        <w:jc w:val="both"/>
        <w:rPr>
          <w:rFonts w:ascii="Calibri" w:hAnsi="Calibri" w:cs="Times New Roman"/>
          <w:sz w:val="28"/>
          <w:szCs w:val="28"/>
        </w:rPr>
      </w:pPr>
      <w:bookmarkStart w:id="791" w:name="_Toc13492"/>
      <w:bookmarkStart w:id="792" w:name="_Toc314130651"/>
      <w:r>
        <w:rPr>
          <w:rFonts w:hint="eastAsia" w:ascii="Calibri" w:hAnsi="Calibri" w:cs="Times New Roman"/>
          <w:sz w:val="28"/>
          <w:szCs w:val="28"/>
        </w:rPr>
        <w:t>（</w:t>
      </w:r>
      <w:r>
        <w:rPr>
          <w:rFonts w:hint="eastAsia"/>
          <w:sz w:val="28"/>
          <w:szCs w:val="28"/>
        </w:rPr>
        <w:t>三</w:t>
      </w:r>
      <w:r>
        <w:rPr>
          <w:rFonts w:hint="eastAsia" w:ascii="Calibri" w:hAnsi="Calibri" w:cs="Times New Roman"/>
          <w:sz w:val="28"/>
          <w:szCs w:val="28"/>
        </w:rPr>
        <w:t>）正在施工的和新承接的项目情况表</w:t>
      </w:r>
      <w:bookmarkEnd w:id="791"/>
      <w:bookmarkEnd w:id="792"/>
    </w:p>
    <w:p>
      <w:pPr>
        <w:spacing w:after="120"/>
        <w:jc w:val="center"/>
        <w:rPr>
          <w:rFonts w:ascii="Calibri" w:hAnsi="Calibri" w:eastAsia="宋体" w:cs="Times New Roman"/>
        </w:rPr>
      </w:pPr>
      <w:r>
        <w:rPr>
          <w:rFonts w:hint="eastAsia" w:ascii="Calibri" w:hAnsi="Calibri" w:eastAsia="宋体" w:cs="Times New Roman"/>
          <w:sz w:val="28"/>
          <w:szCs w:val="28"/>
        </w:rPr>
        <w:t>正在施工的和新承接的项目情况表</w:t>
      </w:r>
    </w:p>
    <w:tbl>
      <w:tblPr>
        <w:tblStyle w:val="24"/>
        <w:tblW w:w="91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20"/>
        <w:gridCol w:w="6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2520" w:type="dxa"/>
            <w:tcBorders>
              <w:top w:val="single" w:color="auto" w:sz="12" w:space="0"/>
              <w:left w:val="single" w:color="auto" w:sz="12" w:space="0"/>
            </w:tcBorders>
            <w:vAlign w:val="center"/>
          </w:tcPr>
          <w:p>
            <w:pPr>
              <w:spacing w:line="260" w:lineRule="exact"/>
              <w:jc w:val="center"/>
              <w:rPr>
                <w:rFonts w:ascii="Calibri" w:hAnsi="Calibri" w:eastAsia="宋体" w:cs="Times New Roman"/>
                <w:kern w:val="2"/>
              </w:rPr>
            </w:pPr>
            <w:r>
              <w:rPr>
                <w:rFonts w:hint="eastAsia" w:ascii="Calibri" w:hAnsi="Calibri" w:eastAsia="宋体" w:cs="Times New Roman"/>
                <w:kern w:val="2"/>
              </w:rPr>
              <w:t>合同名称</w:t>
            </w:r>
          </w:p>
        </w:tc>
        <w:tc>
          <w:tcPr>
            <w:tcW w:w="6660" w:type="dxa"/>
            <w:tcBorders>
              <w:top w:val="single" w:color="auto" w:sz="12" w:space="0"/>
              <w:right w:val="single" w:color="auto" w:sz="12" w:space="0"/>
            </w:tcBorders>
            <w:vAlign w:val="center"/>
          </w:tcPr>
          <w:p>
            <w:pPr>
              <w:spacing w:line="260" w:lineRule="exact"/>
              <w:jc w:val="center"/>
              <w:rPr>
                <w:rFonts w:ascii="Calibri" w:hAnsi="Calibri" w:eastAsia="宋体" w:cs="Times New Roman"/>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2520" w:type="dxa"/>
            <w:tcBorders>
              <w:left w:val="single" w:color="auto" w:sz="12" w:space="0"/>
            </w:tcBorders>
            <w:vAlign w:val="center"/>
          </w:tcPr>
          <w:p>
            <w:pPr>
              <w:spacing w:line="260" w:lineRule="exact"/>
              <w:jc w:val="center"/>
              <w:rPr>
                <w:rFonts w:ascii="Calibri" w:hAnsi="Calibri" w:eastAsia="宋体" w:cs="Times New Roman"/>
                <w:kern w:val="2"/>
              </w:rPr>
            </w:pPr>
            <w:r>
              <w:rPr>
                <w:rFonts w:hint="eastAsia" w:ascii="Calibri" w:hAnsi="Calibri" w:eastAsia="宋体" w:cs="Times New Roman"/>
                <w:kern w:val="2"/>
              </w:rPr>
              <w:t>合同项目所在地</w:t>
            </w:r>
          </w:p>
        </w:tc>
        <w:tc>
          <w:tcPr>
            <w:tcW w:w="6660" w:type="dxa"/>
            <w:tcBorders>
              <w:right w:val="single" w:color="auto" w:sz="12" w:space="0"/>
            </w:tcBorders>
            <w:vAlign w:val="center"/>
          </w:tcPr>
          <w:p>
            <w:pPr>
              <w:spacing w:line="260" w:lineRule="exact"/>
              <w:jc w:val="center"/>
              <w:rPr>
                <w:rFonts w:ascii="Calibri" w:hAnsi="Calibri" w:eastAsia="宋体" w:cs="Times New Roman"/>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2520" w:type="dxa"/>
            <w:tcBorders>
              <w:left w:val="single" w:color="auto" w:sz="12" w:space="0"/>
            </w:tcBorders>
            <w:vAlign w:val="center"/>
          </w:tcPr>
          <w:p>
            <w:pPr>
              <w:spacing w:line="260" w:lineRule="exact"/>
              <w:jc w:val="center"/>
              <w:rPr>
                <w:rFonts w:ascii="Calibri" w:hAnsi="Calibri" w:eastAsia="宋体" w:cs="Times New Roman"/>
                <w:kern w:val="2"/>
              </w:rPr>
            </w:pPr>
            <w:r>
              <w:rPr>
                <w:rFonts w:hint="eastAsia" w:ascii="Calibri" w:hAnsi="Calibri" w:eastAsia="宋体" w:cs="Times New Roman"/>
                <w:kern w:val="2"/>
              </w:rPr>
              <w:t>发包人名称</w:t>
            </w:r>
          </w:p>
        </w:tc>
        <w:tc>
          <w:tcPr>
            <w:tcW w:w="6660" w:type="dxa"/>
            <w:tcBorders>
              <w:right w:val="single" w:color="auto" w:sz="12" w:space="0"/>
            </w:tcBorders>
            <w:vAlign w:val="center"/>
          </w:tcPr>
          <w:p>
            <w:pPr>
              <w:spacing w:line="260" w:lineRule="exact"/>
              <w:jc w:val="center"/>
              <w:rPr>
                <w:rFonts w:ascii="Calibri" w:hAnsi="Calibri" w:eastAsia="宋体" w:cs="Times New Roman"/>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2520" w:type="dxa"/>
            <w:tcBorders>
              <w:left w:val="single" w:color="auto" w:sz="12" w:space="0"/>
            </w:tcBorders>
            <w:vAlign w:val="center"/>
          </w:tcPr>
          <w:p>
            <w:pPr>
              <w:spacing w:line="260" w:lineRule="exact"/>
              <w:jc w:val="center"/>
              <w:rPr>
                <w:rFonts w:ascii="Calibri" w:hAnsi="Calibri" w:eastAsia="宋体" w:cs="Times New Roman"/>
                <w:kern w:val="2"/>
              </w:rPr>
            </w:pPr>
            <w:r>
              <w:rPr>
                <w:rFonts w:hint="eastAsia" w:ascii="Calibri" w:hAnsi="Calibri" w:eastAsia="宋体" w:cs="Times New Roman"/>
                <w:kern w:val="2"/>
              </w:rPr>
              <w:t>发包人地址</w:t>
            </w:r>
          </w:p>
        </w:tc>
        <w:tc>
          <w:tcPr>
            <w:tcW w:w="6660" w:type="dxa"/>
            <w:tcBorders>
              <w:right w:val="single" w:color="auto" w:sz="12" w:space="0"/>
            </w:tcBorders>
            <w:vAlign w:val="center"/>
          </w:tcPr>
          <w:p>
            <w:pPr>
              <w:spacing w:line="260" w:lineRule="exact"/>
              <w:jc w:val="center"/>
              <w:rPr>
                <w:rFonts w:ascii="Calibri" w:hAnsi="Calibri" w:eastAsia="宋体" w:cs="Times New Roman"/>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2520" w:type="dxa"/>
            <w:tcBorders>
              <w:left w:val="single" w:color="auto" w:sz="12" w:space="0"/>
            </w:tcBorders>
            <w:vAlign w:val="center"/>
          </w:tcPr>
          <w:p>
            <w:pPr>
              <w:spacing w:line="260" w:lineRule="exact"/>
              <w:jc w:val="center"/>
              <w:rPr>
                <w:rFonts w:ascii="Calibri" w:hAnsi="Calibri" w:eastAsia="宋体" w:cs="Times New Roman"/>
                <w:kern w:val="2"/>
              </w:rPr>
            </w:pPr>
            <w:r>
              <w:rPr>
                <w:rFonts w:hint="eastAsia" w:ascii="Calibri" w:hAnsi="Calibri" w:eastAsia="宋体" w:cs="Times New Roman"/>
                <w:kern w:val="2"/>
              </w:rPr>
              <w:t>发包人电话</w:t>
            </w:r>
          </w:p>
        </w:tc>
        <w:tc>
          <w:tcPr>
            <w:tcW w:w="6660" w:type="dxa"/>
            <w:tcBorders>
              <w:right w:val="single" w:color="auto" w:sz="12" w:space="0"/>
            </w:tcBorders>
            <w:vAlign w:val="center"/>
          </w:tcPr>
          <w:p>
            <w:pPr>
              <w:spacing w:line="260" w:lineRule="exact"/>
              <w:jc w:val="center"/>
              <w:rPr>
                <w:rFonts w:ascii="Calibri" w:hAnsi="Calibri" w:eastAsia="宋体" w:cs="Times New Roman"/>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2520" w:type="dxa"/>
            <w:tcBorders>
              <w:left w:val="single" w:color="auto" w:sz="12" w:space="0"/>
            </w:tcBorders>
            <w:vAlign w:val="center"/>
          </w:tcPr>
          <w:p>
            <w:pPr>
              <w:spacing w:line="260" w:lineRule="exact"/>
              <w:jc w:val="center"/>
              <w:rPr>
                <w:rFonts w:ascii="Calibri" w:hAnsi="Calibri" w:eastAsia="宋体" w:cs="Times New Roman"/>
                <w:kern w:val="2"/>
              </w:rPr>
            </w:pPr>
            <w:r>
              <w:rPr>
                <w:rFonts w:hint="eastAsia" w:ascii="Calibri" w:hAnsi="Calibri" w:eastAsia="宋体" w:cs="Times New Roman"/>
                <w:kern w:val="2"/>
              </w:rPr>
              <w:t>签约合同价</w:t>
            </w:r>
          </w:p>
        </w:tc>
        <w:tc>
          <w:tcPr>
            <w:tcW w:w="6660" w:type="dxa"/>
            <w:tcBorders>
              <w:right w:val="single" w:color="auto" w:sz="12" w:space="0"/>
            </w:tcBorders>
            <w:vAlign w:val="center"/>
          </w:tcPr>
          <w:p>
            <w:pPr>
              <w:spacing w:line="260" w:lineRule="exact"/>
              <w:jc w:val="center"/>
              <w:rPr>
                <w:rFonts w:ascii="Calibri" w:hAnsi="Calibri" w:eastAsia="宋体" w:cs="Times New Roman"/>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2520" w:type="dxa"/>
            <w:tcBorders>
              <w:left w:val="single" w:color="auto" w:sz="12" w:space="0"/>
            </w:tcBorders>
            <w:vAlign w:val="center"/>
          </w:tcPr>
          <w:p>
            <w:pPr>
              <w:spacing w:line="260" w:lineRule="exact"/>
              <w:jc w:val="center"/>
              <w:rPr>
                <w:rFonts w:ascii="Calibri" w:hAnsi="Calibri" w:eastAsia="宋体" w:cs="Times New Roman"/>
                <w:kern w:val="2"/>
              </w:rPr>
            </w:pPr>
            <w:r>
              <w:rPr>
                <w:rFonts w:hint="eastAsia" w:ascii="Calibri" w:hAnsi="Calibri" w:eastAsia="宋体" w:cs="Times New Roman"/>
                <w:kern w:val="2"/>
              </w:rPr>
              <w:t>开工日期</w:t>
            </w:r>
          </w:p>
        </w:tc>
        <w:tc>
          <w:tcPr>
            <w:tcW w:w="6660" w:type="dxa"/>
            <w:tcBorders>
              <w:right w:val="single" w:color="auto" w:sz="12" w:space="0"/>
            </w:tcBorders>
            <w:vAlign w:val="center"/>
          </w:tcPr>
          <w:p>
            <w:pPr>
              <w:spacing w:line="260" w:lineRule="exact"/>
              <w:jc w:val="center"/>
              <w:rPr>
                <w:rFonts w:ascii="Calibri" w:hAnsi="Calibri" w:eastAsia="宋体" w:cs="Times New Roman"/>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2520" w:type="dxa"/>
            <w:tcBorders>
              <w:left w:val="single" w:color="auto" w:sz="12" w:space="0"/>
            </w:tcBorders>
            <w:vAlign w:val="center"/>
          </w:tcPr>
          <w:p>
            <w:pPr>
              <w:spacing w:line="260" w:lineRule="exact"/>
              <w:jc w:val="center"/>
              <w:rPr>
                <w:rFonts w:ascii="Calibri" w:hAnsi="Calibri" w:eastAsia="宋体" w:cs="Times New Roman"/>
                <w:kern w:val="2"/>
              </w:rPr>
            </w:pPr>
            <w:r>
              <w:rPr>
                <w:rFonts w:hint="eastAsia" w:ascii="Calibri" w:hAnsi="Calibri" w:eastAsia="宋体" w:cs="Times New Roman"/>
                <w:kern w:val="2"/>
              </w:rPr>
              <w:t>计划交工日期</w:t>
            </w:r>
          </w:p>
        </w:tc>
        <w:tc>
          <w:tcPr>
            <w:tcW w:w="6660" w:type="dxa"/>
            <w:tcBorders>
              <w:right w:val="single" w:color="auto" w:sz="12" w:space="0"/>
            </w:tcBorders>
            <w:vAlign w:val="center"/>
          </w:tcPr>
          <w:p>
            <w:pPr>
              <w:spacing w:line="260" w:lineRule="exact"/>
              <w:jc w:val="center"/>
              <w:rPr>
                <w:rFonts w:ascii="Calibri" w:hAnsi="Calibri" w:eastAsia="宋体" w:cs="Times New Roman"/>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2520" w:type="dxa"/>
            <w:tcBorders>
              <w:left w:val="single" w:color="auto" w:sz="12" w:space="0"/>
            </w:tcBorders>
            <w:vAlign w:val="center"/>
          </w:tcPr>
          <w:p>
            <w:pPr>
              <w:spacing w:line="260" w:lineRule="exact"/>
              <w:jc w:val="center"/>
              <w:rPr>
                <w:rFonts w:ascii="Calibri" w:hAnsi="Calibri" w:eastAsia="宋体" w:cs="Times New Roman"/>
                <w:kern w:val="2"/>
              </w:rPr>
            </w:pPr>
            <w:r>
              <w:rPr>
                <w:rFonts w:hint="eastAsia" w:ascii="Calibri" w:hAnsi="Calibri" w:eastAsia="宋体" w:cs="Times New Roman"/>
                <w:kern w:val="2"/>
              </w:rPr>
              <w:t>承担的工作</w:t>
            </w:r>
          </w:p>
        </w:tc>
        <w:tc>
          <w:tcPr>
            <w:tcW w:w="6660" w:type="dxa"/>
            <w:tcBorders>
              <w:right w:val="single" w:color="auto" w:sz="12" w:space="0"/>
            </w:tcBorders>
            <w:vAlign w:val="center"/>
          </w:tcPr>
          <w:p>
            <w:pPr>
              <w:spacing w:line="260" w:lineRule="exact"/>
              <w:jc w:val="center"/>
              <w:rPr>
                <w:rFonts w:ascii="Calibri" w:hAnsi="Calibri" w:eastAsia="宋体" w:cs="Times New Roman"/>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2520" w:type="dxa"/>
            <w:tcBorders>
              <w:left w:val="single" w:color="auto" w:sz="12" w:space="0"/>
            </w:tcBorders>
            <w:vAlign w:val="center"/>
          </w:tcPr>
          <w:p>
            <w:pPr>
              <w:spacing w:line="260" w:lineRule="exact"/>
              <w:jc w:val="center"/>
              <w:rPr>
                <w:rFonts w:ascii="Calibri" w:hAnsi="Calibri" w:eastAsia="宋体" w:cs="Times New Roman"/>
                <w:kern w:val="2"/>
              </w:rPr>
            </w:pPr>
            <w:r>
              <w:rPr>
                <w:rFonts w:hint="eastAsia" w:ascii="Calibri" w:hAnsi="Calibri" w:eastAsia="宋体" w:cs="Times New Roman"/>
                <w:kern w:val="2"/>
              </w:rPr>
              <w:t>工程质量</w:t>
            </w:r>
          </w:p>
        </w:tc>
        <w:tc>
          <w:tcPr>
            <w:tcW w:w="6660" w:type="dxa"/>
            <w:tcBorders>
              <w:right w:val="single" w:color="auto" w:sz="12" w:space="0"/>
            </w:tcBorders>
            <w:vAlign w:val="center"/>
          </w:tcPr>
          <w:p>
            <w:pPr>
              <w:spacing w:line="260" w:lineRule="exact"/>
              <w:jc w:val="center"/>
              <w:rPr>
                <w:rFonts w:ascii="Calibri" w:hAnsi="Calibri" w:eastAsia="宋体" w:cs="Times New Roman"/>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2520" w:type="dxa"/>
            <w:tcBorders>
              <w:left w:val="single" w:color="auto" w:sz="12" w:space="0"/>
            </w:tcBorders>
            <w:vAlign w:val="center"/>
          </w:tcPr>
          <w:p>
            <w:pPr>
              <w:spacing w:line="260" w:lineRule="exact"/>
              <w:jc w:val="center"/>
              <w:rPr>
                <w:rFonts w:ascii="Calibri" w:hAnsi="Calibri" w:eastAsia="宋体" w:cs="Times New Roman"/>
                <w:kern w:val="2"/>
              </w:rPr>
            </w:pPr>
            <w:r>
              <w:rPr>
                <w:rFonts w:hint="eastAsia" w:ascii="Calibri" w:hAnsi="Calibri" w:eastAsia="宋体" w:cs="Times New Roman"/>
                <w:kern w:val="2"/>
              </w:rPr>
              <w:t>项目负责人</w:t>
            </w:r>
          </w:p>
        </w:tc>
        <w:tc>
          <w:tcPr>
            <w:tcW w:w="6660" w:type="dxa"/>
            <w:tcBorders>
              <w:right w:val="single" w:color="auto" w:sz="12" w:space="0"/>
            </w:tcBorders>
            <w:vAlign w:val="center"/>
          </w:tcPr>
          <w:p>
            <w:pPr>
              <w:spacing w:line="260" w:lineRule="exact"/>
              <w:jc w:val="center"/>
              <w:rPr>
                <w:rFonts w:ascii="Calibri" w:hAnsi="Calibri" w:eastAsia="宋体" w:cs="Times New Roman"/>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2520" w:type="dxa"/>
            <w:tcBorders>
              <w:left w:val="single" w:color="auto" w:sz="12" w:space="0"/>
            </w:tcBorders>
            <w:vAlign w:val="center"/>
          </w:tcPr>
          <w:p>
            <w:pPr>
              <w:spacing w:line="260" w:lineRule="exact"/>
              <w:jc w:val="center"/>
              <w:rPr>
                <w:rFonts w:ascii="Calibri" w:hAnsi="Calibri" w:eastAsia="宋体" w:cs="Times New Roman"/>
                <w:kern w:val="2"/>
              </w:rPr>
            </w:pPr>
            <w:r>
              <w:rPr>
                <w:rFonts w:hint="eastAsia" w:ascii="Calibri" w:hAnsi="Calibri" w:eastAsia="宋体" w:cs="Times New Roman"/>
                <w:kern w:val="2"/>
              </w:rPr>
              <w:t>项目技术负责人</w:t>
            </w:r>
          </w:p>
        </w:tc>
        <w:tc>
          <w:tcPr>
            <w:tcW w:w="6660" w:type="dxa"/>
            <w:tcBorders>
              <w:right w:val="single" w:color="auto" w:sz="12" w:space="0"/>
            </w:tcBorders>
            <w:vAlign w:val="center"/>
          </w:tcPr>
          <w:p>
            <w:pPr>
              <w:spacing w:line="260" w:lineRule="exact"/>
              <w:jc w:val="center"/>
              <w:rPr>
                <w:rFonts w:ascii="Calibri" w:hAnsi="Calibri" w:eastAsia="宋体" w:cs="Times New Roman"/>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2520" w:type="dxa"/>
            <w:tcBorders>
              <w:left w:val="single" w:color="auto" w:sz="12" w:space="0"/>
            </w:tcBorders>
            <w:vAlign w:val="center"/>
          </w:tcPr>
          <w:p>
            <w:pPr>
              <w:spacing w:line="260" w:lineRule="exact"/>
              <w:jc w:val="center"/>
              <w:rPr>
                <w:rFonts w:ascii="Calibri" w:hAnsi="Calibri" w:eastAsia="宋体" w:cs="Times New Roman"/>
                <w:kern w:val="2"/>
              </w:rPr>
            </w:pPr>
            <w:r>
              <w:rPr>
                <w:rFonts w:hint="eastAsia" w:ascii="Calibri" w:hAnsi="Calibri" w:eastAsia="宋体" w:cs="Times New Roman"/>
                <w:kern w:val="2"/>
              </w:rPr>
              <w:t>监理人</w:t>
            </w:r>
            <w:r>
              <w:rPr>
                <w:rFonts w:hint="eastAsia"/>
                <w:kern w:val="2"/>
              </w:rPr>
              <w:t>和</w:t>
            </w:r>
            <w:r>
              <w:rPr>
                <w:rFonts w:hint="eastAsia" w:ascii="Calibri" w:hAnsi="Calibri" w:eastAsia="宋体" w:cs="Times New Roman"/>
                <w:kern w:val="2"/>
              </w:rPr>
              <w:t>总监理工程师以及电话</w:t>
            </w:r>
          </w:p>
        </w:tc>
        <w:tc>
          <w:tcPr>
            <w:tcW w:w="6660" w:type="dxa"/>
            <w:tcBorders>
              <w:right w:val="single" w:color="auto" w:sz="12" w:space="0"/>
            </w:tcBorders>
            <w:vAlign w:val="center"/>
          </w:tcPr>
          <w:p>
            <w:pPr>
              <w:spacing w:line="260" w:lineRule="exact"/>
              <w:jc w:val="center"/>
              <w:rPr>
                <w:rFonts w:ascii="Calibri" w:hAnsi="Calibri" w:eastAsia="宋体" w:cs="Times New Roman"/>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trPr>
        <w:tc>
          <w:tcPr>
            <w:tcW w:w="2520" w:type="dxa"/>
            <w:tcBorders>
              <w:left w:val="single" w:color="auto" w:sz="12" w:space="0"/>
            </w:tcBorders>
            <w:vAlign w:val="center"/>
          </w:tcPr>
          <w:p>
            <w:pPr>
              <w:spacing w:line="260" w:lineRule="exact"/>
              <w:jc w:val="center"/>
              <w:rPr>
                <w:rFonts w:ascii="Calibri" w:hAnsi="Calibri" w:eastAsia="宋体" w:cs="Times New Roman"/>
                <w:kern w:val="2"/>
              </w:rPr>
            </w:pPr>
            <w:r>
              <w:rPr>
                <w:rFonts w:hint="eastAsia" w:ascii="Calibri" w:hAnsi="Calibri" w:eastAsia="宋体" w:cs="Times New Roman"/>
                <w:kern w:val="2"/>
              </w:rPr>
              <w:t>项目描述</w:t>
            </w:r>
          </w:p>
        </w:tc>
        <w:tc>
          <w:tcPr>
            <w:tcW w:w="6660" w:type="dxa"/>
            <w:tcBorders>
              <w:right w:val="single" w:color="auto" w:sz="12" w:space="0"/>
            </w:tcBorders>
            <w:vAlign w:val="center"/>
          </w:tcPr>
          <w:p>
            <w:pPr>
              <w:spacing w:line="260" w:lineRule="exact"/>
              <w:jc w:val="center"/>
              <w:rPr>
                <w:rFonts w:ascii="Calibri" w:hAnsi="Calibri" w:eastAsia="宋体" w:cs="Times New Roman"/>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520" w:type="dxa"/>
            <w:tcBorders>
              <w:left w:val="single" w:color="auto" w:sz="12" w:space="0"/>
              <w:bottom w:val="single" w:color="auto" w:sz="12" w:space="0"/>
            </w:tcBorders>
            <w:vAlign w:val="center"/>
          </w:tcPr>
          <w:p>
            <w:pPr>
              <w:spacing w:line="260" w:lineRule="exact"/>
              <w:jc w:val="center"/>
              <w:rPr>
                <w:rFonts w:ascii="Calibri" w:hAnsi="Calibri" w:eastAsia="宋体" w:cs="Times New Roman"/>
                <w:kern w:val="2"/>
              </w:rPr>
            </w:pPr>
            <w:r>
              <w:rPr>
                <w:rFonts w:hint="eastAsia" w:ascii="Calibri" w:hAnsi="Calibri" w:eastAsia="宋体" w:cs="Times New Roman"/>
                <w:kern w:val="2"/>
              </w:rPr>
              <w:t>备注</w:t>
            </w:r>
          </w:p>
        </w:tc>
        <w:tc>
          <w:tcPr>
            <w:tcW w:w="6660" w:type="dxa"/>
            <w:tcBorders>
              <w:bottom w:val="single" w:color="auto" w:sz="12" w:space="0"/>
              <w:right w:val="single" w:color="auto" w:sz="12" w:space="0"/>
            </w:tcBorders>
            <w:vAlign w:val="center"/>
          </w:tcPr>
          <w:p>
            <w:pPr>
              <w:spacing w:line="260" w:lineRule="exact"/>
              <w:jc w:val="center"/>
              <w:rPr>
                <w:rFonts w:ascii="Calibri" w:hAnsi="Calibri" w:eastAsia="宋体" w:cs="Times New Roman"/>
                <w:kern w:val="2"/>
              </w:rPr>
            </w:pPr>
            <w:r>
              <w:rPr>
                <w:rFonts w:hint="eastAsia" w:ascii="Calibri" w:hAnsi="Calibri" w:eastAsia="宋体" w:cs="Times New Roman"/>
                <w:kern w:val="2"/>
              </w:rPr>
              <w:t>项目描述</w:t>
            </w:r>
            <w:r>
              <w:rPr>
                <w:rFonts w:hint="eastAsia"/>
                <w:kern w:val="2"/>
              </w:rPr>
              <w:t>内容</w:t>
            </w:r>
            <w:r>
              <w:rPr>
                <w:rFonts w:hint="eastAsia" w:ascii="Calibri" w:hAnsi="Calibri" w:eastAsia="宋体" w:cs="Times New Roman"/>
                <w:kern w:val="2"/>
              </w:rPr>
              <w:t>至少包括项目概述、本合同在项目中的地位（部位、合同价格所占比例）</w:t>
            </w:r>
          </w:p>
        </w:tc>
      </w:tr>
    </w:tbl>
    <w:p>
      <w:pPr>
        <w:pStyle w:val="15"/>
        <w:spacing w:line="300" w:lineRule="exact"/>
        <w:ind w:left="1723" w:leftChars="200" w:hanging="1243" w:hangingChars="444"/>
      </w:pPr>
    </w:p>
    <w:p>
      <w:pPr>
        <w:ind w:firstLine="420" w:firstLineChars="200"/>
        <w:rPr>
          <w:snapToGrid w:val="0"/>
          <w:sz w:val="21"/>
          <w:szCs w:val="21"/>
        </w:rPr>
      </w:pPr>
      <w:r>
        <w:rPr>
          <w:rFonts w:hint="eastAsia"/>
          <w:sz w:val="21"/>
          <w:szCs w:val="21"/>
        </w:rPr>
        <w:t>注：相关材料需扫描件上传；</w:t>
      </w:r>
    </w:p>
    <w:p>
      <w:pPr>
        <w:ind w:firstLine="420" w:firstLineChars="200"/>
        <w:rPr>
          <w:snapToGrid w:val="0"/>
          <w:sz w:val="21"/>
          <w:szCs w:val="21"/>
        </w:rPr>
      </w:pPr>
    </w:p>
    <w:p>
      <w:pPr>
        <w:ind w:firstLine="420" w:firstLineChars="200"/>
        <w:rPr>
          <w:snapToGrid w:val="0"/>
          <w:sz w:val="21"/>
          <w:szCs w:val="21"/>
        </w:rPr>
      </w:pPr>
    </w:p>
    <w:p>
      <w:pPr>
        <w:ind w:firstLine="420" w:firstLineChars="200"/>
        <w:rPr>
          <w:snapToGrid w:val="0"/>
          <w:sz w:val="21"/>
          <w:szCs w:val="21"/>
        </w:rPr>
      </w:pPr>
    </w:p>
    <w:p>
      <w:pPr>
        <w:ind w:firstLine="420" w:firstLineChars="200"/>
        <w:rPr>
          <w:snapToGrid w:val="0"/>
          <w:sz w:val="21"/>
          <w:szCs w:val="21"/>
        </w:rPr>
      </w:pPr>
    </w:p>
    <w:p>
      <w:pPr>
        <w:ind w:firstLine="420" w:firstLineChars="200"/>
        <w:rPr>
          <w:snapToGrid w:val="0"/>
          <w:sz w:val="21"/>
          <w:szCs w:val="21"/>
        </w:rPr>
      </w:pPr>
    </w:p>
    <w:p>
      <w:pPr>
        <w:ind w:firstLine="420" w:firstLineChars="200"/>
        <w:rPr>
          <w:snapToGrid w:val="0"/>
          <w:sz w:val="21"/>
          <w:szCs w:val="21"/>
        </w:rPr>
      </w:pPr>
    </w:p>
    <w:p>
      <w:pPr>
        <w:ind w:firstLine="420" w:firstLineChars="200"/>
        <w:rPr>
          <w:snapToGrid w:val="0"/>
          <w:sz w:val="21"/>
          <w:szCs w:val="21"/>
        </w:rPr>
      </w:pPr>
    </w:p>
    <w:p>
      <w:pPr>
        <w:ind w:firstLine="420" w:firstLineChars="200"/>
        <w:rPr>
          <w:snapToGrid w:val="0"/>
          <w:sz w:val="21"/>
          <w:szCs w:val="21"/>
        </w:rPr>
      </w:pPr>
    </w:p>
    <w:p>
      <w:pPr>
        <w:pStyle w:val="2"/>
      </w:pPr>
    </w:p>
    <w:p>
      <w:pPr>
        <w:pStyle w:val="7"/>
      </w:pPr>
      <w:r>
        <w:rPr>
          <w:rFonts w:hint="eastAsia" w:ascii="黑体" w:hAnsi="黑体" w:eastAsia="黑体"/>
          <w:szCs w:val="24"/>
        </w:rPr>
        <w:t>（四）2017年1月1日至竞包截止日以来</w:t>
      </w:r>
      <w:r>
        <w:rPr>
          <w:rFonts w:ascii="黑体" w:hAnsi="黑体" w:eastAsia="黑体"/>
          <w:szCs w:val="24"/>
        </w:rPr>
        <w:t>发生的诉讼及仲裁情况</w:t>
      </w:r>
      <w:r>
        <w:rPr>
          <w:rFonts w:hint="eastAsia" w:ascii="黑体" w:hAnsi="黑体" w:eastAsia="黑体"/>
          <w:szCs w:val="24"/>
        </w:rPr>
        <w:t>表</w:t>
      </w:r>
    </w:p>
    <w:p>
      <w:pPr>
        <w:rPr>
          <w:snapToGrid w:val="0"/>
          <w:szCs w:val="24"/>
        </w:rPr>
      </w:pPr>
    </w:p>
    <w:tbl>
      <w:tblPr>
        <w:tblStyle w:val="24"/>
        <w:tblW w:w="9175"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966"/>
        <w:gridCol w:w="2298"/>
        <w:gridCol w:w="1721"/>
        <w:gridCol w:w="1396"/>
        <w:gridCol w:w="1398"/>
        <w:gridCol w:w="139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66" w:type="dxa"/>
            <w:vAlign w:val="center"/>
          </w:tcPr>
          <w:p>
            <w:pPr>
              <w:snapToGrid w:val="0"/>
              <w:jc w:val="center"/>
              <w:rPr>
                <w:rFonts w:ascii="宋体" w:hAnsi="宋体" w:cs="宋体"/>
                <w:snapToGrid w:val="0"/>
                <w:kern w:val="2"/>
                <w:szCs w:val="28"/>
              </w:rPr>
            </w:pPr>
            <w:r>
              <w:rPr>
                <w:rFonts w:hint="eastAsia" w:ascii="宋体" w:hAnsi="宋体" w:cs="宋体"/>
                <w:snapToGrid w:val="0"/>
                <w:kern w:val="2"/>
                <w:szCs w:val="28"/>
              </w:rPr>
              <w:t>序号</w:t>
            </w:r>
          </w:p>
        </w:tc>
        <w:tc>
          <w:tcPr>
            <w:tcW w:w="2298" w:type="dxa"/>
            <w:vAlign w:val="center"/>
          </w:tcPr>
          <w:p>
            <w:pPr>
              <w:snapToGrid w:val="0"/>
              <w:jc w:val="center"/>
              <w:rPr>
                <w:rFonts w:ascii="宋体" w:hAnsi="宋体" w:cs="宋体"/>
                <w:snapToGrid w:val="0"/>
                <w:kern w:val="2"/>
                <w:szCs w:val="28"/>
              </w:rPr>
            </w:pPr>
            <w:r>
              <w:rPr>
                <w:rFonts w:ascii="宋体" w:hAnsi="宋体" w:cs="宋体"/>
                <w:snapToGrid w:val="0"/>
                <w:kern w:val="2"/>
                <w:szCs w:val="24"/>
              </w:rPr>
              <w:t>诉讼</w:t>
            </w:r>
            <w:r>
              <w:rPr>
                <w:rFonts w:hint="eastAsia" w:ascii="宋体" w:hAnsi="宋体" w:cs="宋体"/>
                <w:snapToGrid w:val="0"/>
                <w:kern w:val="2"/>
                <w:szCs w:val="24"/>
              </w:rPr>
              <w:t>或仲裁事项</w:t>
            </w:r>
          </w:p>
        </w:tc>
        <w:tc>
          <w:tcPr>
            <w:tcW w:w="1721" w:type="dxa"/>
            <w:vAlign w:val="center"/>
          </w:tcPr>
          <w:p>
            <w:pPr>
              <w:snapToGrid w:val="0"/>
              <w:jc w:val="center"/>
              <w:rPr>
                <w:rFonts w:ascii="宋体" w:hAnsi="宋体" w:cs="宋体"/>
                <w:snapToGrid w:val="0"/>
                <w:kern w:val="2"/>
                <w:szCs w:val="28"/>
              </w:rPr>
            </w:pPr>
            <w:r>
              <w:rPr>
                <w:rFonts w:ascii="宋体" w:hAnsi="宋体" w:cs="宋体"/>
                <w:snapToGrid w:val="0"/>
                <w:kern w:val="2"/>
                <w:szCs w:val="24"/>
              </w:rPr>
              <w:t>诉讼</w:t>
            </w:r>
            <w:r>
              <w:rPr>
                <w:rFonts w:hint="eastAsia" w:ascii="宋体" w:hAnsi="宋体" w:cs="宋体"/>
                <w:snapToGrid w:val="0"/>
                <w:kern w:val="2"/>
                <w:szCs w:val="24"/>
              </w:rPr>
              <w:t>或仲裁中的地位</w:t>
            </w:r>
          </w:p>
        </w:tc>
        <w:tc>
          <w:tcPr>
            <w:tcW w:w="1396" w:type="dxa"/>
            <w:vAlign w:val="center"/>
          </w:tcPr>
          <w:p>
            <w:pPr>
              <w:snapToGrid w:val="0"/>
              <w:jc w:val="center"/>
              <w:rPr>
                <w:rFonts w:ascii="宋体" w:hAnsi="宋体" w:cs="宋体"/>
                <w:snapToGrid w:val="0"/>
                <w:kern w:val="2"/>
                <w:szCs w:val="28"/>
              </w:rPr>
            </w:pPr>
            <w:r>
              <w:rPr>
                <w:rFonts w:hint="eastAsia" w:ascii="宋体" w:hAnsi="宋体" w:cs="宋体"/>
                <w:snapToGrid w:val="0"/>
                <w:kern w:val="2"/>
                <w:szCs w:val="28"/>
              </w:rPr>
              <w:t>缘由</w:t>
            </w:r>
          </w:p>
        </w:tc>
        <w:tc>
          <w:tcPr>
            <w:tcW w:w="1398" w:type="dxa"/>
            <w:vAlign w:val="center"/>
          </w:tcPr>
          <w:p>
            <w:pPr>
              <w:snapToGrid w:val="0"/>
              <w:jc w:val="center"/>
              <w:rPr>
                <w:rFonts w:ascii="宋体" w:hAnsi="宋体" w:cs="宋体"/>
                <w:snapToGrid w:val="0"/>
                <w:kern w:val="2"/>
                <w:szCs w:val="28"/>
              </w:rPr>
            </w:pPr>
            <w:r>
              <w:rPr>
                <w:rFonts w:hint="eastAsia" w:ascii="宋体" w:hAnsi="宋体" w:cs="宋体"/>
                <w:snapToGrid w:val="0"/>
                <w:kern w:val="2"/>
                <w:szCs w:val="28"/>
              </w:rPr>
              <w:t>结果</w:t>
            </w:r>
          </w:p>
        </w:tc>
        <w:tc>
          <w:tcPr>
            <w:tcW w:w="1396" w:type="dxa"/>
            <w:vAlign w:val="center"/>
          </w:tcPr>
          <w:p>
            <w:pPr>
              <w:snapToGrid w:val="0"/>
              <w:jc w:val="center"/>
              <w:rPr>
                <w:rFonts w:ascii="宋体" w:hAnsi="宋体" w:cs="宋体"/>
                <w:snapToGrid w:val="0"/>
                <w:kern w:val="2"/>
                <w:szCs w:val="28"/>
              </w:rPr>
            </w:pPr>
            <w:r>
              <w:rPr>
                <w:rFonts w:hint="eastAsia" w:ascii="宋体" w:hAnsi="宋体" w:cs="宋体"/>
                <w:snapToGrid w:val="0"/>
                <w:kern w:val="2"/>
                <w:szCs w:val="28"/>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66" w:type="dxa"/>
            <w:vAlign w:val="center"/>
          </w:tcPr>
          <w:p>
            <w:pPr>
              <w:snapToGrid w:val="0"/>
              <w:jc w:val="center"/>
              <w:rPr>
                <w:rFonts w:ascii="宋体" w:hAnsi="宋体" w:cs="宋体"/>
                <w:snapToGrid w:val="0"/>
                <w:kern w:val="2"/>
                <w:szCs w:val="28"/>
              </w:rPr>
            </w:pPr>
            <w:r>
              <w:rPr>
                <w:rFonts w:hint="eastAsia" w:ascii="宋体" w:hAnsi="宋体" w:cs="宋体"/>
                <w:snapToGrid w:val="0"/>
                <w:kern w:val="2"/>
                <w:szCs w:val="28"/>
              </w:rPr>
              <w:t>一</w:t>
            </w:r>
          </w:p>
        </w:tc>
        <w:tc>
          <w:tcPr>
            <w:tcW w:w="2298" w:type="dxa"/>
            <w:vAlign w:val="center"/>
          </w:tcPr>
          <w:p>
            <w:pPr>
              <w:snapToGrid w:val="0"/>
              <w:jc w:val="center"/>
              <w:rPr>
                <w:rFonts w:ascii="宋体" w:hAnsi="宋体" w:cs="宋体"/>
                <w:snapToGrid w:val="0"/>
                <w:kern w:val="2"/>
                <w:szCs w:val="28"/>
              </w:rPr>
            </w:pPr>
            <w:r>
              <w:rPr>
                <w:rFonts w:ascii="宋体" w:hAnsi="宋体" w:cs="宋体"/>
                <w:snapToGrid w:val="0"/>
                <w:kern w:val="2"/>
                <w:szCs w:val="24"/>
              </w:rPr>
              <w:t>诉讼</w:t>
            </w:r>
            <w:r>
              <w:rPr>
                <w:rFonts w:hint="eastAsia" w:ascii="宋体" w:hAnsi="宋体" w:cs="宋体"/>
                <w:snapToGrid w:val="0"/>
                <w:kern w:val="2"/>
                <w:szCs w:val="24"/>
              </w:rPr>
              <w:t>事项</w:t>
            </w:r>
          </w:p>
        </w:tc>
        <w:tc>
          <w:tcPr>
            <w:tcW w:w="1721" w:type="dxa"/>
            <w:vAlign w:val="center"/>
          </w:tcPr>
          <w:p>
            <w:pPr>
              <w:snapToGrid w:val="0"/>
              <w:jc w:val="center"/>
              <w:rPr>
                <w:rFonts w:ascii="宋体" w:hAnsi="宋体" w:cs="宋体"/>
                <w:snapToGrid w:val="0"/>
                <w:kern w:val="2"/>
                <w:szCs w:val="28"/>
              </w:rPr>
            </w:pPr>
          </w:p>
        </w:tc>
        <w:tc>
          <w:tcPr>
            <w:tcW w:w="1396" w:type="dxa"/>
            <w:vAlign w:val="center"/>
          </w:tcPr>
          <w:p>
            <w:pPr>
              <w:snapToGrid w:val="0"/>
              <w:jc w:val="center"/>
              <w:rPr>
                <w:rFonts w:ascii="宋体" w:hAnsi="宋体" w:cs="宋体"/>
                <w:snapToGrid w:val="0"/>
                <w:kern w:val="2"/>
                <w:szCs w:val="28"/>
              </w:rPr>
            </w:pPr>
          </w:p>
        </w:tc>
        <w:tc>
          <w:tcPr>
            <w:tcW w:w="1398" w:type="dxa"/>
            <w:vAlign w:val="center"/>
          </w:tcPr>
          <w:p>
            <w:pPr>
              <w:snapToGrid w:val="0"/>
              <w:jc w:val="center"/>
              <w:rPr>
                <w:rFonts w:ascii="宋体" w:hAnsi="宋体" w:cs="宋体"/>
                <w:snapToGrid w:val="0"/>
                <w:kern w:val="2"/>
                <w:szCs w:val="28"/>
              </w:rPr>
            </w:pPr>
          </w:p>
        </w:tc>
        <w:tc>
          <w:tcPr>
            <w:tcW w:w="1396" w:type="dxa"/>
            <w:vAlign w:val="center"/>
          </w:tcPr>
          <w:p>
            <w:pPr>
              <w:snapToGrid w:val="0"/>
              <w:jc w:val="center"/>
              <w:rPr>
                <w:rFonts w:ascii="宋体" w:hAnsi="宋体" w:cs="宋体"/>
                <w:snapToGrid w:val="0"/>
                <w:kern w:val="2"/>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66" w:type="dxa"/>
            <w:vAlign w:val="center"/>
          </w:tcPr>
          <w:p>
            <w:pPr>
              <w:snapToGrid w:val="0"/>
              <w:jc w:val="center"/>
              <w:rPr>
                <w:rFonts w:ascii="宋体" w:hAnsi="宋体" w:cs="宋体"/>
                <w:snapToGrid w:val="0"/>
                <w:kern w:val="2"/>
                <w:szCs w:val="28"/>
              </w:rPr>
            </w:pPr>
          </w:p>
        </w:tc>
        <w:tc>
          <w:tcPr>
            <w:tcW w:w="2298" w:type="dxa"/>
            <w:vAlign w:val="center"/>
          </w:tcPr>
          <w:p>
            <w:pPr>
              <w:snapToGrid w:val="0"/>
              <w:jc w:val="center"/>
              <w:rPr>
                <w:rFonts w:ascii="宋体" w:hAnsi="宋体" w:cs="宋体"/>
                <w:snapToGrid w:val="0"/>
                <w:kern w:val="2"/>
                <w:szCs w:val="28"/>
              </w:rPr>
            </w:pPr>
          </w:p>
        </w:tc>
        <w:tc>
          <w:tcPr>
            <w:tcW w:w="1721" w:type="dxa"/>
            <w:vAlign w:val="center"/>
          </w:tcPr>
          <w:p>
            <w:pPr>
              <w:snapToGrid w:val="0"/>
              <w:jc w:val="center"/>
              <w:rPr>
                <w:rFonts w:ascii="宋体" w:hAnsi="宋体" w:cs="宋体"/>
                <w:snapToGrid w:val="0"/>
                <w:kern w:val="2"/>
                <w:szCs w:val="28"/>
              </w:rPr>
            </w:pPr>
          </w:p>
        </w:tc>
        <w:tc>
          <w:tcPr>
            <w:tcW w:w="1396" w:type="dxa"/>
            <w:vAlign w:val="center"/>
          </w:tcPr>
          <w:p>
            <w:pPr>
              <w:snapToGrid w:val="0"/>
              <w:jc w:val="center"/>
              <w:rPr>
                <w:rFonts w:ascii="宋体" w:hAnsi="宋体" w:cs="宋体"/>
                <w:snapToGrid w:val="0"/>
                <w:kern w:val="2"/>
                <w:szCs w:val="28"/>
              </w:rPr>
            </w:pPr>
          </w:p>
        </w:tc>
        <w:tc>
          <w:tcPr>
            <w:tcW w:w="1398" w:type="dxa"/>
            <w:vAlign w:val="center"/>
          </w:tcPr>
          <w:p>
            <w:pPr>
              <w:snapToGrid w:val="0"/>
              <w:jc w:val="center"/>
              <w:rPr>
                <w:rFonts w:ascii="宋体" w:hAnsi="宋体" w:cs="宋体"/>
                <w:snapToGrid w:val="0"/>
                <w:kern w:val="2"/>
                <w:szCs w:val="28"/>
              </w:rPr>
            </w:pPr>
          </w:p>
        </w:tc>
        <w:tc>
          <w:tcPr>
            <w:tcW w:w="1396" w:type="dxa"/>
            <w:vAlign w:val="center"/>
          </w:tcPr>
          <w:p>
            <w:pPr>
              <w:snapToGrid w:val="0"/>
              <w:jc w:val="center"/>
              <w:rPr>
                <w:rFonts w:ascii="宋体" w:hAnsi="宋体" w:cs="宋体"/>
                <w:snapToGrid w:val="0"/>
                <w:kern w:val="2"/>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66" w:type="dxa"/>
            <w:vAlign w:val="center"/>
          </w:tcPr>
          <w:p>
            <w:pPr>
              <w:snapToGrid w:val="0"/>
              <w:jc w:val="center"/>
              <w:rPr>
                <w:rFonts w:ascii="宋体" w:hAnsi="宋体" w:cs="宋体"/>
                <w:snapToGrid w:val="0"/>
                <w:kern w:val="2"/>
                <w:szCs w:val="28"/>
              </w:rPr>
            </w:pPr>
          </w:p>
        </w:tc>
        <w:tc>
          <w:tcPr>
            <w:tcW w:w="2298" w:type="dxa"/>
            <w:vAlign w:val="center"/>
          </w:tcPr>
          <w:p>
            <w:pPr>
              <w:snapToGrid w:val="0"/>
              <w:jc w:val="center"/>
              <w:rPr>
                <w:rFonts w:ascii="宋体" w:hAnsi="宋体" w:cs="宋体"/>
                <w:snapToGrid w:val="0"/>
                <w:kern w:val="2"/>
                <w:szCs w:val="28"/>
              </w:rPr>
            </w:pPr>
          </w:p>
        </w:tc>
        <w:tc>
          <w:tcPr>
            <w:tcW w:w="1721" w:type="dxa"/>
            <w:vAlign w:val="center"/>
          </w:tcPr>
          <w:p>
            <w:pPr>
              <w:snapToGrid w:val="0"/>
              <w:jc w:val="center"/>
              <w:rPr>
                <w:rFonts w:ascii="宋体" w:hAnsi="宋体" w:cs="宋体"/>
                <w:snapToGrid w:val="0"/>
                <w:kern w:val="2"/>
                <w:szCs w:val="28"/>
              </w:rPr>
            </w:pPr>
          </w:p>
        </w:tc>
        <w:tc>
          <w:tcPr>
            <w:tcW w:w="1396" w:type="dxa"/>
            <w:vAlign w:val="center"/>
          </w:tcPr>
          <w:p>
            <w:pPr>
              <w:snapToGrid w:val="0"/>
              <w:jc w:val="center"/>
              <w:rPr>
                <w:rFonts w:ascii="宋体" w:hAnsi="宋体" w:cs="宋体"/>
                <w:snapToGrid w:val="0"/>
                <w:kern w:val="2"/>
                <w:szCs w:val="28"/>
              </w:rPr>
            </w:pPr>
          </w:p>
        </w:tc>
        <w:tc>
          <w:tcPr>
            <w:tcW w:w="1398" w:type="dxa"/>
            <w:vAlign w:val="center"/>
          </w:tcPr>
          <w:p>
            <w:pPr>
              <w:snapToGrid w:val="0"/>
              <w:jc w:val="center"/>
              <w:rPr>
                <w:rFonts w:ascii="宋体" w:hAnsi="宋体" w:cs="宋体"/>
                <w:snapToGrid w:val="0"/>
                <w:kern w:val="2"/>
                <w:szCs w:val="28"/>
              </w:rPr>
            </w:pPr>
          </w:p>
        </w:tc>
        <w:tc>
          <w:tcPr>
            <w:tcW w:w="1396" w:type="dxa"/>
            <w:vAlign w:val="center"/>
          </w:tcPr>
          <w:p>
            <w:pPr>
              <w:snapToGrid w:val="0"/>
              <w:jc w:val="center"/>
              <w:rPr>
                <w:rFonts w:ascii="宋体" w:hAnsi="宋体" w:cs="宋体"/>
                <w:snapToGrid w:val="0"/>
                <w:kern w:val="2"/>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66" w:type="dxa"/>
            <w:vAlign w:val="center"/>
          </w:tcPr>
          <w:p>
            <w:pPr>
              <w:snapToGrid w:val="0"/>
              <w:jc w:val="center"/>
              <w:rPr>
                <w:rFonts w:ascii="宋体" w:hAnsi="宋体" w:cs="宋体"/>
                <w:snapToGrid w:val="0"/>
                <w:kern w:val="2"/>
                <w:szCs w:val="28"/>
              </w:rPr>
            </w:pPr>
          </w:p>
        </w:tc>
        <w:tc>
          <w:tcPr>
            <w:tcW w:w="2298" w:type="dxa"/>
            <w:vAlign w:val="center"/>
          </w:tcPr>
          <w:p>
            <w:pPr>
              <w:snapToGrid w:val="0"/>
              <w:jc w:val="center"/>
              <w:rPr>
                <w:rFonts w:ascii="宋体" w:hAnsi="宋体" w:cs="宋体"/>
                <w:snapToGrid w:val="0"/>
                <w:kern w:val="2"/>
                <w:szCs w:val="28"/>
              </w:rPr>
            </w:pPr>
          </w:p>
        </w:tc>
        <w:tc>
          <w:tcPr>
            <w:tcW w:w="1721" w:type="dxa"/>
            <w:vAlign w:val="center"/>
          </w:tcPr>
          <w:p>
            <w:pPr>
              <w:snapToGrid w:val="0"/>
              <w:jc w:val="center"/>
              <w:rPr>
                <w:rFonts w:ascii="宋体" w:hAnsi="宋体" w:cs="宋体"/>
                <w:snapToGrid w:val="0"/>
                <w:kern w:val="2"/>
                <w:szCs w:val="28"/>
              </w:rPr>
            </w:pPr>
          </w:p>
        </w:tc>
        <w:tc>
          <w:tcPr>
            <w:tcW w:w="1396" w:type="dxa"/>
            <w:vAlign w:val="center"/>
          </w:tcPr>
          <w:p>
            <w:pPr>
              <w:snapToGrid w:val="0"/>
              <w:jc w:val="center"/>
              <w:rPr>
                <w:rFonts w:ascii="宋体" w:hAnsi="宋体" w:cs="宋体"/>
                <w:snapToGrid w:val="0"/>
                <w:kern w:val="2"/>
                <w:szCs w:val="28"/>
              </w:rPr>
            </w:pPr>
          </w:p>
        </w:tc>
        <w:tc>
          <w:tcPr>
            <w:tcW w:w="1398" w:type="dxa"/>
            <w:vAlign w:val="center"/>
          </w:tcPr>
          <w:p>
            <w:pPr>
              <w:snapToGrid w:val="0"/>
              <w:jc w:val="center"/>
              <w:rPr>
                <w:rFonts w:ascii="宋体" w:hAnsi="宋体" w:cs="宋体"/>
                <w:snapToGrid w:val="0"/>
                <w:kern w:val="2"/>
                <w:szCs w:val="28"/>
              </w:rPr>
            </w:pPr>
          </w:p>
        </w:tc>
        <w:tc>
          <w:tcPr>
            <w:tcW w:w="1396" w:type="dxa"/>
            <w:vAlign w:val="center"/>
          </w:tcPr>
          <w:p>
            <w:pPr>
              <w:snapToGrid w:val="0"/>
              <w:jc w:val="center"/>
              <w:rPr>
                <w:rFonts w:ascii="宋体" w:hAnsi="宋体" w:cs="宋体"/>
                <w:snapToGrid w:val="0"/>
                <w:kern w:val="2"/>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66" w:type="dxa"/>
            <w:vAlign w:val="center"/>
          </w:tcPr>
          <w:p>
            <w:pPr>
              <w:snapToGrid w:val="0"/>
              <w:jc w:val="center"/>
              <w:rPr>
                <w:rFonts w:ascii="宋体" w:hAnsi="宋体" w:cs="宋体"/>
                <w:snapToGrid w:val="0"/>
                <w:kern w:val="2"/>
                <w:szCs w:val="28"/>
              </w:rPr>
            </w:pPr>
          </w:p>
        </w:tc>
        <w:tc>
          <w:tcPr>
            <w:tcW w:w="2298" w:type="dxa"/>
            <w:vAlign w:val="center"/>
          </w:tcPr>
          <w:p>
            <w:pPr>
              <w:snapToGrid w:val="0"/>
              <w:jc w:val="center"/>
              <w:rPr>
                <w:rFonts w:ascii="宋体" w:hAnsi="宋体" w:cs="宋体"/>
                <w:snapToGrid w:val="0"/>
                <w:kern w:val="2"/>
                <w:szCs w:val="28"/>
              </w:rPr>
            </w:pPr>
          </w:p>
        </w:tc>
        <w:tc>
          <w:tcPr>
            <w:tcW w:w="1721" w:type="dxa"/>
            <w:vAlign w:val="center"/>
          </w:tcPr>
          <w:p>
            <w:pPr>
              <w:snapToGrid w:val="0"/>
              <w:jc w:val="center"/>
              <w:rPr>
                <w:rFonts w:ascii="宋体" w:hAnsi="宋体" w:cs="宋体"/>
                <w:snapToGrid w:val="0"/>
                <w:kern w:val="2"/>
                <w:szCs w:val="28"/>
              </w:rPr>
            </w:pPr>
          </w:p>
        </w:tc>
        <w:tc>
          <w:tcPr>
            <w:tcW w:w="1396" w:type="dxa"/>
            <w:vAlign w:val="center"/>
          </w:tcPr>
          <w:p>
            <w:pPr>
              <w:snapToGrid w:val="0"/>
              <w:jc w:val="center"/>
              <w:rPr>
                <w:rFonts w:ascii="宋体" w:hAnsi="宋体" w:cs="宋体"/>
                <w:snapToGrid w:val="0"/>
                <w:kern w:val="2"/>
                <w:szCs w:val="28"/>
              </w:rPr>
            </w:pPr>
          </w:p>
        </w:tc>
        <w:tc>
          <w:tcPr>
            <w:tcW w:w="1398" w:type="dxa"/>
            <w:vAlign w:val="center"/>
          </w:tcPr>
          <w:p>
            <w:pPr>
              <w:snapToGrid w:val="0"/>
              <w:jc w:val="center"/>
              <w:rPr>
                <w:rFonts w:ascii="宋体" w:hAnsi="宋体" w:cs="宋体"/>
                <w:snapToGrid w:val="0"/>
                <w:kern w:val="2"/>
                <w:szCs w:val="28"/>
              </w:rPr>
            </w:pPr>
          </w:p>
        </w:tc>
        <w:tc>
          <w:tcPr>
            <w:tcW w:w="1396" w:type="dxa"/>
            <w:vAlign w:val="center"/>
          </w:tcPr>
          <w:p>
            <w:pPr>
              <w:snapToGrid w:val="0"/>
              <w:jc w:val="center"/>
              <w:rPr>
                <w:rFonts w:ascii="宋体" w:hAnsi="宋体" w:cs="宋体"/>
                <w:snapToGrid w:val="0"/>
                <w:kern w:val="2"/>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66" w:type="dxa"/>
            <w:vAlign w:val="center"/>
          </w:tcPr>
          <w:p>
            <w:pPr>
              <w:snapToGrid w:val="0"/>
              <w:jc w:val="center"/>
              <w:rPr>
                <w:rFonts w:ascii="宋体" w:hAnsi="宋体" w:cs="宋体"/>
                <w:snapToGrid w:val="0"/>
                <w:kern w:val="2"/>
                <w:szCs w:val="28"/>
              </w:rPr>
            </w:pPr>
          </w:p>
        </w:tc>
        <w:tc>
          <w:tcPr>
            <w:tcW w:w="2298" w:type="dxa"/>
            <w:vAlign w:val="center"/>
          </w:tcPr>
          <w:p>
            <w:pPr>
              <w:snapToGrid w:val="0"/>
              <w:jc w:val="center"/>
              <w:rPr>
                <w:rFonts w:ascii="宋体" w:hAnsi="宋体" w:cs="宋体"/>
                <w:snapToGrid w:val="0"/>
                <w:kern w:val="2"/>
                <w:szCs w:val="28"/>
              </w:rPr>
            </w:pPr>
          </w:p>
        </w:tc>
        <w:tc>
          <w:tcPr>
            <w:tcW w:w="1721" w:type="dxa"/>
            <w:vAlign w:val="center"/>
          </w:tcPr>
          <w:p>
            <w:pPr>
              <w:snapToGrid w:val="0"/>
              <w:jc w:val="center"/>
              <w:rPr>
                <w:rFonts w:ascii="宋体" w:hAnsi="宋体" w:cs="宋体"/>
                <w:snapToGrid w:val="0"/>
                <w:kern w:val="2"/>
                <w:szCs w:val="28"/>
              </w:rPr>
            </w:pPr>
          </w:p>
        </w:tc>
        <w:tc>
          <w:tcPr>
            <w:tcW w:w="1396" w:type="dxa"/>
            <w:vAlign w:val="center"/>
          </w:tcPr>
          <w:p>
            <w:pPr>
              <w:snapToGrid w:val="0"/>
              <w:jc w:val="center"/>
              <w:rPr>
                <w:rFonts w:ascii="宋体" w:hAnsi="宋体" w:cs="宋体"/>
                <w:snapToGrid w:val="0"/>
                <w:kern w:val="2"/>
                <w:szCs w:val="28"/>
              </w:rPr>
            </w:pPr>
          </w:p>
        </w:tc>
        <w:tc>
          <w:tcPr>
            <w:tcW w:w="1398" w:type="dxa"/>
            <w:vAlign w:val="center"/>
          </w:tcPr>
          <w:p>
            <w:pPr>
              <w:snapToGrid w:val="0"/>
              <w:jc w:val="center"/>
              <w:rPr>
                <w:rFonts w:ascii="宋体" w:hAnsi="宋体" w:cs="宋体"/>
                <w:snapToGrid w:val="0"/>
                <w:kern w:val="2"/>
                <w:szCs w:val="28"/>
              </w:rPr>
            </w:pPr>
          </w:p>
        </w:tc>
        <w:tc>
          <w:tcPr>
            <w:tcW w:w="1396" w:type="dxa"/>
            <w:vAlign w:val="center"/>
          </w:tcPr>
          <w:p>
            <w:pPr>
              <w:snapToGrid w:val="0"/>
              <w:jc w:val="center"/>
              <w:rPr>
                <w:rFonts w:ascii="宋体" w:hAnsi="宋体" w:cs="宋体"/>
                <w:snapToGrid w:val="0"/>
                <w:kern w:val="2"/>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66" w:type="dxa"/>
            <w:vAlign w:val="center"/>
          </w:tcPr>
          <w:p>
            <w:pPr>
              <w:snapToGrid w:val="0"/>
              <w:jc w:val="center"/>
              <w:rPr>
                <w:rFonts w:ascii="宋体" w:hAnsi="宋体" w:cs="宋体"/>
                <w:snapToGrid w:val="0"/>
                <w:kern w:val="2"/>
                <w:szCs w:val="28"/>
              </w:rPr>
            </w:pPr>
          </w:p>
        </w:tc>
        <w:tc>
          <w:tcPr>
            <w:tcW w:w="2298" w:type="dxa"/>
            <w:vAlign w:val="center"/>
          </w:tcPr>
          <w:p>
            <w:pPr>
              <w:snapToGrid w:val="0"/>
              <w:jc w:val="center"/>
              <w:rPr>
                <w:rFonts w:ascii="宋体" w:hAnsi="宋体" w:cs="宋体"/>
                <w:snapToGrid w:val="0"/>
                <w:kern w:val="2"/>
                <w:szCs w:val="28"/>
              </w:rPr>
            </w:pPr>
          </w:p>
        </w:tc>
        <w:tc>
          <w:tcPr>
            <w:tcW w:w="1721" w:type="dxa"/>
            <w:vAlign w:val="center"/>
          </w:tcPr>
          <w:p>
            <w:pPr>
              <w:snapToGrid w:val="0"/>
              <w:jc w:val="center"/>
              <w:rPr>
                <w:rFonts w:ascii="宋体" w:hAnsi="宋体" w:cs="宋体"/>
                <w:snapToGrid w:val="0"/>
                <w:kern w:val="2"/>
                <w:szCs w:val="28"/>
              </w:rPr>
            </w:pPr>
          </w:p>
        </w:tc>
        <w:tc>
          <w:tcPr>
            <w:tcW w:w="1396" w:type="dxa"/>
            <w:vAlign w:val="center"/>
          </w:tcPr>
          <w:p>
            <w:pPr>
              <w:snapToGrid w:val="0"/>
              <w:jc w:val="center"/>
              <w:rPr>
                <w:rFonts w:ascii="宋体" w:hAnsi="宋体" w:cs="宋体"/>
                <w:snapToGrid w:val="0"/>
                <w:kern w:val="2"/>
                <w:szCs w:val="28"/>
              </w:rPr>
            </w:pPr>
          </w:p>
        </w:tc>
        <w:tc>
          <w:tcPr>
            <w:tcW w:w="1398" w:type="dxa"/>
            <w:vAlign w:val="center"/>
          </w:tcPr>
          <w:p>
            <w:pPr>
              <w:snapToGrid w:val="0"/>
              <w:jc w:val="center"/>
              <w:rPr>
                <w:rFonts w:ascii="宋体" w:hAnsi="宋体" w:cs="宋体"/>
                <w:snapToGrid w:val="0"/>
                <w:kern w:val="2"/>
                <w:szCs w:val="28"/>
              </w:rPr>
            </w:pPr>
          </w:p>
        </w:tc>
        <w:tc>
          <w:tcPr>
            <w:tcW w:w="1396" w:type="dxa"/>
            <w:vAlign w:val="center"/>
          </w:tcPr>
          <w:p>
            <w:pPr>
              <w:snapToGrid w:val="0"/>
              <w:jc w:val="center"/>
              <w:rPr>
                <w:rFonts w:ascii="宋体" w:hAnsi="宋体" w:cs="宋体"/>
                <w:snapToGrid w:val="0"/>
                <w:kern w:val="2"/>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66" w:type="dxa"/>
            <w:vAlign w:val="center"/>
          </w:tcPr>
          <w:p>
            <w:pPr>
              <w:snapToGrid w:val="0"/>
              <w:jc w:val="center"/>
              <w:rPr>
                <w:rFonts w:ascii="宋体" w:hAnsi="宋体" w:cs="宋体"/>
                <w:snapToGrid w:val="0"/>
                <w:kern w:val="2"/>
                <w:szCs w:val="28"/>
              </w:rPr>
            </w:pPr>
          </w:p>
        </w:tc>
        <w:tc>
          <w:tcPr>
            <w:tcW w:w="2298" w:type="dxa"/>
            <w:vAlign w:val="center"/>
          </w:tcPr>
          <w:p>
            <w:pPr>
              <w:snapToGrid w:val="0"/>
              <w:jc w:val="center"/>
              <w:rPr>
                <w:rFonts w:ascii="宋体" w:hAnsi="宋体" w:cs="宋体"/>
                <w:snapToGrid w:val="0"/>
                <w:kern w:val="2"/>
                <w:szCs w:val="28"/>
              </w:rPr>
            </w:pPr>
          </w:p>
        </w:tc>
        <w:tc>
          <w:tcPr>
            <w:tcW w:w="1721" w:type="dxa"/>
            <w:vAlign w:val="center"/>
          </w:tcPr>
          <w:p>
            <w:pPr>
              <w:snapToGrid w:val="0"/>
              <w:jc w:val="center"/>
              <w:rPr>
                <w:rFonts w:ascii="宋体" w:hAnsi="宋体" w:cs="宋体"/>
                <w:snapToGrid w:val="0"/>
                <w:kern w:val="2"/>
                <w:szCs w:val="28"/>
              </w:rPr>
            </w:pPr>
          </w:p>
        </w:tc>
        <w:tc>
          <w:tcPr>
            <w:tcW w:w="1396" w:type="dxa"/>
            <w:vAlign w:val="center"/>
          </w:tcPr>
          <w:p>
            <w:pPr>
              <w:snapToGrid w:val="0"/>
              <w:jc w:val="center"/>
              <w:rPr>
                <w:rFonts w:ascii="宋体" w:hAnsi="宋体" w:cs="宋体"/>
                <w:snapToGrid w:val="0"/>
                <w:kern w:val="2"/>
                <w:szCs w:val="28"/>
              </w:rPr>
            </w:pPr>
          </w:p>
        </w:tc>
        <w:tc>
          <w:tcPr>
            <w:tcW w:w="1398" w:type="dxa"/>
            <w:vAlign w:val="center"/>
          </w:tcPr>
          <w:p>
            <w:pPr>
              <w:snapToGrid w:val="0"/>
              <w:jc w:val="center"/>
              <w:rPr>
                <w:rFonts w:ascii="宋体" w:hAnsi="宋体" w:cs="宋体"/>
                <w:snapToGrid w:val="0"/>
                <w:kern w:val="2"/>
                <w:szCs w:val="28"/>
              </w:rPr>
            </w:pPr>
          </w:p>
        </w:tc>
        <w:tc>
          <w:tcPr>
            <w:tcW w:w="1396" w:type="dxa"/>
            <w:vAlign w:val="center"/>
          </w:tcPr>
          <w:p>
            <w:pPr>
              <w:snapToGrid w:val="0"/>
              <w:jc w:val="center"/>
              <w:rPr>
                <w:rFonts w:ascii="宋体" w:hAnsi="宋体" w:cs="宋体"/>
                <w:snapToGrid w:val="0"/>
                <w:kern w:val="2"/>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66" w:type="dxa"/>
            <w:vAlign w:val="center"/>
          </w:tcPr>
          <w:p>
            <w:pPr>
              <w:snapToGrid w:val="0"/>
              <w:jc w:val="center"/>
              <w:rPr>
                <w:rFonts w:ascii="宋体" w:hAnsi="宋体" w:cs="宋体"/>
                <w:snapToGrid w:val="0"/>
                <w:kern w:val="2"/>
                <w:szCs w:val="28"/>
              </w:rPr>
            </w:pPr>
          </w:p>
        </w:tc>
        <w:tc>
          <w:tcPr>
            <w:tcW w:w="2298" w:type="dxa"/>
            <w:vAlign w:val="center"/>
          </w:tcPr>
          <w:p>
            <w:pPr>
              <w:snapToGrid w:val="0"/>
              <w:jc w:val="center"/>
              <w:rPr>
                <w:rFonts w:ascii="宋体" w:hAnsi="宋体" w:cs="宋体"/>
                <w:snapToGrid w:val="0"/>
                <w:kern w:val="2"/>
                <w:szCs w:val="28"/>
              </w:rPr>
            </w:pPr>
          </w:p>
        </w:tc>
        <w:tc>
          <w:tcPr>
            <w:tcW w:w="1721" w:type="dxa"/>
            <w:vAlign w:val="center"/>
          </w:tcPr>
          <w:p>
            <w:pPr>
              <w:snapToGrid w:val="0"/>
              <w:jc w:val="center"/>
              <w:rPr>
                <w:rFonts w:ascii="宋体" w:hAnsi="宋体" w:cs="宋体"/>
                <w:snapToGrid w:val="0"/>
                <w:kern w:val="2"/>
                <w:szCs w:val="28"/>
              </w:rPr>
            </w:pPr>
          </w:p>
        </w:tc>
        <w:tc>
          <w:tcPr>
            <w:tcW w:w="1396" w:type="dxa"/>
            <w:vAlign w:val="center"/>
          </w:tcPr>
          <w:p>
            <w:pPr>
              <w:snapToGrid w:val="0"/>
              <w:jc w:val="center"/>
              <w:rPr>
                <w:rFonts w:ascii="宋体" w:hAnsi="宋体" w:cs="宋体"/>
                <w:snapToGrid w:val="0"/>
                <w:kern w:val="2"/>
                <w:szCs w:val="28"/>
              </w:rPr>
            </w:pPr>
          </w:p>
        </w:tc>
        <w:tc>
          <w:tcPr>
            <w:tcW w:w="1398" w:type="dxa"/>
            <w:vAlign w:val="center"/>
          </w:tcPr>
          <w:p>
            <w:pPr>
              <w:snapToGrid w:val="0"/>
              <w:jc w:val="center"/>
              <w:rPr>
                <w:rFonts w:ascii="宋体" w:hAnsi="宋体" w:cs="宋体"/>
                <w:snapToGrid w:val="0"/>
                <w:kern w:val="2"/>
                <w:szCs w:val="28"/>
              </w:rPr>
            </w:pPr>
          </w:p>
        </w:tc>
        <w:tc>
          <w:tcPr>
            <w:tcW w:w="1396" w:type="dxa"/>
            <w:vAlign w:val="center"/>
          </w:tcPr>
          <w:p>
            <w:pPr>
              <w:snapToGrid w:val="0"/>
              <w:jc w:val="center"/>
              <w:rPr>
                <w:rFonts w:ascii="宋体" w:hAnsi="宋体" w:cs="宋体"/>
                <w:snapToGrid w:val="0"/>
                <w:kern w:val="2"/>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66" w:type="dxa"/>
            <w:vAlign w:val="center"/>
          </w:tcPr>
          <w:p>
            <w:pPr>
              <w:snapToGrid w:val="0"/>
              <w:jc w:val="center"/>
              <w:rPr>
                <w:rFonts w:ascii="宋体" w:hAnsi="宋体" w:cs="宋体"/>
                <w:snapToGrid w:val="0"/>
                <w:kern w:val="2"/>
                <w:szCs w:val="28"/>
              </w:rPr>
            </w:pPr>
            <w:r>
              <w:rPr>
                <w:rFonts w:hint="eastAsia" w:ascii="宋体" w:hAnsi="宋体" w:cs="宋体"/>
                <w:snapToGrid w:val="0"/>
                <w:kern w:val="2"/>
                <w:szCs w:val="28"/>
              </w:rPr>
              <w:t>二</w:t>
            </w:r>
          </w:p>
        </w:tc>
        <w:tc>
          <w:tcPr>
            <w:tcW w:w="2298" w:type="dxa"/>
            <w:vAlign w:val="center"/>
          </w:tcPr>
          <w:p>
            <w:pPr>
              <w:snapToGrid w:val="0"/>
              <w:jc w:val="center"/>
              <w:rPr>
                <w:rFonts w:ascii="宋体" w:hAnsi="宋体" w:cs="宋体"/>
                <w:snapToGrid w:val="0"/>
                <w:kern w:val="2"/>
                <w:szCs w:val="28"/>
              </w:rPr>
            </w:pPr>
            <w:r>
              <w:rPr>
                <w:rFonts w:hint="eastAsia" w:ascii="宋体" w:hAnsi="宋体" w:cs="宋体"/>
                <w:snapToGrid w:val="0"/>
                <w:kern w:val="2"/>
                <w:szCs w:val="24"/>
              </w:rPr>
              <w:t>仲裁事项</w:t>
            </w:r>
          </w:p>
        </w:tc>
        <w:tc>
          <w:tcPr>
            <w:tcW w:w="1721" w:type="dxa"/>
            <w:vAlign w:val="center"/>
          </w:tcPr>
          <w:p>
            <w:pPr>
              <w:snapToGrid w:val="0"/>
              <w:jc w:val="center"/>
              <w:rPr>
                <w:rFonts w:ascii="宋体" w:hAnsi="宋体" w:cs="宋体"/>
                <w:snapToGrid w:val="0"/>
                <w:kern w:val="2"/>
                <w:szCs w:val="28"/>
              </w:rPr>
            </w:pPr>
          </w:p>
        </w:tc>
        <w:tc>
          <w:tcPr>
            <w:tcW w:w="1396" w:type="dxa"/>
            <w:vAlign w:val="center"/>
          </w:tcPr>
          <w:p>
            <w:pPr>
              <w:snapToGrid w:val="0"/>
              <w:jc w:val="center"/>
              <w:rPr>
                <w:rFonts w:ascii="宋体" w:hAnsi="宋体" w:cs="宋体"/>
                <w:snapToGrid w:val="0"/>
                <w:kern w:val="2"/>
                <w:szCs w:val="28"/>
              </w:rPr>
            </w:pPr>
          </w:p>
        </w:tc>
        <w:tc>
          <w:tcPr>
            <w:tcW w:w="1398" w:type="dxa"/>
            <w:vAlign w:val="center"/>
          </w:tcPr>
          <w:p>
            <w:pPr>
              <w:snapToGrid w:val="0"/>
              <w:jc w:val="center"/>
              <w:rPr>
                <w:rFonts w:ascii="宋体" w:hAnsi="宋体" w:cs="宋体"/>
                <w:snapToGrid w:val="0"/>
                <w:kern w:val="2"/>
                <w:szCs w:val="28"/>
              </w:rPr>
            </w:pPr>
          </w:p>
        </w:tc>
        <w:tc>
          <w:tcPr>
            <w:tcW w:w="1396" w:type="dxa"/>
            <w:vAlign w:val="center"/>
          </w:tcPr>
          <w:p>
            <w:pPr>
              <w:snapToGrid w:val="0"/>
              <w:jc w:val="center"/>
              <w:rPr>
                <w:rFonts w:ascii="宋体" w:hAnsi="宋体" w:cs="宋体"/>
                <w:snapToGrid w:val="0"/>
                <w:kern w:val="2"/>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66" w:type="dxa"/>
            <w:vAlign w:val="center"/>
          </w:tcPr>
          <w:p>
            <w:pPr>
              <w:snapToGrid w:val="0"/>
              <w:jc w:val="center"/>
              <w:rPr>
                <w:rFonts w:ascii="宋体" w:hAnsi="宋体" w:cs="宋体"/>
                <w:snapToGrid w:val="0"/>
                <w:kern w:val="2"/>
                <w:szCs w:val="28"/>
              </w:rPr>
            </w:pPr>
          </w:p>
        </w:tc>
        <w:tc>
          <w:tcPr>
            <w:tcW w:w="2298" w:type="dxa"/>
            <w:vAlign w:val="center"/>
          </w:tcPr>
          <w:p>
            <w:pPr>
              <w:snapToGrid w:val="0"/>
              <w:jc w:val="center"/>
              <w:rPr>
                <w:rFonts w:ascii="宋体" w:hAnsi="宋体" w:cs="宋体"/>
                <w:snapToGrid w:val="0"/>
                <w:kern w:val="2"/>
                <w:szCs w:val="28"/>
              </w:rPr>
            </w:pPr>
          </w:p>
        </w:tc>
        <w:tc>
          <w:tcPr>
            <w:tcW w:w="1721" w:type="dxa"/>
            <w:vAlign w:val="center"/>
          </w:tcPr>
          <w:p>
            <w:pPr>
              <w:snapToGrid w:val="0"/>
              <w:jc w:val="center"/>
              <w:rPr>
                <w:rFonts w:ascii="宋体" w:hAnsi="宋体" w:cs="宋体"/>
                <w:snapToGrid w:val="0"/>
                <w:kern w:val="2"/>
                <w:szCs w:val="28"/>
              </w:rPr>
            </w:pPr>
          </w:p>
        </w:tc>
        <w:tc>
          <w:tcPr>
            <w:tcW w:w="1396" w:type="dxa"/>
            <w:vAlign w:val="center"/>
          </w:tcPr>
          <w:p>
            <w:pPr>
              <w:snapToGrid w:val="0"/>
              <w:jc w:val="center"/>
              <w:rPr>
                <w:rFonts w:ascii="宋体" w:hAnsi="宋体" w:cs="宋体"/>
                <w:snapToGrid w:val="0"/>
                <w:kern w:val="2"/>
                <w:szCs w:val="28"/>
              </w:rPr>
            </w:pPr>
          </w:p>
        </w:tc>
        <w:tc>
          <w:tcPr>
            <w:tcW w:w="1398" w:type="dxa"/>
            <w:vAlign w:val="center"/>
          </w:tcPr>
          <w:p>
            <w:pPr>
              <w:snapToGrid w:val="0"/>
              <w:jc w:val="center"/>
              <w:rPr>
                <w:rFonts w:ascii="宋体" w:hAnsi="宋体" w:cs="宋体"/>
                <w:snapToGrid w:val="0"/>
                <w:kern w:val="2"/>
                <w:szCs w:val="28"/>
              </w:rPr>
            </w:pPr>
          </w:p>
        </w:tc>
        <w:tc>
          <w:tcPr>
            <w:tcW w:w="1396" w:type="dxa"/>
            <w:vAlign w:val="center"/>
          </w:tcPr>
          <w:p>
            <w:pPr>
              <w:snapToGrid w:val="0"/>
              <w:jc w:val="center"/>
              <w:rPr>
                <w:rFonts w:ascii="宋体" w:hAnsi="宋体" w:cs="宋体"/>
                <w:snapToGrid w:val="0"/>
                <w:kern w:val="2"/>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66" w:type="dxa"/>
            <w:vAlign w:val="center"/>
          </w:tcPr>
          <w:p>
            <w:pPr>
              <w:snapToGrid w:val="0"/>
              <w:jc w:val="center"/>
              <w:rPr>
                <w:rFonts w:ascii="宋体" w:hAnsi="宋体" w:cs="宋体"/>
                <w:snapToGrid w:val="0"/>
                <w:kern w:val="2"/>
                <w:szCs w:val="28"/>
              </w:rPr>
            </w:pPr>
          </w:p>
        </w:tc>
        <w:tc>
          <w:tcPr>
            <w:tcW w:w="2298" w:type="dxa"/>
            <w:vAlign w:val="center"/>
          </w:tcPr>
          <w:p>
            <w:pPr>
              <w:snapToGrid w:val="0"/>
              <w:jc w:val="center"/>
              <w:rPr>
                <w:rFonts w:ascii="宋体" w:hAnsi="宋体" w:cs="宋体"/>
                <w:snapToGrid w:val="0"/>
                <w:kern w:val="2"/>
                <w:szCs w:val="28"/>
              </w:rPr>
            </w:pPr>
          </w:p>
        </w:tc>
        <w:tc>
          <w:tcPr>
            <w:tcW w:w="1721" w:type="dxa"/>
            <w:vAlign w:val="center"/>
          </w:tcPr>
          <w:p>
            <w:pPr>
              <w:snapToGrid w:val="0"/>
              <w:jc w:val="center"/>
              <w:rPr>
                <w:rFonts w:ascii="宋体" w:hAnsi="宋体" w:cs="宋体"/>
                <w:snapToGrid w:val="0"/>
                <w:kern w:val="2"/>
                <w:szCs w:val="28"/>
              </w:rPr>
            </w:pPr>
          </w:p>
        </w:tc>
        <w:tc>
          <w:tcPr>
            <w:tcW w:w="1396" w:type="dxa"/>
            <w:vAlign w:val="center"/>
          </w:tcPr>
          <w:p>
            <w:pPr>
              <w:snapToGrid w:val="0"/>
              <w:jc w:val="center"/>
              <w:rPr>
                <w:rFonts w:ascii="宋体" w:hAnsi="宋体" w:cs="宋体"/>
                <w:snapToGrid w:val="0"/>
                <w:kern w:val="2"/>
                <w:szCs w:val="28"/>
              </w:rPr>
            </w:pPr>
          </w:p>
        </w:tc>
        <w:tc>
          <w:tcPr>
            <w:tcW w:w="1398" w:type="dxa"/>
            <w:vAlign w:val="center"/>
          </w:tcPr>
          <w:p>
            <w:pPr>
              <w:snapToGrid w:val="0"/>
              <w:jc w:val="center"/>
              <w:rPr>
                <w:rFonts w:ascii="宋体" w:hAnsi="宋体" w:cs="宋体"/>
                <w:snapToGrid w:val="0"/>
                <w:kern w:val="2"/>
                <w:szCs w:val="28"/>
              </w:rPr>
            </w:pPr>
          </w:p>
        </w:tc>
        <w:tc>
          <w:tcPr>
            <w:tcW w:w="1396" w:type="dxa"/>
            <w:vAlign w:val="center"/>
          </w:tcPr>
          <w:p>
            <w:pPr>
              <w:snapToGrid w:val="0"/>
              <w:jc w:val="center"/>
              <w:rPr>
                <w:rFonts w:ascii="宋体" w:hAnsi="宋体" w:cs="宋体"/>
                <w:snapToGrid w:val="0"/>
                <w:kern w:val="2"/>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66" w:type="dxa"/>
            <w:vAlign w:val="center"/>
          </w:tcPr>
          <w:p>
            <w:pPr>
              <w:snapToGrid w:val="0"/>
              <w:jc w:val="center"/>
              <w:rPr>
                <w:rFonts w:ascii="宋体" w:hAnsi="宋体" w:cs="宋体"/>
                <w:snapToGrid w:val="0"/>
                <w:kern w:val="2"/>
                <w:szCs w:val="28"/>
              </w:rPr>
            </w:pPr>
          </w:p>
        </w:tc>
        <w:tc>
          <w:tcPr>
            <w:tcW w:w="2298" w:type="dxa"/>
            <w:vAlign w:val="center"/>
          </w:tcPr>
          <w:p>
            <w:pPr>
              <w:snapToGrid w:val="0"/>
              <w:jc w:val="center"/>
              <w:rPr>
                <w:rFonts w:ascii="宋体" w:hAnsi="宋体" w:cs="宋体"/>
                <w:snapToGrid w:val="0"/>
                <w:kern w:val="2"/>
                <w:szCs w:val="28"/>
              </w:rPr>
            </w:pPr>
          </w:p>
        </w:tc>
        <w:tc>
          <w:tcPr>
            <w:tcW w:w="1721" w:type="dxa"/>
            <w:vAlign w:val="center"/>
          </w:tcPr>
          <w:p>
            <w:pPr>
              <w:snapToGrid w:val="0"/>
              <w:jc w:val="center"/>
              <w:rPr>
                <w:rFonts w:ascii="宋体" w:hAnsi="宋体" w:cs="宋体"/>
                <w:snapToGrid w:val="0"/>
                <w:kern w:val="2"/>
                <w:szCs w:val="28"/>
              </w:rPr>
            </w:pPr>
          </w:p>
        </w:tc>
        <w:tc>
          <w:tcPr>
            <w:tcW w:w="1396" w:type="dxa"/>
            <w:vAlign w:val="center"/>
          </w:tcPr>
          <w:p>
            <w:pPr>
              <w:snapToGrid w:val="0"/>
              <w:jc w:val="center"/>
              <w:rPr>
                <w:rFonts w:ascii="宋体" w:hAnsi="宋体" w:cs="宋体"/>
                <w:snapToGrid w:val="0"/>
                <w:kern w:val="2"/>
                <w:szCs w:val="28"/>
              </w:rPr>
            </w:pPr>
          </w:p>
        </w:tc>
        <w:tc>
          <w:tcPr>
            <w:tcW w:w="1398" w:type="dxa"/>
            <w:vAlign w:val="center"/>
          </w:tcPr>
          <w:p>
            <w:pPr>
              <w:snapToGrid w:val="0"/>
              <w:jc w:val="center"/>
              <w:rPr>
                <w:rFonts w:ascii="宋体" w:hAnsi="宋体" w:cs="宋体"/>
                <w:snapToGrid w:val="0"/>
                <w:kern w:val="2"/>
                <w:szCs w:val="28"/>
              </w:rPr>
            </w:pPr>
          </w:p>
        </w:tc>
        <w:tc>
          <w:tcPr>
            <w:tcW w:w="1396" w:type="dxa"/>
            <w:vAlign w:val="center"/>
          </w:tcPr>
          <w:p>
            <w:pPr>
              <w:snapToGrid w:val="0"/>
              <w:jc w:val="center"/>
              <w:rPr>
                <w:rFonts w:ascii="宋体" w:hAnsi="宋体" w:cs="宋体"/>
                <w:snapToGrid w:val="0"/>
                <w:kern w:val="2"/>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66" w:type="dxa"/>
            <w:vAlign w:val="center"/>
          </w:tcPr>
          <w:p>
            <w:pPr>
              <w:snapToGrid w:val="0"/>
              <w:jc w:val="center"/>
              <w:rPr>
                <w:rFonts w:ascii="宋体" w:hAnsi="宋体" w:cs="宋体"/>
                <w:snapToGrid w:val="0"/>
                <w:kern w:val="2"/>
                <w:szCs w:val="28"/>
              </w:rPr>
            </w:pPr>
          </w:p>
        </w:tc>
        <w:tc>
          <w:tcPr>
            <w:tcW w:w="2298" w:type="dxa"/>
            <w:vAlign w:val="center"/>
          </w:tcPr>
          <w:p>
            <w:pPr>
              <w:snapToGrid w:val="0"/>
              <w:jc w:val="center"/>
              <w:rPr>
                <w:rFonts w:ascii="宋体" w:hAnsi="宋体" w:cs="宋体"/>
                <w:snapToGrid w:val="0"/>
                <w:kern w:val="2"/>
                <w:szCs w:val="28"/>
              </w:rPr>
            </w:pPr>
          </w:p>
        </w:tc>
        <w:tc>
          <w:tcPr>
            <w:tcW w:w="1721" w:type="dxa"/>
            <w:vAlign w:val="center"/>
          </w:tcPr>
          <w:p>
            <w:pPr>
              <w:snapToGrid w:val="0"/>
              <w:jc w:val="center"/>
              <w:rPr>
                <w:rFonts w:ascii="宋体" w:hAnsi="宋体" w:cs="宋体"/>
                <w:snapToGrid w:val="0"/>
                <w:kern w:val="2"/>
                <w:szCs w:val="28"/>
              </w:rPr>
            </w:pPr>
          </w:p>
        </w:tc>
        <w:tc>
          <w:tcPr>
            <w:tcW w:w="1396" w:type="dxa"/>
            <w:vAlign w:val="center"/>
          </w:tcPr>
          <w:p>
            <w:pPr>
              <w:snapToGrid w:val="0"/>
              <w:jc w:val="center"/>
              <w:rPr>
                <w:rFonts w:ascii="宋体" w:hAnsi="宋体" w:cs="宋体"/>
                <w:snapToGrid w:val="0"/>
                <w:kern w:val="2"/>
                <w:szCs w:val="28"/>
              </w:rPr>
            </w:pPr>
          </w:p>
        </w:tc>
        <w:tc>
          <w:tcPr>
            <w:tcW w:w="1398" w:type="dxa"/>
            <w:vAlign w:val="center"/>
          </w:tcPr>
          <w:p>
            <w:pPr>
              <w:snapToGrid w:val="0"/>
              <w:jc w:val="center"/>
              <w:rPr>
                <w:rFonts w:ascii="宋体" w:hAnsi="宋体" w:cs="宋体"/>
                <w:snapToGrid w:val="0"/>
                <w:kern w:val="2"/>
                <w:szCs w:val="28"/>
              </w:rPr>
            </w:pPr>
          </w:p>
        </w:tc>
        <w:tc>
          <w:tcPr>
            <w:tcW w:w="1396" w:type="dxa"/>
            <w:vAlign w:val="center"/>
          </w:tcPr>
          <w:p>
            <w:pPr>
              <w:snapToGrid w:val="0"/>
              <w:jc w:val="center"/>
              <w:rPr>
                <w:rFonts w:ascii="宋体" w:hAnsi="宋体" w:cs="宋体"/>
                <w:snapToGrid w:val="0"/>
                <w:kern w:val="2"/>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66" w:type="dxa"/>
            <w:vAlign w:val="center"/>
          </w:tcPr>
          <w:p>
            <w:pPr>
              <w:snapToGrid w:val="0"/>
              <w:jc w:val="center"/>
              <w:rPr>
                <w:rFonts w:ascii="宋体" w:hAnsi="宋体" w:cs="宋体"/>
                <w:snapToGrid w:val="0"/>
                <w:kern w:val="2"/>
                <w:szCs w:val="28"/>
              </w:rPr>
            </w:pPr>
          </w:p>
        </w:tc>
        <w:tc>
          <w:tcPr>
            <w:tcW w:w="2298" w:type="dxa"/>
            <w:vAlign w:val="center"/>
          </w:tcPr>
          <w:p>
            <w:pPr>
              <w:snapToGrid w:val="0"/>
              <w:jc w:val="center"/>
              <w:rPr>
                <w:rFonts w:ascii="宋体" w:hAnsi="宋体" w:cs="宋体"/>
                <w:snapToGrid w:val="0"/>
                <w:kern w:val="2"/>
                <w:szCs w:val="28"/>
              </w:rPr>
            </w:pPr>
          </w:p>
        </w:tc>
        <w:tc>
          <w:tcPr>
            <w:tcW w:w="1721" w:type="dxa"/>
            <w:vAlign w:val="center"/>
          </w:tcPr>
          <w:p>
            <w:pPr>
              <w:snapToGrid w:val="0"/>
              <w:jc w:val="center"/>
              <w:rPr>
                <w:rFonts w:ascii="宋体" w:hAnsi="宋体" w:cs="宋体"/>
                <w:snapToGrid w:val="0"/>
                <w:kern w:val="2"/>
                <w:szCs w:val="28"/>
              </w:rPr>
            </w:pPr>
          </w:p>
        </w:tc>
        <w:tc>
          <w:tcPr>
            <w:tcW w:w="1396" w:type="dxa"/>
            <w:vAlign w:val="center"/>
          </w:tcPr>
          <w:p>
            <w:pPr>
              <w:snapToGrid w:val="0"/>
              <w:jc w:val="center"/>
              <w:rPr>
                <w:rFonts w:ascii="宋体" w:hAnsi="宋体" w:cs="宋体"/>
                <w:snapToGrid w:val="0"/>
                <w:kern w:val="2"/>
                <w:szCs w:val="28"/>
              </w:rPr>
            </w:pPr>
          </w:p>
        </w:tc>
        <w:tc>
          <w:tcPr>
            <w:tcW w:w="1398" w:type="dxa"/>
            <w:vAlign w:val="center"/>
          </w:tcPr>
          <w:p>
            <w:pPr>
              <w:snapToGrid w:val="0"/>
              <w:jc w:val="center"/>
              <w:rPr>
                <w:rFonts w:ascii="宋体" w:hAnsi="宋体" w:cs="宋体"/>
                <w:snapToGrid w:val="0"/>
                <w:kern w:val="2"/>
                <w:szCs w:val="28"/>
              </w:rPr>
            </w:pPr>
          </w:p>
        </w:tc>
        <w:tc>
          <w:tcPr>
            <w:tcW w:w="1396" w:type="dxa"/>
            <w:vAlign w:val="center"/>
          </w:tcPr>
          <w:p>
            <w:pPr>
              <w:snapToGrid w:val="0"/>
              <w:jc w:val="center"/>
              <w:rPr>
                <w:rFonts w:ascii="宋体" w:hAnsi="宋体" w:cs="宋体"/>
                <w:snapToGrid w:val="0"/>
                <w:kern w:val="2"/>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66" w:type="dxa"/>
            <w:vAlign w:val="center"/>
          </w:tcPr>
          <w:p>
            <w:pPr>
              <w:snapToGrid w:val="0"/>
              <w:jc w:val="center"/>
              <w:rPr>
                <w:rFonts w:ascii="宋体" w:hAnsi="宋体" w:cs="宋体"/>
                <w:snapToGrid w:val="0"/>
                <w:kern w:val="2"/>
                <w:szCs w:val="28"/>
              </w:rPr>
            </w:pPr>
          </w:p>
        </w:tc>
        <w:tc>
          <w:tcPr>
            <w:tcW w:w="2298" w:type="dxa"/>
            <w:vAlign w:val="center"/>
          </w:tcPr>
          <w:p>
            <w:pPr>
              <w:snapToGrid w:val="0"/>
              <w:jc w:val="center"/>
              <w:rPr>
                <w:rFonts w:ascii="宋体" w:hAnsi="宋体" w:cs="宋体"/>
                <w:snapToGrid w:val="0"/>
                <w:kern w:val="2"/>
                <w:szCs w:val="28"/>
              </w:rPr>
            </w:pPr>
          </w:p>
        </w:tc>
        <w:tc>
          <w:tcPr>
            <w:tcW w:w="1721" w:type="dxa"/>
            <w:vAlign w:val="center"/>
          </w:tcPr>
          <w:p>
            <w:pPr>
              <w:snapToGrid w:val="0"/>
              <w:jc w:val="center"/>
              <w:rPr>
                <w:rFonts w:ascii="宋体" w:hAnsi="宋体" w:cs="宋体"/>
                <w:snapToGrid w:val="0"/>
                <w:kern w:val="2"/>
                <w:szCs w:val="28"/>
              </w:rPr>
            </w:pPr>
          </w:p>
        </w:tc>
        <w:tc>
          <w:tcPr>
            <w:tcW w:w="1396" w:type="dxa"/>
            <w:vAlign w:val="center"/>
          </w:tcPr>
          <w:p>
            <w:pPr>
              <w:snapToGrid w:val="0"/>
              <w:jc w:val="center"/>
              <w:rPr>
                <w:rFonts w:ascii="宋体" w:hAnsi="宋体" w:cs="宋体"/>
                <w:snapToGrid w:val="0"/>
                <w:kern w:val="2"/>
                <w:szCs w:val="28"/>
              </w:rPr>
            </w:pPr>
          </w:p>
        </w:tc>
        <w:tc>
          <w:tcPr>
            <w:tcW w:w="1398" w:type="dxa"/>
            <w:vAlign w:val="center"/>
          </w:tcPr>
          <w:p>
            <w:pPr>
              <w:snapToGrid w:val="0"/>
              <w:jc w:val="center"/>
              <w:rPr>
                <w:rFonts w:ascii="宋体" w:hAnsi="宋体" w:cs="宋体"/>
                <w:snapToGrid w:val="0"/>
                <w:kern w:val="2"/>
                <w:szCs w:val="28"/>
              </w:rPr>
            </w:pPr>
          </w:p>
        </w:tc>
        <w:tc>
          <w:tcPr>
            <w:tcW w:w="1396" w:type="dxa"/>
            <w:vAlign w:val="center"/>
          </w:tcPr>
          <w:p>
            <w:pPr>
              <w:snapToGrid w:val="0"/>
              <w:jc w:val="center"/>
              <w:rPr>
                <w:rFonts w:ascii="宋体" w:hAnsi="宋体" w:cs="宋体"/>
                <w:snapToGrid w:val="0"/>
                <w:kern w:val="2"/>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66" w:type="dxa"/>
            <w:vAlign w:val="center"/>
          </w:tcPr>
          <w:p>
            <w:pPr>
              <w:snapToGrid w:val="0"/>
              <w:jc w:val="center"/>
              <w:rPr>
                <w:rFonts w:ascii="宋体" w:hAnsi="宋体" w:cs="宋体"/>
                <w:snapToGrid w:val="0"/>
                <w:kern w:val="2"/>
                <w:szCs w:val="28"/>
              </w:rPr>
            </w:pPr>
          </w:p>
        </w:tc>
        <w:tc>
          <w:tcPr>
            <w:tcW w:w="2298" w:type="dxa"/>
            <w:vAlign w:val="center"/>
          </w:tcPr>
          <w:p>
            <w:pPr>
              <w:snapToGrid w:val="0"/>
              <w:jc w:val="center"/>
              <w:rPr>
                <w:rFonts w:ascii="宋体" w:hAnsi="宋体" w:cs="宋体"/>
                <w:snapToGrid w:val="0"/>
                <w:kern w:val="2"/>
                <w:szCs w:val="28"/>
              </w:rPr>
            </w:pPr>
          </w:p>
        </w:tc>
        <w:tc>
          <w:tcPr>
            <w:tcW w:w="1721" w:type="dxa"/>
            <w:vAlign w:val="center"/>
          </w:tcPr>
          <w:p>
            <w:pPr>
              <w:snapToGrid w:val="0"/>
              <w:jc w:val="center"/>
              <w:rPr>
                <w:rFonts w:ascii="宋体" w:hAnsi="宋体" w:cs="宋体"/>
                <w:snapToGrid w:val="0"/>
                <w:kern w:val="2"/>
                <w:szCs w:val="28"/>
              </w:rPr>
            </w:pPr>
          </w:p>
        </w:tc>
        <w:tc>
          <w:tcPr>
            <w:tcW w:w="1396" w:type="dxa"/>
            <w:vAlign w:val="center"/>
          </w:tcPr>
          <w:p>
            <w:pPr>
              <w:snapToGrid w:val="0"/>
              <w:jc w:val="center"/>
              <w:rPr>
                <w:rFonts w:ascii="宋体" w:hAnsi="宋体" w:cs="宋体"/>
                <w:snapToGrid w:val="0"/>
                <w:kern w:val="2"/>
                <w:szCs w:val="28"/>
              </w:rPr>
            </w:pPr>
          </w:p>
        </w:tc>
        <w:tc>
          <w:tcPr>
            <w:tcW w:w="1398" w:type="dxa"/>
            <w:vAlign w:val="center"/>
          </w:tcPr>
          <w:p>
            <w:pPr>
              <w:snapToGrid w:val="0"/>
              <w:jc w:val="center"/>
              <w:rPr>
                <w:rFonts w:ascii="宋体" w:hAnsi="宋体" w:cs="宋体"/>
                <w:snapToGrid w:val="0"/>
                <w:kern w:val="2"/>
                <w:szCs w:val="28"/>
              </w:rPr>
            </w:pPr>
          </w:p>
        </w:tc>
        <w:tc>
          <w:tcPr>
            <w:tcW w:w="1396" w:type="dxa"/>
            <w:vAlign w:val="center"/>
          </w:tcPr>
          <w:p>
            <w:pPr>
              <w:snapToGrid w:val="0"/>
              <w:jc w:val="center"/>
              <w:rPr>
                <w:rFonts w:ascii="宋体" w:hAnsi="宋体" w:cs="宋体"/>
                <w:snapToGrid w:val="0"/>
                <w:kern w:val="2"/>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66" w:type="dxa"/>
            <w:vAlign w:val="center"/>
          </w:tcPr>
          <w:p>
            <w:pPr>
              <w:snapToGrid w:val="0"/>
              <w:jc w:val="center"/>
              <w:rPr>
                <w:rFonts w:ascii="宋体" w:hAnsi="宋体" w:cs="宋体"/>
                <w:snapToGrid w:val="0"/>
                <w:kern w:val="2"/>
                <w:szCs w:val="28"/>
              </w:rPr>
            </w:pPr>
          </w:p>
        </w:tc>
        <w:tc>
          <w:tcPr>
            <w:tcW w:w="2298" w:type="dxa"/>
            <w:vAlign w:val="center"/>
          </w:tcPr>
          <w:p>
            <w:pPr>
              <w:snapToGrid w:val="0"/>
              <w:jc w:val="center"/>
              <w:rPr>
                <w:rFonts w:ascii="宋体" w:hAnsi="宋体" w:cs="宋体"/>
                <w:snapToGrid w:val="0"/>
                <w:kern w:val="2"/>
                <w:szCs w:val="28"/>
              </w:rPr>
            </w:pPr>
          </w:p>
        </w:tc>
        <w:tc>
          <w:tcPr>
            <w:tcW w:w="1721" w:type="dxa"/>
            <w:vAlign w:val="center"/>
          </w:tcPr>
          <w:p>
            <w:pPr>
              <w:snapToGrid w:val="0"/>
              <w:jc w:val="center"/>
              <w:rPr>
                <w:rFonts w:ascii="宋体" w:hAnsi="宋体" w:cs="宋体"/>
                <w:snapToGrid w:val="0"/>
                <w:kern w:val="2"/>
                <w:szCs w:val="28"/>
              </w:rPr>
            </w:pPr>
          </w:p>
        </w:tc>
        <w:tc>
          <w:tcPr>
            <w:tcW w:w="1396" w:type="dxa"/>
            <w:vAlign w:val="center"/>
          </w:tcPr>
          <w:p>
            <w:pPr>
              <w:snapToGrid w:val="0"/>
              <w:jc w:val="center"/>
              <w:rPr>
                <w:rFonts w:ascii="宋体" w:hAnsi="宋体" w:cs="宋体"/>
                <w:snapToGrid w:val="0"/>
                <w:kern w:val="2"/>
                <w:szCs w:val="28"/>
              </w:rPr>
            </w:pPr>
          </w:p>
        </w:tc>
        <w:tc>
          <w:tcPr>
            <w:tcW w:w="1398" w:type="dxa"/>
            <w:vAlign w:val="center"/>
          </w:tcPr>
          <w:p>
            <w:pPr>
              <w:snapToGrid w:val="0"/>
              <w:jc w:val="center"/>
              <w:rPr>
                <w:rFonts w:ascii="宋体" w:hAnsi="宋体" w:cs="宋体"/>
                <w:snapToGrid w:val="0"/>
                <w:kern w:val="2"/>
                <w:szCs w:val="28"/>
              </w:rPr>
            </w:pPr>
          </w:p>
        </w:tc>
        <w:tc>
          <w:tcPr>
            <w:tcW w:w="1396" w:type="dxa"/>
            <w:vAlign w:val="center"/>
          </w:tcPr>
          <w:p>
            <w:pPr>
              <w:snapToGrid w:val="0"/>
              <w:jc w:val="center"/>
              <w:rPr>
                <w:rFonts w:ascii="宋体" w:hAnsi="宋体" w:cs="宋体"/>
                <w:snapToGrid w:val="0"/>
                <w:kern w:val="2"/>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66" w:type="dxa"/>
            <w:vAlign w:val="center"/>
          </w:tcPr>
          <w:p>
            <w:pPr>
              <w:snapToGrid w:val="0"/>
              <w:spacing w:line="360" w:lineRule="auto"/>
              <w:ind w:firstLine="480" w:firstLineChars="200"/>
              <w:jc w:val="center"/>
              <w:rPr>
                <w:rFonts w:ascii="宋体" w:hAnsi="宋体" w:cs="宋体"/>
                <w:snapToGrid w:val="0"/>
                <w:kern w:val="2"/>
                <w:szCs w:val="28"/>
              </w:rPr>
            </w:pPr>
          </w:p>
        </w:tc>
        <w:tc>
          <w:tcPr>
            <w:tcW w:w="2298" w:type="dxa"/>
            <w:vAlign w:val="center"/>
          </w:tcPr>
          <w:p>
            <w:pPr>
              <w:snapToGrid w:val="0"/>
              <w:spacing w:line="360" w:lineRule="auto"/>
              <w:ind w:firstLine="480" w:firstLineChars="200"/>
              <w:jc w:val="center"/>
              <w:rPr>
                <w:rFonts w:ascii="宋体" w:hAnsi="宋体" w:cs="宋体"/>
                <w:snapToGrid w:val="0"/>
                <w:kern w:val="2"/>
                <w:szCs w:val="28"/>
              </w:rPr>
            </w:pPr>
          </w:p>
        </w:tc>
        <w:tc>
          <w:tcPr>
            <w:tcW w:w="1721" w:type="dxa"/>
            <w:vAlign w:val="center"/>
          </w:tcPr>
          <w:p>
            <w:pPr>
              <w:snapToGrid w:val="0"/>
              <w:spacing w:line="360" w:lineRule="auto"/>
              <w:ind w:firstLine="480" w:firstLineChars="200"/>
              <w:jc w:val="center"/>
              <w:rPr>
                <w:rFonts w:ascii="宋体" w:hAnsi="宋体" w:cs="宋体"/>
                <w:snapToGrid w:val="0"/>
                <w:kern w:val="2"/>
                <w:szCs w:val="28"/>
              </w:rPr>
            </w:pPr>
          </w:p>
        </w:tc>
        <w:tc>
          <w:tcPr>
            <w:tcW w:w="1396" w:type="dxa"/>
            <w:vAlign w:val="center"/>
          </w:tcPr>
          <w:p>
            <w:pPr>
              <w:snapToGrid w:val="0"/>
              <w:spacing w:line="360" w:lineRule="auto"/>
              <w:ind w:firstLine="480" w:firstLineChars="200"/>
              <w:jc w:val="center"/>
              <w:rPr>
                <w:rFonts w:ascii="宋体" w:hAnsi="宋体" w:cs="宋体"/>
                <w:snapToGrid w:val="0"/>
                <w:kern w:val="2"/>
                <w:szCs w:val="28"/>
              </w:rPr>
            </w:pPr>
          </w:p>
        </w:tc>
        <w:tc>
          <w:tcPr>
            <w:tcW w:w="1398" w:type="dxa"/>
            <w:vAlign w:val="center"/>
          </w:tcPr>
          <w:p>
            <w:pPr>
              <w:snapToGrid w:val="0"/>
              <w:spacing w:line="360" w:lineRule="auto"/>
              <w:ind w:firstLine="480" w:firstLineChars="200"/>
              <w:jc w:val="center"/>
              <w:rPr>
                <w:rFonts w:ascii="宋体" w:hAnsi="宋体" w:cs="宋体"/>
                <w:snapToGrid w:val="0"/>
                <w:kern w:val="2"/>
                <w:szCs w:val="28"/>
              </w:rPr>
            </w:pPr>
          </w:p>
        </w:tc>
        <w:tc>
          <w:tcPr>
            <w:tcW w:w="1396" w:type="dxa"/>
            <w:vAlign w:val="center"/>
          </w:tcPr>
          <w:p>
            <w:pPr>
              <w:snapToGrid w:val="0"/>
              <w:spacing w:line="360" w:lineRule="auto"/>
              <w:ind w:firstLine="480" w:firstLineChars="200"/>
              <w:jc w:val="center"/>
              <w:rPr>
                <w:rFonts w:ascii="宋体" w:hAnsi="宋体" w:cs="宋体"/>
                <w:snapToGrid w:val="0"/>
                <w:kern w:val="2"/>
                <w:szCs w:val="28"/>
              </w:rPr>
            </w:pPr>
          </w:p>
        </w:tc>
      </w:tr>
    </w:tbl>
    <w:p>
      <w:pPr>
        <w:pStyle w:val="7"/>
      </w:pPr>
      <w:r>
        <w:rPr>
          <w:rFonts w:hint="eastAsia"/>
          <w:sz w:val="21"/>
          <w:szCs w:val="21"/>
        </w:rPr>
        <w:t>注：相关材料需扫描件上传；</w:t>
      </w:r>
      <w:r>
        <w:rPr>
          <w:sz w:val="21"/>
          <w:szCs w:val="21"/>
        </w:rPr>
        <w:t xml:space="preserve"> </w:t>
      </w:r>
      <w:r>
        <w:rPr>
          <w:sz w:val="21"/>
          <w:szCs w:val="21"/>
        </w:rPr>
        <w:br w:type="page"/>
      </w:r>
      <w:r>
        <w:rPr>
          <w:rFonts w:hint="eastAsia" w:ascii="黑体" w:hAnsi="黑体" w:eastAsia="黑体"/>
          <w:szCs w:val="24"/>
        </w:rPr>
        <w:t>（五）2017年1月1日</w:t>
      </w:r>
      <w:r>
        <w:rPr>
          <w:rFonts w:ascii="黑体" w:hAnsi="黑体" w:eastAsia="黑体"/>
          <w:szCs w:val="24"/>
        </w:rPr>
        <w:t>以来</w:t>
      </w:r>
      <w:r>
        <w:rPr>
          <w:rFonts w:hint="eastAsia" w:ascii="黑体" w:hAnsi="黑体" w:eastAsia="黑体"/>
          <w:szCs w:val="24"/>
        </w:rPr>
        <w:t>竞包人</w:t>
      </w:r>
      <w:r>
        <w:rPr>
          <w:rFonts w:ascii="黑体" w:hAnsi="黑体" w:eastAsia="黑体"/>
          <w:szCs w:val="24"/>
        </w:rPr>
        <w:t>及拟派项目</w:t>
      </w:r>
      <w:r>
        <w:rPr>
          <w:rFonts w:hint="eastAsia" w:ascii="黑体" w:hAnsi="黑体" w:eastAsia="黑体"/>
          <w:szCs w:val="24"/>
        </w:rPr>
        <w:t>负责人</w:t>
      </w:r>
      <w:r>
        <w:rPr>
          <w:rFonts w:ascii="黑体" w:hAnsi="黑体" w:eastAsia="黑体"/>
          <w:szCs w:val="24"/>
        </w:rPr>
        <w:t>行贿犯罪记录申报表</w:t>
      </w:r>
    </w:p>
    <w:p>
      <w:pPr>
        <w:pStyle w:val="4"/>
        <w:ind w:firstLine="0"/>
        <w:rPr>
          <w:snapToGrid w:val="0"/>
        </w:rPr>
      </w:pPr>
    </w:p>
    <w:p>
      <w:pPr>
        <w:jc w:val="center"/>
        <w:rPr>
          <w:rFonts w:hAnsi="宋体"/>
          <w:b/>
          <w:snapToGrid w:val="0"/>
        </w:rPr>
      </w:pPr>
      <w:r>
        <w:rPr>
          <w:rFonts w:hint="eastAsia" w:hAnsi="宋体"/>
          <w:b/>
          <w:snapToGrid w:val="0"/>
        </w:rPr>
        <w:t>竞包人应如实填写下列内容</w:t>
      </w:r>
    </w:p>
    <w:p>
      <w:pPr>
        <w:jc w:val="center"/>
        <w:rPr>
          <w:snapToGrid w:val="0"/>
        </w:rPr>
      </w:pPr>
    </w:p>
    <w:tbl>
      <w:tblPr>
        <w:tblStyle w:val="24"/>
        <w:tblW w:w="9415"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4009"/>
        <w:gridCol w:w="540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009" w:type="dxa"/>
            <w:vAlign w:val="center"/>
          </w:tcPr>
          <w:p>
            <w:pPr>
              <w:snapToGrid w:val="0"/>
              <w:jc w:val="center"/>
              <w:rPr>
                <w:rFonts w:ascii="隶书" w:eastAsia="隶书"/>
                <w:snapToGrid w:val="0"/>
                <w:kern w:val="2"/>
              </w:rPr>
            </w:pPr>
            <w:r>
              <w:rPr>
                <w:rFonts w:hint="eastAsia" w:hAnsi="宋体"/>
                <w:snapToGrid w:val="0"/>
                <w:kern w:val="2"/>
              </w:rPr>
              <w:t>1.近3年以来竞包人行贿犯罪记录</w:t>
            </w:r>
          </w:p>
          <w:p>
            <w:pPr>
              <w:snapToGrid w:val="0"/>
              <w:jc w:val="center"/>
              <w:rPr>
                <w:rFonts w:hAnsi="宋体"/>
                <w:snapToGrid w:val="0"/>
                <w:kern w:val="2"/>
              </w:rPr>
            </w:pPr>
          </w:p>
          <w:p>
            <w:pPr>
              <w:snapToGrid w:val="0"/>
              <w:jc w:val="center"/>
              <w:rPr>
                <w:rFonts w:hAnsi="宋体"/>
                <w:snapToGrid w:val="0"/>
                <w:kern w:val="2"/>
              </w:rPr>
            </w:pPr>
          </w:p>
          <w:p>
            <w:pPr>
              <w:snapToGrid w:val="0"/>
              <w:jc w:val="center"/>
              <w:rPr>
                <w:rFonts w:hAnsi="宋体"/>
                <w:snapToGrid w:val="0"/>
                <w:kern w:val="2"/>
              </w:rPr>
            </w:pPr>
          </w:p>
          <w:p>
            <w:pPr>
              <w:snapToGrid w:val="0"/>
              <w:jc w:val="center"/>
              <w:rPr>
                <w:rFonts w:hAnsi="宋体"/>
                <w:snapToGrid w:val="0"/>
                <w:kern w:val="2"/>
              </w:rPr>
            </w:pPr>
          </w:p>
          <w:p>
            <w:pPr>
              <w:snapToGrid w:val="0"/>
              <w:jc w:val="center"/>
              <w:rPr>
                <w:rFonts w:hAnsi="宋体"/>
                <w:snapToGrid w:val="0"/>
                <w:kern w:val="2"/>
              </w:rPr>
            </w:pPr>
          </w:p>
          <w:p>
            <w:pPr>
              <w:snapToGrid w:val="0"/>
              <w:jc w:val="center"/>
              <w:rPr>
                <w:rFonts w:hAnsi="宋体"/>
                <w:snapToGrid w:val="0"/>
                <w:kern w:val="2"/>
              </w:rPr>
            </w:pPr>
          </w:p>
          <w:p>
            <w:pPr>
              <w:snapToGrid w:val="0"/>
              <w:jc w:val="center"/>
              <w:rPr>
                <w:rFonts w:hAnsi="宋体"/>
                <w:snapToGrid w:val="0"/>
                <w:kern w:val="2"/>
              </w:rPr>
            </w:pPr>
          </w:p>
          <w:p>
            <w:pPr>
              <w:snapToGrid w:val="0"/>
              <w:jc w:val="center"/>
              <w:rPr>
                <w:rFonts w:hAnsi="宋体"/>
                <w:snapToGrid w:val="0"/>
                <w:kern w:val="2"/>
              </w:rPr>
            </w:pPr>
          </w:p>
          <w:p>
            <w:pPr>
              <w:snapToGrid w:val="0"/>
              <w:jc w:val="center"/>
              <w:rPr>
                <w:rFonts w:hAnsi="宋体"/>
                <w:snapToGrid w:val="0"/>
                <w:kern w:val="2"/>
              </w:rPr>
            </w:pPr>
          </w:p>
          <w:p>
            <w:pPr>
              <w:snapToGrid w:val="0"/>
              <w:jc w:val="center"/>
              <w:rPr>
                <w:rFonts w:hAnsi="宋体"/>
                <w:snapToGrid w:val="0"/>
                <w:kern w:val="2"/>
              </w:rPr>
            </w:pPr>
          </w:p>
        </w:tc>
        <w:tc>
          <w:tcPr>
            <w:tcW w:w="5406" w:type="dxa"/>
            <w:vAlign w:val="center"/>
          </w:tcPr>
          <w:p>
            <w:pPr>
              <w:snapToGrid w:val="0"/>
              <w:jc w:val="center"/>
              <w:rPr>
                <w:rFonts w:hAnsi="宋体"/>
                <w:snapToGrid w:val="0"/>
                <w:kern w:val="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009" w:type="dxa"/>
            <w:vAlign w:val="center"/>
          </w:tcPr>
          <w:p>
            <w:pPr>
              <w:snapToGrid w:val="0"/>
              <w:jc w:val="center"/>
              <w:rPr>
                <w:rFonts w:hAnsi="宋体"/>
                <w:snapToGrid w:val="0"/>
                <w:kern w:val="2"/>
              </w:rPr>
            </w:pPr>
            <w:r>
              <w:rPr>
                <w:rFonts w:hint="eastAsia" w:hAnsi="宋体"/>
                <w:snapToGrid w:val="0"/>
                <w:kern w:val="2"/>
              </w:rPr>
              <w:t>2.近3年以来拟派标段目项目负责人行贿犯罪记录</w:t>
            </w:r>
          </w:p>
          <w:p>
            <w:pPr>
              <w:snapToGrid w:val="0"/>
              <w:jc w:val="center"/>
              <w:rPr>
                <w:rFonts w:hAnsi="宋体"/>
                <w:snapToGrid w:val="0"/>
                <w:kern w:val="2"/>
              </w:rPr>
            </w:pPr>
          </w:p>
          <w:p>
            <w:pPr>
              <w:snapToGrid w:val="0"/>
              <w:jc w:val="center"/>
              <w:rPr>
                <w:rFonts w:hAnsi="宋体"/>
                <w:snapToGrid w:val="0"/>
                <w:kern w:val="2"/>
              </w:rPr>
            </w:pPr>
          </w:p>
          <w:p>
            <w:pPr>
              <w:snapToGrid w:val="0"/>
              <w:jc w:val="center"/>
              <w:rPr>
                <w:rFonts w:hAnsi="宋体"/>
                <w:snapToGrid w:val="0"/>
                <w:kern w:val="2"/>
              </w:rPr>
            </w:pPr>
          </w:p>
          <w:p>
            <w:pPr>
              <w:snapToGrid w:val="0"/>
              <w:jc w:val="center"/>
              <w:rPr>
                <w:rFonts w:hAnsi="宋体"/>
                <w:snapToGrid w:val="0"/>
                <w:kern w:val="2"/>
              </w:rPr>
            </w:pPr>
          </w:p>
          <w:p>
            <w:pPr>
              <w:snapToGrid w:val="0"/>
              <w:jc w:val="center"/>
              <w:rPr>
                <w:rFonts w:hAnsi="宋体"/>
                <w:snapToGrid w:val="0"/>
                <w:kern w:val="2"/>
              </w:rPr>
            </w:pPr>
          </w:p>
          <w:p>
            <w:pPr>
              <w:snapToGrid w:val="0"/>
              <w:jc w:val="center"/>
              <w:rPr>
                <w:rFonts w:hAnsi="宋体"/>
                <w:snapToGrid w:val="0"/>
                <w:kern w:val="2"/>
              </w:rPr>
            </w:pPr>
          </w:p>
          <w:p>
            <w:pPr>
              <w:snapToGrid w:val="0"/>
              <w:jc w:val="center"/>
              <w:rPr>
                <w:rFonts w:hAnsi="宋体"/>
                <w:snapToGrid w:val="0"/>
                <w:kern w:val="2"/>
              </w:rPr>
            </w:pPr>
          </w:p>
          <w:p>
            <w:pPr>
              <w:snapToGrid w:val="0"/>
              <w:jc w:val="center"/>
              <w:rPr>
                <w:rFonts w:hAnsi="宋体"/>
                <w:snapToGrid w:val="0"/>
                <w:kern w:val="2"/>
              </w:rPr>
            </w:pPr>
          </w:p>
          <w:p>
            <w:pPr>
              <w:snapToGrid w:val="0"/>
              <w:jc w:val="center"/>
              <w:rPr>
                <w:rFonts w:hAnsi="宋体"/>
                <w:snapToGrid w:val="0"/>
                <w:kern w:val="2"/>
              </w:rPr>
            </w:pPr>
          </w:p>
          <w:p>
            <w:pPr>
              <w:snapToGrid w:val="0"/>
              <w:jc w:val="center"/>
              <w:rPr>
                <w:rFonts w:hAnsi="宋体"/>
                <w:snapToGrid w:val="0"/>
                <w:kern w:val="2"/>
              </w:rPr>
            </w:pPr>
          </w:p>
          <w:p>
            <w:pPr>
              <w:snapToGrid w:val="0"/>
              <w:jc w:val="center"/>
              <w:rPr>
                <w:rFonts w:hAnsi="宋体"/>
                <w:snapToGrid w:val="0"/>
                <w:kern w:val="2"/>
              </w:rPr>
            </w:pPr>
          </w:p>
          <w:p>
            <w:pPr>
              <w:snapToGrid w:val="0"/>
              <w:jc w:val="center"/>
              <w:rPr>
                <w:rFonts w:hAnsi="宋体"/>
                <w:snapToGrid w:val="0"/>
                <w:kern w:val="2"/>
              </w:rPr>
            </w:pPr>
          </w:p>
        </w:tc>
        <w:tc>
          <w:tcPr>
            <w:tcW w:w="5406" w:type="dxa"/>
            <w:vAlign w:val="center"/>
          </w:tcPr>
          <w:p>
            <w:pPr>
              <w:snapToGrid w:val="0"/>
              <w:jc w:val="center"/>
              <w:rPr>
                <w:rFonts w:hAnsi="宋体"/>
                <w:snapToGrid w:val="0"/>
                <w:kern w:val="2"/>
              </w:rPr>
            </w:pPr>
          </w:p>
        </w:tc>
      </w:tr>
    </w:tbl>
    <w:p>
      <w:pPr>
        <w:rPr>
          <w:rFonts w:hAnsi="宋体"/>
          <w:b/>
          <w:snapToGrid w:val="0"/>
          <w:sz w:val="21"/>
          <w:szCs w:val="21"/>
        </w:rPr>
      </w:pPr>
      <w:r>
        <w:rPr>
          <w:rFonts w:hint="eastAsia" w:hAnsi="宋体"/>
          <w:b/>
          <w:snapToGrid w:val="0"/>
          <w:sz w:val="21"/>
          <w:szCs w:val="21"/>
        </w:rPr>
        <w:t>注</w:t>
      </w:r>
      <w:r>
        <w:rPr>
          <w:rFonts w:hAnsi="宋体"/>
          <w:b/>
          <w:snapToGrid w:val="0"/>
          <w:sz w:val="21"/>
          <w:szCs w:val="21"/>
        </w:rPr>
        <w:t>：</w:t>
      </w:r>
      <w:r>
        <w:rPr>
          <w:rFonts w:hint="eastAsia" w:hAnsi="宋体"/>
          <w:b/>
          <w:snapToGrid w:val="0"/>
          <w:sz w:val="21"/>
          <w:szCs w:val="21"/>
        </w:rPr>
        <w:t>1）竞包人</w:t>
      </w:r>
      <w:r>
        <w:rPr>
          <w:rFonts w:hAnsi="宋体"/>
          <w:b/>
          <w:snapToGrid w:val="0"/>
          <w:sz w:val="21"/>
          <w:szCs w:val="21"/>
        </w:rPr>
        <w:t>应如实填写，若隐瞒不报，经查实一律取消</w:t>
      </w:r>
      <w:r>
        <w:rPr>
          <w:rFonts w:hint="eastAsia" w:hAnsi="宋体"/>
          <w:b/>
          <w:snapToGrid w:val="0"/>
          <w:sz w:val="21"/>
          <w:szCs w:val="21"/>
        </w:rPr>
        <w:t>承包</w:t>
      </w:r>
      <w:r>
        <w:rPr>
          <w:rFonts w:hAnsi="宋体"/>
          <w:b/>
          <w:snapToGrid w:val="0"/>
          <w:sz w:val="21"/>
          <w:szCs w:val="21"/>
        </w:rPr>
        <w:t>资格。</w:t>
      </w:r>
    </w:p>
    <w:p>
      <w:pPr>
        <w:ind w:firstLine="420" w:firstLineChars="200"/>
        <w:rPr>
          <w:rFonts w:hAnsi="宋体"/>
          <w:b/>
          <w:snapToGrid w:val="0"/>
          <w:sz w:val="21"/>
          <w:szCs w:val="21"/>
        </w:rPr>
        <w:sectPr>
          <w:pgSz w:w="11907" w:h="16840"/>
          <w:pgMar w:top="1474" w:right="1474" w:bottom="1474" w:left="1474" w:header="1304" w:footer="1134" w:gutter="0"/>
          <w:pgBorders>
            <w:top w:val="none" w:sz="0" w:space="0"/>
            <w:left w:val="none" w:sz="0" w:space="0"/>
            <w:bottom w:val="none" w:sz="0" w:space="0"/>
            <w:right w:val="none" w:sz="0" w:space="0"/>
          </w:pgBorders>
          <w:pgNumType w:fmt="decimal" w:chapStyle="1" w:chapSep="hyphen"/>
          <w:cols w:space="720" w:num="1"/>
          <w:titlePg/>
          <w:docGrid w:type="linesAndChars" w:linePitch="457" w:charSpace="0"/>
        </w:sectPr>
      </w:pPr>
      <w:r>
        <w:rPr>
          <w:rFonts w:hint="eastAsia" w:hAnsi="宋体"/>
          <w:b/>
          <w:snapToGrid w:val="0"/>
          <w:sz w:val="21"/>
          <w:szCs w:val="21"/>
        </w:rPr>
        <w:t>2）</w:t>
      </w:r>
      <w:r>
        <w:rPr>
          <w:rFonts w:hint="eastAsia" w:hAnsi="宋体" w:cs="宋体"/>
          <w:b/>
          <w:bCs/>
          <w:snapToGrid w:val="0"/>
          <w:sz w:val="21"/>
          <w:szCs w:val="21"/>
        </w:rPr>
        <w:t>附中国裁判文书网结果网页打印页</w:t>
      </w:r>
      <w:r>
        <w:rPr>
          <w:rFonts w:hint="eastAsia" w:hAnsi="宋体"/>
          <w:b/>
          <w:snapToGrid w:val="0"/>
          <w:sz w:val="21"/>
          <w:szCs w:val="21"/>
        </w:rPr>
        <w:t>。</w:t>
      </w:r>
    </w:p>
    <w:p>
      <w:pPr>
        <w:pStyle w:val="7"/>
        <w:ind w:left="540"/>
        <w:rPr>
          <w:rFonts w:ascii="黑体" w:hAnsi="黑体" w:eastAsia="黑体"/>
          <w:szCs w:val="24"/>
        </w:rPr>
      </w:pPr>
      <w:bookmarkStart w:id="793" w:name="_Toc259802287"/>
      <w:bookmarkStart w:id="794" w:name="_Toc240864065"/>
      <w:bookmarkStart w:id="795" w:name="_Toc232080214"/>
      <w:bookmarkStart w:id="796" w:name="_Toc250640968"/>
      <w:r>
        <w:rPr>
          <w:rFonts w:hint="eastAsia" w:ascii="黑体" w:hAnsi="黑体" w:eastAsia="黑体"/>
          <w:szCs w:val="24"/>
        </w:rPr>
        <w:t>（六）资格审查自审表</w:t>
      </w:r>
    </w:p>
    <w:p>
      <w:pPr>
        <w:pStyle w:val="4"/>
      </w:pPr>
    </w:p>
    <w:tbl>
      <w:tblPr>
        <w:tblStyle w:val="24"/>
        <w:tblW w:w="9963"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274"/>
        <w:gridCol w:w="4155"/>
        <w:gridCol w:w="973"/>
        <w:gridCol w:w="1079"/>
        <w:gridCol w:w="248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83" w:hRule="atLeast"/>
          <w:tblHeader/>
          <w:jc w:val="center"/>
        </w:trPr>
        <w:tc>
          <w:tcPr>
            <w:tcW w:w="1274" w:type="dxa"/>
            <w:vAlign w:val="center"/>
          </w:tcPr>
          <w:p>
            <w:pPr>
              <w:snapToGrid w:val="0"/>
              <w:ind w:left="-72" w:leftChars="-30" w:right="-72" w:rightChars="-30"/>
              <w:jc w:val="center"/>
              <w:rPr>
                <w:snapToGrid w:val="0"/>
                <w:kern w:val="2"/>
                <w:sz w:val="21"/>
                <w:szCs w:val="21"/>
              </w:rPr>
            </w:pPr>
            <w:r>
              <w:rPr>
                <w:snapToGrid w:val="0"/>
                <w:kern w:val="2"/>
                <w:sz w:val="21"/>
                <w:szCs w:val="21"/>
              </w:rPr>
              <w:t>序号</w:t>
            </w:r>
          </w:p>
        </w:tc>
        <w:tc>
          <w:tcPr>
            <w:tcW w:w="4155" w:type="dxa"/>
            <w:vAlign w:val="center"/>
          </w:tcPr>
          <w:p>
            <w:pPr>
              <w:snapToGrid w:val="0"/>
              <w:ind w:left="-72" w:leftChars="-30" w:right="-72" w:rightChars="-30"/>
              <w:jc w:val="center"/>
              <w:rPr>
                <w:snapToGrid w:val="0"/>
                <w:kern w:val="2"/>
                <w:sz w:val="21"/>
                <w:szCs w:val="21"/>
              </w:rPr>
            </w:pPr>
            <w:r>
              <w:rPr>
                <w:rFonts w:hint="eastAsia"/>
                <w:snapToGrid w:val="0"/>
                <w:kern w:val="2"/>
                <w:sz w:val="21"/>
                <w:szCs w:val="21"/>
              </w:rPr>
              <w:t>审查因素</w:t>
            </w:r>
          </w:p>
        </w:tc>
        <w:tc>
          <w:tcPr>
            <w:tcW w:w="973" w:type="dxa"/>
            <w:vAlign w:val="center"/>
          </w:tcPr>
          <w:p>
            <w:pPr>
              <w:snapToGrid w:val="0"/>
              <w:ind w:left="-72" w:leftChars="-30" w:right="-72" w:rightChars="-30"/>
              <w:jc w:val="center"/>
              <w:rPr>
                <w:snapToGrid w:val="0"/>
                <w:kern w:val="2"/>
                <w:sz w:val="21"/>
                <w:szCs w:val="21"/>
              </w:rPr>
            </w:pPr>
            <w:r>
              <w:rPr>
                <w:rFonts w:hint="eastAsia"/>
                <w:snapToGrid w:val="0"/>
                <w:kern w:val="2"/>
                <w:sz w:val="21"/>
                <w:szCs w:val="21"/>
              </w:rPr>
              <w:t>审查标准</w:t>
            </w:r>
          </w:p>
        </w:tc>
        <w:tc>
          <w:tcPr>
            <w:tcW w:w="1079" w:type="dxa"/>
            <w:vAlign w:val="center"/>
          </w:tcPr>
          <w:p>
            <w:pPr>
              <w:snapToGrid w:val="0"/>
              <w:ind w:left="-72" w:leftChars="-30" w:right="-72" w:rightChars="-30"/>
              <w:jc w:val="center"/>
              <w:rPr>
                <w:snapToGrid w:val="0"/>
                <w:kern w:val="2"/>
                <w:sz w:val="21"/>
                <w:szCs w:val="21"/>
              </w:rPr>
            </w:pPr>
            <w:r>
              <w:rPr>
                <w:rFonts w:hint="eastAsia"/>
                <w:snapToGrid w:val="0"/>
                <w:kern w:val="2"/>
                <w:sz w:val="21"/>
                <w:szCs w:val="21"/>
              </w:rPr>
              <w:t>审查结果</w:t>
            </w:r>
          </w:p>
        </w:tc>
        <w:tc>
          <w:tcPr>
            <w:tcW w:w="2482" w:type="dxa"/>
            <w:vAlign w:val="center"/>
          </w:tcPr>
          <w:p>
            <w:pPr>
              <w:snapToGrid w:val="0"/>
              <w:ind w:left="-72" w:leftChars="-30" w:right="-72" w:rightChars="-30"/>
              <w:jc w:val="center"/>
              <w:rPr>
                <w:snapToGrid w:val="0"/>
                <w:kern w:val="2"/>
                <w:sz w:val="21"/>
                <w:szCs w:val="21"/>
              </w:rPr>
            </w:pPr>
            <w:r>
              <w:rPr>
                <w:rFonts w:hint="eastAsia"/>
                <w:snapToGrid w:val="0"/>
                <w:kern w:val="2"/>
                <w:sz w:val="21"/>
                <w:szCs w:val="21"/>
              </w:rPr>
              <w:t>引用的证明材料对应页码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1274" w:type="dxa"/>
            <w:vAlign w:val="center"/>
          </w:tcPr>
          <w:p>
            <w:pPr>
              <w:snapToGrid w:val="0"/>
              <w:ind w:left="-72" w:leftChars="-30" w:right="-72" w:rightChars="-30"/>
              <w:jc w:val="center"/>
              <w:rPr>
                <w:rFonts w:ascii="宋体" w:hAnsi="宋体"/>
                <w:b/>
                <w:snapToGrid w:val="0"/>
                <w:kern w:val="2"/>
                <w:sz w:val="21"/>
                <w:szCs w:val="21"/>
              </w:rPr>
            </w:pPr>
            <w:r>
              <w:rPr>
                <w:rFonts w:hint="eastAsia" w:ascii="宋体" w:hAnsi="宋体"/>
                <w:b/>
                <w:snapToGrid w:val="0"/>
                <w:kern w:val="2"/>
                <w:sz w:val="21"/>
                <w:szCs w:val="21"/>
              </w:rPr>
              <w:t>1</w:t>
            </w:r>
          </w:p>
        </w:tc>
        <w:tc>
          <w:tcPr>
            <w:tcW w:w="4155" w:type="dxa"/>
            <w:vAlign w:val="center"/>
          </w:tcPr>
          <w:p>
            <w:pPr>
              <w:snapToGrid w:val="0"/>
              <w:ind w:left="-72" w:leftChars="-30" w:right="-72" w:rightChars="-30"/>
              <w:rPr>
                <w:rFonts w:ascii="宋体" w:hAnsi="宋体"/>
                <w:b/>
                <w:snapToGrid w:val="0"/>
                <w:spacing w:val="-4"/>
                <w:kern w:val="2"/>
                <w:sz w:val="21"/>
                <w:szCs w:val="21"/>
              </w:rPr>
            </w:pPr>
            <w:r>
              <w:rPr>
                <w:rFonts w:hint="eastAsia" w:ascii="宋体" w:hAnsi="宋体"/>
                <w:b/>
                <w:snapToGrid w:val="0"/>
                <w:spacing w:val="-4"/>
                <w:kern w:val="2"/>
                <w:sz w:val="21"/>
                <w:szCs w:val="21"/>
              </w:rPr>
              <w:t>企业部分</w:t>
            </w:r>
          </w:p>
        </w:tc>
        <w:tc>
          <w:tcPr>
            <w:tcW w:w="973" w:type="dxa"/>
            <w:vAlign w:val="center"/>
          </w:tcPr>
          <w:p>
            <w:pPr>
              <w:snapToGrid w:val="0"/>
              <w:ind w:left="-72" w:leftChars="-30" w:right="-72" w:rightChars="-30"/>
              <w:jc w:val="center"/>
              <w:rPr>
                <w:b/>
                <w:snapToGrid w:val="0"/>
                <w:kern w:val="2"/>
                <w:szCs w:val="24"/>
              </w:rPr>
            </w:pPr>
          </w:p>
        </w:tc>
        <w:tc>
          <w:tcPr>
            <w:tcW w:w="1079" w:type="dxa"/>
            <w:vAlign w:val="center"/>
          </w:tcPr>
          <w:p>
            <w:pPr>
              <w:snapToGrid w:val="0"/>
              <w:ind w:left="-72" w:leftChars="-30" w:right="-72" w:rightChars="-30"/>
              <w:jc w:val="center"/>
              <w:rPr>
                <w:b/>
                <w:snapToGrid w:val="0"/>
                <w:kern w:val="2"/>
                <w:szCs w:val="24"/>
              </w:rPr>
            </w:pPr>
          </w:p>
        </w:tc>
        <w:tc>
          <w:tcPr>
            <w:tcW w:w="2482" w:type="dxa"/>
            <w:vAlign w:val="center"/>
          </w:tcPr>
          <w:p>
            <w:pPr>
              <w:snapToGrid w:val="0"/>
              <w:ind w:left="-72" w:leftChars="-30" w:right="-72" w:rightChars="-30"/>
              <w:jc w:val="center"/>
              <w:rPr>
                <w:b/>
                <w:snapToGrid w:val="0"/>
                <w:kern w:val="2"/>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1274" w:type="dxa"/>
            <w:vAlign w:val="center"/>
          </w:tcPr>
          <w:p>
            <w:pPr>
              <w:snapToGrid w:val="0"/>
              <w:ind w:left="-72" w:leftChars="-30" w:right="-72" w:rightChars="-30"/>
              <w:jc w:val="center"/>
              <w:rPr>
                <w:rFonts w:ascii="宋体" w:hAnsi="宋体"/>
                <w:snapToGrid w:val="0"/>
                <w:kern w:val="2"/>
                <w:sz w:val="21"/>
                <w:szCs w:val="21"/>
              </w:rPr>
            </w:pPr>
            <w:r>
              <w:rPr>
                <w:rFonts w:hint="eastAsia" w:ascii="宋体" w:hAnsi="宋体"/>
                <w:snapToGrid w:val="0"/>
                <w:kern w:val="2"/>
                <w:sz w:val="21"/>
                <w:szCs w:val="21"/>
              </w:rPr>
              <w:t>1.1</w:t>
            </w:r>
          </w:p>
        </w:tc>
        <w:tc>
          <w:tcPr>
            <w:tcW w:w="4155" w:type="dxa"/>
            <w:vAlign w:val="center"/>
          </w:tcPr>
          <w:p>
            <w:pPr>
              <w:snapToGrid w:val="0"/>
              <w:ind w:left="-72" w:leftChars="-30" w:right="-72" w:rightChars="-30"/>
              <w:rPr>
                <w:rFonts w:ascii="宋体" w:hAnsi="宋体"/>
                <w:snapToGrid w:val="0"/>
                <w:kern w:val="2"/>
                <w:sz w:val="21"/>
                <w:szCs w:val="21"/>
              </w:rPr>
            </w:pPr>
            <w:r>
              <w:rPr>
                <w:rFonts w:ascii="宋体" w:hAnsi="宋体"/>
                <w:snapToGrid w:val="0"/>
                <w:spacing w:val="-4"/>
                <w:kern w:val="2"/>
                <w:sz w:val="21"/>
                <w:szCs w:val="21"/>
              </w:rPr>
              <w:t>营业执照</w:t>
            </w:r>
          </w:p>
        </w:tc>
        <w:tc>
          <w:tcPr>
            <w:tcW w:w="973" w:type="dxa"/>
            <w:vAlign w:val="center"/>
          </w:tcPr>
          <w:p>
            <w:pPr>
              <w:snapToGrid w:val="0"/>
              <w:ind w:left="-72" w:leftChars="-30" w:right="-72" w:rightChars="-30"/>
              <w:jc w:val="center"/>
              <w:rPr>
                <w:snapToGrid w:val="0"/>
                <w:kern w:val="2"/>
                <w:szCs w:val="24"/>
              </w:rPr>
            </w:pPr>
          </w:p>
        </w:tc>
        <w:tc>
          <w:tcPr>
            <w:tcW w:w="1079" w:type="dxa"/>
            <w:vAlign w:val="center"/>
          </w:tcPr>
          <w:p>
            <w:pPr>
              <w:snapToGrid w:val="0"/>
              <w:ind w:left="-72" w:leftChars="-30" w:right="-72" w:rightChars="-30"/>
              <w:jc w:val="center"/>
              <w:rPr>
                <w:snapToGrid w:val="0"/>
                <w:kern w:val="2"/>
                <w:szCs w:val="24"/>
              </w:rPr>
            </w:pPr>
          </w:p>
        </w:tc>
        <w:tc>
          <w:tcPr>
            <w:tcW w:w="2482" w:type="dxa"/>
            <w:vAlign w:val="center"/>
          </w:tcPr>
          <w:p>
            <w:pPr>
              <w:snapToGrid w:val="0"/>
              <w:ind w:left="-72" w:leftChars="-30" w:right="-72" w:rightChars="-30"/>
              <w:jc w:val="center"/>
              <w:rPr>
                <w:snapToGrid w:val="0"/>
                <w:kern w:val="2"/>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1274" w:type="dxa"/>
            <w:vAlign w:val="center"/>
          </w:tcPr>
          <w:p>
            <w:pPr>
              <w:snapToGrid w:val="0"/>
              <w:ind w:left="-72" w:leftChars="-30" w:right="-72" w:rightChars="-30"/>
              <w:jc w:val="center"/>
              <w:rPr>
                <w:rFonts w:ascii="宋体" w:hAnsi="宋体"/>
                <w:snapToGrid w:val="0"/>
                <w:kern w:val="2"/>
                <w:sz w:val="21"/>
                <w:szCs w:val="21"/>
              </w:rPr>
            </w:pPr>
            <w:r>
              <w:rPr>
                <w:rFonts w:hint="eastAsia" w:ascii="宋体" w:hAnsi="宋体"/>
                <w:snapToGrid w:val="0"/>
                <w:kern w:val="2"/>
                <w:sz w:val="21"/>
                <w:szCs w:val="21"/>
              </w:rPr>
              <w:t>1.2</w:t>
            </w:r>
          </w:p>
        </w:tc>
        <w:tc>
          <w:tcPr>
            <w:tcW w:w="4155" w:type="dxa"/>
            <w:vAlign w:val="center"/>
          </w:tcPr>
          <w:p>
            <w:pPr>
              <w:snapToGrid w:val="0"/>
              <w:ind w:left="-72" w:leftChars="-30" w:right="-72" w:rightChars="-30"/>
              <w:rPr>
                <w:rFonts w:ascii="宋体" w:hAnsi="宋体"/>
                <w:snapToGrid w:val="0"/>
                <w:kern w:val="2"/>
                <w:sz w:val="21"/>
                <w:szCs w:val="21"/>
              </w:rPr>
            </w:pPr>
            <w:r>
              <w:rPr>
                <w:rFonts w:ascii="宋体" w:hAnsi="宋体"/>
                <w:snapToGrid w:val="0"/>
                <w:spacing w:val="-4"/>
                <w:kern w:val="2"/>
                <w:sz w:val="21"/>
                <w:szCs w:val="21"/>
              </w:rPr>
              <w:t>安全生产许可证</w:t>
            </w:r>
          </w:p>
        </w:tc>
        <w:tc>
          <w:tcPr>
            <w:tcW w:w="973" w:type="dxa"/>
            <w:vAlign w:val="center"/>
          </w:tcPr>
          <w:p>
            <w:pPr>
              <w:snapToGrid w:val="0"/>
              <w:ind w:left="-72" w:leftChars="-30" w:right="-72" w:rightChars="-30"/>
              <w:jc w:val="center"/>
              <w:rPr>
                <w:snapToGrid w:val="0"/>
                <w:kern w:val="2"/>
                <w:szCs w:val="24"/>
              </w:rPr>
            </w:pPr>
          </w:p>
        </w:tc>
        <w:tc>
          <w:tcPr>
            <w:tcW w:w="1079" w:type="dxa"/>
            <w:vAlign w:val="center"/>
          </w:tcPr>
          <w:p>
            <w:pPr>
              <w:snapToGrid w:val="0"/>
              <w:ind w:left="-72" w:leftChars="-30" w:right="-72" w:rightChars="-30"/>
              <w:jc w:val="center"/>
              <w:rPr>
                <w:snapToGrid w:val="0"/>
                <w:kern w:val="2"/>
                <w:szCs w:val="24"/>
              </w:rPr>
            </w:pPr>
          </w:p>
        </w:tc>
        <w:tc>
          <w:tcPr>
            <w:tcW w:w="2482" w:type="dxa"/>
            <w:vAlign w:val="center"/>
          </w:tcPr>
          <w:p>
            <w:pPr>
              <w:snapToGrid w:val="0"/>
              <w:ind w:left="-72" w:leftChars="-30" w:right="-72" w:rightChars="-30"/>
              <w:jc w:val="center"/>
              <w:rPr>
                <w:snapToGrid w:val="0"/>
                <w:kern w:val="2"/>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1274" w:type="dxa"/>
            <w:vAlign w:val="center"/>
          </w:tcPr>
          <w:p>
            <w:pPr>
              <w:snapToGrid w:val="0"/>
              <w:ind w:left="-72" w:leftChars="-30" w:right="-72" w:rightChars="-30"/>
              <w:jc w:val="center"/>
              <w:rPr>
                <w:rFonts w:ascii="宋体" w:hAnsi="宋体"/>
                <w:snapToGrid w:val="0"/>
                <w:kern w:val="2"/>
                <w:sz w:val="21"/>
                <w:szCs w:val="21"/>
              </w:rPr>
            </w:pPr>
            <w:r>
              <w:rPr>
                <w:rFonts w:hint="eastAsia" w:ascii="宋体" w:hAnsi="宋体"/>
                <w:snapToGrid w:val="0"/>
                <w:kern w:val="2"/>
                <w:sz w:val="21"/>
                <w:szCs w:val="21"/>
              </w:rPr>
              <w:t>1.3</w:t>
            </w:r>
          </w:p>
        </w:tc>
        <w:tc>
          <w:tcPr>
            <w:tcW w:w="4155" w:type="dxa"/>
            <w:vAlign w:val="center"/>
          </w:tcPr>
          <w:p>
            <w:pPr>
              <w:snapToGrid w:val="0"/>
              <w:ind w:left="-72" w:leftChars="-30" w:right="-72" w:rightChars="-30"/>
              <w:rPr>
                <w:rFonts w:ascii="宋体" w:hAnsi="宋体"/>
                <w:snapToGrid w:val="0"/>
                <w:kern w:val="2"/>
                <w:sz w:val="21"/>
                <w:szCs w:val="21"/>
              </w:rPr>
            </w:pPr>
            <w:r>
              <w:rPr>
                <w:rFonts w:ascii="宋体" w:hAnsi="宋体"/>
                <w:snapToGrid w:val="0"/>
                <w:spacing w:val="-4"/>
                <w:kern w:val="2"/>
                <w:sz w:val="21"/>
                <w:szCs w:val="21"/>
              </w:rPr>
              <w:t>资质</w:t>
            </w:r>
            <w:r>
              <w:rPr>
                <w:rFonts w:hint="eastAsia" w:ascii="宋体" w:hAnsi="宋体"/>
                <w:snapToGrid w:val="0"/>
                <w:spacing w:val="-4"/>
                <w:kern w:val="2"/>
                <w:sz w:val="21"/>
                <w:szCs w:val="21"/>
              </w:rPr>
              <w:t>证书及</w:t>
            </w:r>
            <w:r>
              <w:rPr>
                <w:rFonts w:ascii="宋体" w:hAnsi="宋体"/>
                <w:snapToGrid w:val="0"/>
                <w:spacing w:val="-4"/>
                <w:kern w:val="2"/>
                <w:sz w:val="21"/>
                <w:szCs w:val="21"/>
              </w:rPr>
              <w:t>等级</w:t>
            </w:r>
          </w:p>
        </w:tc>
        <w:tc>
          <w:tcPr>
            <w:tcW w:w="973" w:type="dxa"/>
            <w:vAlign w:val="center"/>
          </w:tcPr>
          <w:p>
            <w:pPr>
              <w:snapToGrid w:val="0"/>
              <w:ind w:left="-72" w:leftChars="-30" w:right="-72" w:rightChars="-30"/>
              <w:jc w:val="center"/>
              <w:rPr>
                <w:snapToGrid w:val="0"/>
                <w:kern w:val="2"/>
                <w:szCs w:val="24"/>
              </w:rPr>
            </w:pPr>
          </w:p>
        </w:tc>
        <w:tc>
          <w:tcPr>
            <w:tcW w:w="1079" w:type="dxa"/>
            <w:vAlign w:val="center"/>
          </w:tcPr>
          <w:p>
            <w:pPr>
              <w:snapToGrid w:val="0"/>
              <w:ind w:left="-72" w:leftChars="-30" w:right="-72" w:rightChars="-30"/>
              <w:jc w:val="center"/>
              <w:rPr>
                <w:snapToGrid w:val="0"/>
                <w:kern w:val="2"/>
                <w:szCs w:val="24"/>
              </w:rPr>
            </w:pPr>
          </w:p>
        </w:tc>
        <w:tc>
          <w:tcPr>
            <w:tcW w:w="2482" w:type="dxa"/>
            <w:vAlign w:val="center"/>
          </w:tcPr>
          <w:p>
            <w:pPr>
              <w:snapToGrid w:val="0"/>
              <w:ind w:left="-72" w:leftChars="-30" w:right="-72" w:rightChars="-30"/>
              <w:jc w:val="center"/>
              <w:rPr>
                <w:snapToGrid w:val="0"/>
                <w:kern w:val="2"/>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1274" w:type="dxa"/>
            <w:vAlign w:val="center"/>
          </w:tcPr>
          <w:p>
            <w:pPr>
              <w:snapToGrid w:val="0"/>
              <w:ind w:left="-72" w:leftChars="-30" w:right="-72" w:rightChars="-30"/>
              <w:jc w:val="center"/>
              <w:rPr>
                <w:rFonts w:ascii="宋体" w:hAnsi="宋体"/>
                <w:snapToGrid w:val="0"/>
                <w:kern w:val="2"/>
                <w:sz w:val="21"/>
                <w:szCs w:val="21"/>
              </w:rPr>
            </w:pPr>
            <w:r>
              <w:rPr>
                <w:rFonts w:hint="eastAsia" w:ascii="宋体" w:hAnsi="宋体"/>
                <w:snapToGrid w:val="0"/>
                <w:kern w:val="2"/>
                <w:sz w:val="21"/>
                <w:szCs w:val="21"/>
              </w:rPr>
              <w:t>1.4</w:t>
            </w:r>
          </w:p>
        </w:tc>
        <w:tc>
          <w:tcPr>
            <w:tcW w:w="4155" w:type="dxa"/>
            <w:vAlign w:val="center"/>
          </w:tcPr>
          <w:p>
            <w:pPr>
              <w:snapToGrid w:val="0"/>
              <w:ind w:right="-72" w:rightChars="-30"/>
              <w:rPr>
                <w:rFonts w:ascii="宋体" w:hAnsi="宋体"/>
                <w:snapToGrid w:val="0"/>
                <w:spacing w:val="-4"/>
                <w:kern w:val="2"/>
                <w:sz w:val="21"/>
                <w:szCs w:val="21"/>
              </w:rPr>
            </w:pPr>
            <w:r>
              <w:rPr>
                <w:rFonts w:hint="eastAsia" w:ascii="宋体" w:hAnsi="宋体"/>
                <w:snapToGrid w:val="0"/>
                <w:kern w:val="2"/>
                <w:sz w:val="21"/>
                <w:szCs w:val="21"/>
              </w:rPr>
              <w:t>法人代表安全生产考核合格证书</w:t>
            </w:r>
          </w:p>
        </w:tc>
        <w:tc>
          <w:tcPr>
            <w:tcW w:w="973" w:type="dxa"/>
            <w:vAlign w:val="center"/>
          </w:tcPr>
          <w:p>
            <w:pPr>
              <w:snapToGrid w:val="0"/>
              <w:ind w:left="-72" w:leftChars="-30" w:right="-72" w:rightChars="-30"/>
              <w:jc w:val="center"/>
              <w:rPr>
                <w:snapToGrid w:val="0"/>
                <w:kern w:val="2"/>
                <w:szCs w:val="24"/>
              </w:rPr>
            </w:pPr>
          </w:p>
        </w:tc>
        <w:tc>
          <w:tcPr>
            <w:tcW w:w="1079" w:type="dxa"/>
            <w:vAlign w:val="center"/>
          </w:tcPr>
          <w:p>
            <w:pPr>
              <w:snapToGrid w:val="0"/>
              <w:ind w:left="-72" w:leftChars="-30" w:right="-72" w:rightChars="-30"/>
              <w:jc w:val="center"/>
              <w:rPr>
                <w:snapToGrid w:val="0"/>
                <w:kern w:val="2"/>
                <w:szCs w:val="24"/>
              </w:rPr>
            </w:pPr>
          </w:p>
        </w:tc>
        <w:tc>
          <w:tcPr>
            <w:tcW w:w="2482" w:type="dxa"/>
            <w:vAlign w:val="center"/>
          </w:tcPr>
          <w:p>
            <w:pPr>
              <w:snapToGrid w:val="0"/>
              <w:ind w:left="-72" w:leftChars="-30" w:right="-72" w:rightChars="-30"/>
              <w:jc w:val="center"/>
              <w:rPr>
                <w:snapToGrid w:val="0"/>
                <w:kern w:val="2"/>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1274" w:type="dxa"/>
            <w:vAlign w:val="center"/>
          </w:tcPr>
          <w:p>
            <w:pPr>
              <w:snapToGrid w:val="0"/>
              <w:ind w:left="-72" w:leftChars="-30" w:right="-72" w:rightChars="-30"/>
              <w:jc w:val="center"/>
              <w:rPr>
                <w:rFonts w:ascii="宋体" w:hAnsi="宋体"/>
                <w:snapToGrid w:val="0"/>
                <w:kern w:val="2"/>
                <w:sz w:val="21"/>
                <w:szCs w:val="21"/>
              </w:rPr>
            </w:pPr>
            <w:r>
              <w:rPr>
                <w:rFonts w:hint="eastAsia" w:ascii="宋体" w:hAnsi="宋体"/>
                <w:snapToGrid w:val="0"/>
                <w:kern w:val="2"/>
                <w:sz w:val="21"/>
                <w:szCs w:val="21"/>
              </w:rPr>
              <w:t>1.5</w:t>
            </w:r>
          </w:p>
        </w:tc>
        <w:tc>
          <w:tcPr>
            <w:tcW w:w="4155" w:type="dxa"/>
            <w:vAlign w:val="center"/>
          </w:tcPr>
          <w:p>
            <w:pPr>
              <w:snapToGrid w:val="0"/>
              <w:ind w:left="-72" w:leftChars="-30" w:right="-72" w:rightChars="-30"/>
              <w:rPr>
                <w:rFonts w:ascii="宋体" w:hAnsi="宋体"/>
                <w:snapToGrid w:val="0"/>
                <w:kern w:val="2"/>
                <w:sz w:val="21"/>
                <w:szCs w:val="21"/>
              </w:rPr>
            </w:pPr>
            <w:r>
              <w:rPr>
                <w:rFonts w:hint="eastAsia" w:ascii="宋体" w:cs="宋体"/>
                <w:kern w:val="2"/>
                <w:sz w:val="21"/>
                <w:szCs w:val="21"/>
              </w:rPr>
              <w:t>总经理安全生产考核合格证书</w:t>
            </w:r>
          </w:p>
        </w:tc>
        <w:tc>
          <w:tcPr>
            <w:tcW w:w="973" w:type="dxa"/>
            <w:vAlign w:val="center"/>
          </w:tcPr>
          <w:p>
            <w:pPr>
              <w:snapToGrid w:val="0"/>
              <w:ind w:left="-72" w:leftChars="-30" w:right="-72" w:rightChars="-30"/>
              <w:jc w:val="center"/>
              <w:rPr>
                <w:snapToGrid w:val="0"/>
                <w:kern w:val="2"/>
                <w:szCs w:val="24"/>
              </w:rPr>
            </w:pPr>
          </w:p>
        </w:tc>
        <w:tc>
          <w:tcPr>
            <w:tcW w:w="1079" w:type="dxa"/>
            <w:vAlign w:val="center"/>
          </w:tcPr>
          <w:p>
            <w:pPr>
              <w:snapToGrid w:val="0"/>
              <w:ind w:left="-72" w:leftChars="-30" w:right="-72" w:rightChars="-30"/>
              <w:jc w:val="center"/>
              <w:rPr>
                <w:snapToGrid w:val="0"/>
                <w:kern w:val="2"/>
                <w:szCs w:val="24"/>
              </w:rPr>
            </w:pPr>
          </w:p>
        </w:tc>
        <w:tc>
          <w:tcPr>
            <w:tcW w:w="2482" w:type="dxa"/>
            <w:vAlign w:val="center"/>
          </w:tcPr>
          <w:p>
            <w:pPr>
              <w:snapToGrid w:val="0"/>
              <w:ind w:left="-72" w:leftChars="-30" w:right="-72" w:rightChars="-30"/>
              <w:jc w:val="center"/>
              <w:rPr>
                <w:snapToGrid w:val="0"/>
                <w:kern w:val="2"/>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1274" w:type="dxa"/>
            <w:vAlign w:val="center"/>
          </w:tcPr>
          <w:p>
            <w:pPr>
              <w:snapToGrid w:val="0"/>
              <w:ind w:left="-72" w:leftChars="-30" w:right="-72" w:rightChars="-30"/>
              <w:jc w:val="center"/>
              <w:rPr>
                <w:rFonts w:ascii="宋体" w:hAnsi="宋体"/>
                <w:snapToGrid w:val="0"/>
                <w:kern w:val="2"/>
                <w:sz w:val="21"/>
                <w:szCs w:val="21"/>
              </w:rPr>
            </w:pPr>
            <w:r>
              <w:rPr>
                <w:rFonts w:hint="eastAsia" w:ascii="宋体" w:hAnsi="宋体"/>
                <w:snapToGrid w:val="0"/>
                <w:kern w:val="2"/>
                <w:sz w:val="21"/>
                <w:szCs w:val="21"/>
              </w:rPr>
              <w:t>1.6</w:t>
            </w:r>
          </w:p>
        </w:tc>
        <w:tc>
          <w:tcPr>
            <w:tcW w:w="4155" w:type="dxa"/>
            <w:vAlign w:val="center"/>
          </w:tcPr>
          <w:p>
            <w:pPr>
              <w:snapToGrid w:val="0"/>
              <w:ind w:left="-72" w:leftChars="-30" w:right="-72" w:rightChars="-30"/>
              <w:rPr>
                <w:rFonts w:ascii="宋体" w:hAnsi="宋体"/>
                <w:snapToGrid w:val="0"/>
                <w:kern w:val="2"/>
                <w:sz w:val="21"/>
                <w:szCs w:val="21"/>
              </w:rPr>
            </w:pPr>
            <w:r>
              <w:rPr>
                <w:rFonts w:hint="eastAsia" w:ascii="宋体" w:hAnsi="宋体"/>
                <w:snapToGrid w:val="0"/>
                <w:kern w:val="2"/>
                <w:sz w:val="21"/>
                <w:szCs w:val="21"/>
              </w:rPr>
              <w:t>分管安全生产的副总经理安全生产考核合格证书及</w:t>
            </w:r>
            <w:r>
              <w:rPr>
                <w:rFonts w:hint="eastAsia" w:ascii="宋体" w:cs="宋体"/>
                <w:kern w:val="2"/>
                <w:sz w:val="21"/>
                <w:szCs w:val="21"/>
              </w:rPr>
              <w:t>分管安全生产副总经理的任命书</w:t>
            </w:r>
          </w:p>
        </w:tc>
        <w:tc>
          <w:tcPr>
            <w:tcW w:w="973" w:type="dxa"/>
            <w:vAlign w:val="center"/>
          </w:tcPr>
          <w:p>
            <w:pPr>
              <w:snapToGrid w:val="0"/>
              <w:ind w:left="-72" w:leftChars="-30" w:right="-72" w:rightChars="-30"/>
              <w:jc w:val="center"/>
              <w:rPr>
                <w:snapToGrid w:val="0"/>
                <w:kern w:val="2"/>
                <w:szCs w:val="24"/>
              </w:rPr>
            </w:pPr>
          </w:p>
        </w:tc>
        <w:tc>
          <w:tcPr>
            <w:tcW w:w="1079" w:type="dxa"/>
            <w:vAlign w:val="center"/>
          </w:tcPr>
          <w:p>
            <w:pPr>
              <w:snapToGrid w:val="0"/>
              <w:ind w:left="-72" w:leftChars="-30" w:right="-72" w:rightChars="-30"/>
              <w:jc w:val="center"/>
              <w:rPr>
                <w:snapToGrid w:val="0"/>
                <w:kern w:val="2"/>
                <w:szCs w:val="24"/>
              </w:rPr>
            </w:pPr>
          </w:p>
        </w:tc>
        <w:tc>
          <w:tcPr>
            <w:tcW w:w="2482" w:type="dxa"/>
            <w:vAlign w:val="center"/>
          </w:tcPr>
          <w:p>
            <w:pPr>
              <w:snapToGrid w:val="0"/>
              <w:ind w:left="-72" w:leftChars="-30" w:right="-72" w:rightChars="-30"/>
              <w:jc w:val="center"/>
              <w:rPr>
                <w:snapToGrid w:val="0"/>
                <w:kern w:val="2"/>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1274" w:type="dxa"/>
            <w:vAlign w:val="center"/>
          </w:tcPr>
          <w:p>
            <w:pPr>
              <w:snapToGrid w:val="0"/>
              <w:ind w:left="-72" w:leftChars="-30" w:right="-72" w:rightChars="-30"/>
              <w:jc w:val="center"/>
              <w:rPr>
                <w:rFonts w:ascii="宋体" w:hAnsi="宋体"/>
                <w:snapToGrid w:val="0"/>
                <w:kern w:val="2"/>
                <w:sz w:val="21"/>
                <w:szCs w:val="21"/>
              </w:rPr>
            </w:pPr>
            <w:r>
              <w:rPr>
                <w:rFonts w:hint="eastAsia" w:ascii="宋体" w:hAnsi="宋体"/>
                <w:snapToGrid w:val="0"/>
                <w:kern w:val="2"/>
                <w:sz w:val="21"/>
                <w:szCs w:val="21"/>
              </w:rPr>
              <w:t>1.7</w:t>
            </w:r>
          </w:p>
        </w:tc>
        <w:tc>
          <w:tcPr>
            <w:tcW w:w="4155" w:type="dxa"/>
            <w:vAlign w:val="center"/>
          </w:tcPr>
          <w:p>
            <w:pPr>
              <w:snapToGrid w:val="0"/>
              <w:ind w:left="-72" w:leftChars="-30" w:right="-72" w:rightChars="-30"/>
              <w:jc w:val="left"/>
              <w:rPr>
                <w:rFonts w:ascii="宋体" w:hAnsi="宋体"/>
                <w:snapToGrid w:val="0"/>
                <w:kern w:val="2"/>
                <w:sz w:val="21"/>
                <w:szCs w:val="21"/>
              </w:rPr>
            </w:pPr>
            <w:r>
              <w:rPr>
                <w:rFonts w:hint="eastAsia" w:ascii="宋体" w:hAnsi="宋体"/>
                <w:snapToGrid w:val="0"/>
                <w:kern w:val="2"/>
                <w:sz w:val="21"/>
                <w:szCs w:val="21"/>
              </w:rPr>
              <w:t>技术负责人安全生产考核合格证书</w:t>
            </w:r>
          </w:p>
        </w:tc>
        <w:tc>
          <w:tcPr>
            <w:tcW w:w="973" w:type="dxa"/>
            <w:vAlign w:val="center"/>
          </w:tcPr>
          <w:p>
            <w:pPr>
              <w:snapToGrid w:val="0"/>
              <w:ind w:left="-72" w:leftChars="-30" w:right="-72" w:rightChars="-30"/>
              <w:jc w:val="center"/>
              <w:rPr>
                <w:snapToGrid w:val="0"/>
                <w:kern w:val="2"/>
                <w:szCs w:val="24"/>
              </w:rPr>
            </w:pPr>
          </w:p>
        </w:tc>
        <w:tc>
          <w:tcPr>
            <w:tcW w:w="1079" w:type="dxa"/>
            <w:vAlign w:val="center"/>
          </w:tcPr>
          <w:p>
            <w:pPr>
              <w:snapToGrid w:val="0"/>
              <w:ind w:left="-72" w:leftChars="-30" w:right="-72" w:rightChars="-30"/>
              <w:jc w:val="center"/>
              <w:rPr>
                <w:snapToGrid w:val="0"/>
                <w:kern w:val="2"/>
                <w:szCs w:val="24"/>
              </w:rPr>
            </w:pPr>
          </w:p>
        </w:tc>
        <w:tc>
          <w:tcPr>
            <w:tcW w:w="2482" w:type="dxa"/>
            <w:vAlign w:val="center"/>
          </w:tcPr>
          <w:p>
            <w:pPr>
              <w:snapToGrid w:val="0"/>
              <w:ind w:left="-72" w:leftChars="-30" w:right="-72" w:rightChars="-30"/>
              <w:jc w:val="center"/>
              <w:rPr>
                <w:snapToGrid w:val="0"/>
                <w:kern w:val="2"/>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1274" w:type="dxa"/>
            <w:vAlign w:val="center"/>
          </w:tcPr>
          <w:p>
            <w:pPr>
              <w:snapToGrid w:val="0"/>
              <w:ind w:left="-72" w:leftChars="-30" w:right="-72" w:rightChars="-30"/>
              <w:jc w:val="center"/>
              <w:rPr>
                <w:rFonts w:ascii="宋体" w:hAnsi="宋体"/>
                <w:snapToGrid w:val="0"/>
                <w:kern w:val="2"/>
                <w:sz w:val="21"/>
                <w:szCs w:val="21"/>
              </w:rPr>
            </w:pPr>
            <w:r>
              <w:rPr>
                <w:rFonts w:hint="eastAsia" w:ascii="宋体" w:hAnsi="宋体"/>
                <w:snapToGrid w:val="0"/>
                <w:kern w:val="2"/>
                <w:sz w:val="21"/>
                <w:szCs w:val="21"/>
              </w:rPr>
              <w:t>1.8</w:t>
            </w:r>
          </w:p>
        </w:tc>
        <w:tc>
          <w:tcPr>
            <w:tcW w:w="4155" w:type="dxa"/>
            <w:vAlign w:val="center"/>
          </w:tcPr>
          <w:p>
            <w:pPr>
              <w:jc w:val="left"/>
              <w:textAlignment w:val="auto"/>
              <w:rPr>
                <w:rFonts w:ascii="宋体" w:hAnsi="宋体"/>
                <w:snapToGrid w:val="0"/>
                <w:kern w:val="2"/>
                <w:sz w:val="21"/>
                <w:szCs w:val="21"/>
              </w:rPr>
            </w:pPr>
            <w:r>
              <w:rPr>
                <w:rFonts w:hint="eastAsia" w:ascii="宋体" w:hAnsi="宋体"/>
                <w:snapToGrid w:val="0"/>
                <w:kern w:val="2"/>
                <w:sz w:val="21"/>
                <w:szCs w:val="21"/>
              </w:rPr>
              <w:t>经会计师事务所或审计机构审计的财务会计报表，包括资产负债表、现金流量表、利润表和财务情况说明书</w:t>
            </w:r>
          </w:p>
        </w:tc>
        <w:tc>
          <w:tcPr>
            <w:tcW w:w="973" w:type="dxa"/>
            <w:vAlign w:val="center"/>
          </w:tcPr>
          <w:p>
            <w:pPr>
              <w:snapToGrid w:val="0"/>
              <w:ind w:left="-72" w:leftChars="-30" w:right="-72" w:rightChars="-30"/>
              <w:jc w:val="center"/>
              <w:rPr>
                <w:snapToGrid w:val="0"/>
                <w:kern w:val="2"/>
                <w:szCs w:val="24"/>
              </w:rPr>
            </w:pPr>
          </w:p>
        </w:tc>
        <w:tc>
          <w:tcPr>
            <w:tcW w:w="1079" w:type="dxa"/>
            <w:vAlign w:val="center"/>
          </w:tcPr>
          <w:p>
            <w:pPr>
              <w:snapToGrid w:val="0"/>
              <w:ind w:left="-72" w:leftChars="-30" w:right="-72" w:rightChars="-30"/>
              <w:jc w:val="center"/>
              <w:rPr>
                <w:snapToGrid w:val="0"/>
                <w:kern w:val="2"/>
                <w:szCs w:val="24"/>
              </w:rPr>
            </w:pPr>
          </w:p>
        </w:tc>
        <w:tc>
          <w:tcPr>
            <w:tcW w:w="2482" w:type="dxa"/>
            <w:vAlign w:val="center"/>
          </w:tcPr>
          <w:p>
            <w:pPr>
              <w:snapToGrid w:val="0"/>
              <w:ind w:left="-72" w:leftChars="-30" w:right="-72" w:rightChars="-30"/>
              <w:jc w:val="center"/>
              <w:rPr>
                <w:snapToGrid w:val="0"/>
                <w:kern w:val="2"/>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1274" w:type="dxa"/>
            <w:vAlign w:val="center"/>
          </w:tcPr>
          <w:p>
            <w:pPr>
              <w:snapToGrid w:val="0"/>
              <w:ind w:left="-72" w:leftChars="-30" w:right="-72" w:rightChars="-30"/>
              <w:jc w:val="center"/>
              <w:rPr>
                <w:rFonts w:ascii="宋体" w:hAnsi="宋体"/>
                <w:snapToGrid w:val="0"/>
                <w:kern w:val="2"/>
                <w:sz w:val="21"/>
                <w:szCs w:val="21"/>
              </w:rPr>
            </w:pPr>
            <w:r>
              <w:rPr>
                <w:rFonts w:hint="eastAsia" w:ascii="宋体" w:hAnsi="宋体"/>
                <w:snapToGrid w:val="0"/>
                <w:kern w:val="2"/>
                <w:sz w:val="21"/>
                <w:szCs w:val="21"/>
              </w:rPr>
              <w:t>1.9</w:t>
            </w:r>
          </w:p>
        </w:tc>
        <w:tc>
          <w:tcPr>
            <w:tcW w:w="4155" w:type="dxa"/>
            <w:vAlign w:val="center"/>
          </w:tcPr>
          <w:p>
            <w:pPr>
              <w:jc w:val="left"/>
              <w:textAlignment w:val="auto"/>
              <w:rPr>
                <w:rFonts w:ascii="宋体" w:cs="宋体"/>
                <w:kern w:val="2"/>
                <w:sz w:val="21"/>
                <w:szCs w:val="21"/>
              </w:rPr>
            </w:pPr>
            <w:r>
              <w:rPr>
                <w:rFonts w:hint="eastAsia" w:ascii="宋体" w:cs="宋体"/>
                <w:kern w:val="2"/>
                <w:sz w:val="21"/>
                <w:szCs w:val="21"/>
              </w:rPr>
              <w:t>竞包人在“浙江省水利建设市场信息平台”公示本企业及拟投入本项目管理班子成员信息的网页打印件。</w:t>
            </w:r>
          </w:p>
        </w:tc>
        <w:tc>
          <w:tcPr>
            <w:tcW w:w="973" w:type="dxa"/>
            <w:vAlign w:val="center"/>
          </w:tcPr>
          <w:p>
            <w:pPr>
              <w:snapToGrid w:val="0"/>
              <w:ind w:left="-72" w:leftChars="-30" w:right="-72" w:rightChars="-30"/>
              <w:jc w:val="center"/>
              <w:rPr>
                <w:snapToGrid w:val="0"/>
                <w:kern w:val="2"/>
                <w:szCs w:val="24"/>
              </w:rPr>
            </w:pPr>
          </w:p>
        </w:tc>
        <w:tc>
          <w:tcPr>
            <w:tcW w:w="1079" w:type="dxa"/>
            <w:vAlign w:val="center"/>
          </w:tcPr>
          <w:p>
            <w:pPr>
              <w:snapToGrid w:val="0"/>
              <w:ind w:left="-72" w:leftChars="-30" w:right="-72" w:rightChars="-30"/>
              <w:jc w:val="center"/>
              <w:rPr>
                <w:snapToGrid w:val="0"/>
                <w:kern w:val="2"/>
                <w:szCs w:val="24"/>
              </w:rPr>
            </w:pPr>
          </w:p>
        </w:tc>
        <w:tc>
          <w:tcPr>
            <w:tcW w:w="2482" w:type="dxa"/>
            <w:vAlign w:val="center"/>
          </w:tcPr>
          <w:p>
            <w:pPr>
              <w:snapToGrid w:val="0"/>
              <w:ind w:left="-72" w:leftChars="-30" w:right="-72" w:rightChars="-30"/>
              <w:jc w:val="center"/>
              <w:rPr>
                <w:snapToGrid w:val="0"/>
                <w:kern w:val="2"/>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1274" w:type="dxa"/>
            <w:vAlign w:val="center"/>
          </w:tcPr>
          <w:p>
            <w:pPr>
              <w:snapToGrid w:val="0"/>
              <w:ind w:left="-72" w:leftChars="-30" w:right="-72" w:rightChars="-30"/>
              <w:jc w:val="center"/>
              <w:rPr>
                <w:rFonts w:ascii="宋体" w:hAnsi="宋体"/>
                <w:snapToGrid w:val="0"/>
                <w:kern w:val="2"/>
                <w:sz w:val="21"/>
                <w:szCs w:val="21"/>
              </w:rPr>
            </w:pPr>
            <w:r>
              <w:rPr>
                <w:rFonts w:hint="eastAsia" w:ascii="宋体" w:hAnsi="宋体"/>
                <w:snapToGrid w:val="0"/>
                <w:kern w:val="2"/>
                <w:sz w:val="21"/>
                <w:szCs w:val="21"/>
              </w:rPr>
              <w:t>1.10</w:t>
            </w:r>
          </w:p>
        </w:tc>
        <w:tc>
          <w:tcPr>
            <w:tcW w:w="4155" w:type="dxa"/>
            <w:vAlign w:val="center"/>
          </w:tcPr>
          <w:p>
            <w:pPr>
              <w:jc w:val="left"/>
              <w:textAlignment w:val="auto"/>
              <w:rPr>
                <w:rFonts w:ascii="宋体" w:hAnsi="宋体"/>
                <w:snapToGrid w:val="0"/>
                <w:kern w:val="2"/>
                <w:sz w:val="21"/>
                <w:szCs w:val="21"/>
              </w:rPr>
            </w:pPr>
            <w:r>
              <w:rPr>
                <w:rFonts w:hint="eastAsia" w:ascii="宋体" w:cs="宋体"/>
                <w:kern w:val="2"/>
                <w:sz w:val="21"/>
                <w:szCs w:val="21"/>
              </w:rPr>
              <w:t>近年完成的类似项目(如有）</w:t>
            </w:r>
          </w:p>
        </w:tc>
        <w:tc>
          <w:tcPr>
            <w:tcW w:w="973" w:type="dxa"/>
            <w:vAlign w:val="center"/>
          </w:tcPr>
          <w:p>
            <w:pPr>
              <w:snapToGrid w:val="0"/>
              <w:ind w:left="-72" w:leftChars="-30" w:right="-72" w:rightChars="-30"/>
              <w:jc w:val="center"/>
              <w:rPr>
                <w:snapToGrid w:val="0"/>
                <w:kern w:val="2"/>
                <w:szCs w:val="24"/>
              </w:rPr>
            </w:pPr>
          </w:p>
        </w:tc>
        <w:tc>
          <w:tcPr>
            <w:tcW w:w="1079" w:type="dxa"/>
            <w:vAlign w:val="center"/>
          </w:tcPr>
          <w:p>
            <w:pPr>
              <w:snapToGrid w:val="0"/>
              <w:ind w:left="-72" w:leftChars="-30" w:right="-72" w:rightChars="-30"/>
              <w:jc w:val="center"/>
              <w:rPr>
                <w:snapToGrid w:val="0"/>
                <w:kern w:val="2"/>
                <w:szCs w:val="24"/>
              </w:rPr>
            </w:pPr>
          </w:p>
        </w:tc>
        <w:tc>
          <w:tcPr>
            <w:tcW w:w="2482" w:type="dxa"/>
            <w:vAlign w:val="center"/>
          </w:tcPr>
          <w:p>
            <w:pPr>
              <w:snapToGrid w:val="0"/>
              <w:ind w:left="-72" w:leftChars="-30" w:right="-72" w:rightChars="-30"/>
              <w:jc w:val="center"/>
              <w:rPr>
                <w:snapToGrid w:val="0"/>
                <w:kern w:val="2"/>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1274" w:type="dxa"/>
            <w:vAlign w:val="center"/>
          </w:tcPr>
          <w:p>
            <w:pPr>
              <w:snapToGrid w:val="0"/>
              <w:ind w:left="-72" w:leftChars="-30" w:right="-72" w:rightChars="-30"/>
              <w:jc w:val="center"/>
              <w:rPr>
                <w:rFonts w:ascii="宋体" w:hAnsi="宋体"/>
                <w:snapToGrid w:val="0"/>
                <w:kern w:val="2"/>
                <w:sz w:val="21"/>
                <w:szCs w:val="21"/>
              </w:rPr>
            </w:pPr>
            <w:r>
              <w:rPr>
                <w:rFonts w:hint="eastAsia" w:ascii="宋体" w:hAnsi="宋体"/>
                <w:snapToGrid w:val="0"/>
                <w:kern w:val="2"/>
                <w:sz w:val="21"/>
                <w:szCs w:val="21"/>
              </w:rPr>
              <w:t>1.11</w:t>
            </w:r>
          </w:p>
        </w:tc>
        <w:tc>
          <w:tcPr>
            <w:tcW w:w="4155" w:type="dxa"/>
            <w:vAlign w:val="center"/>
          </w:tcPr>
          <w:p>
            <w:pPr>
              <w:jc w:val="left"/>
              <w:textAlignment w:val="auto"/>
              <w:rPr>
                <w:rFonts w:ascii="宋体" w:cs="宋体"/>
                <w:kern w:val="2"/>
                <w:sz w:val="21"/>
                <w:szCs w:val="21"/>
              </w:rPr>
            </w:pPr>
            <w:r>
              <w:rPr>
                <w:rFonts w:hint="eastAsia" w:ascii="宋体" w:cs="宋体"/>
                <w:kern w:val="2"/>
                <w:sz w:val="21"/>
                <w:szCs w:val="21"/>
              </w:rPr>
              <w:t>正在施工的和新承接的项目</w:t>
            </w:r>
          </w:p>
        </w:tc>
        <w:tc>
          <w:tcPr>
            <w:tcW w:w="973" w:type="dxa"/>
            <w:vAlign w:val="center"/>
          </w:tcPr>
          <w:p>
            <w:pPr>
              <w:snapToGrid w:val="0"/>
              <w:ind w:left="-72" w:leftChars="-30" w:right="-72" w:rightChars="-30"/>
              <w:jc w:val="center"/>
              <w:rPr>
                <w:snapToGrid w:val="0"/>
                <w:kern w:val="2"/>
                <w:szCs w:val="24"/>
              </w:rPr>
            </w:pPr>
          </w:p>
        </w:tc>
        <w:tc>
          <w:tcPr>
            <w:tcW w:w="1079" w:type="dxa"/>
            <w:vAlign w:val="center"/>
          </w:tcPr>
          <w:p>
            <w:pPr>
              <w:snapToGrid w:val="0"/>
              <w:ind w:left="-72" w:leftChars="-30" w:right="-72" w:rightChars="-30"/>
              <w:jc w:val="center"/>
              <w:rPr>
                <w:snapToGrid w:val="0"/>
                <w:kern w:val="2"/>
                <w:szCs w:val="24"/>
              </w:rPr>
            </w:pPr>
          </w:p>
        </w:tc>
        <w:tc>
          <w:tcPr>
            <w:tcW w:w="2482" w:type="dxa"/>
            <w:vAlign w:val="center"/>
          </w:tcPr>
          <w:p>
            <w:pPr>
              <w:snapToGrid w:val="0"/>
              <w:ind w:left="-72" w:leftChars="-30" w:right="-72" w:rightChars="-30"/>
              <w:jc w:val="center"/>
              <w:rPr>
                <w:snapToGrid w:val="0"/>
                <w:kern w:val="2"/>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1274" w:type="dxa"/>
            <w:vAlign w:val="center"/>
          </w:tcPr>
          <w:p>
            <w:pPr>
              <w:snapToGrid w:val="0"/>
              <w:ind w:left="-72" w:leftChars="-30" w:right="-72" w:rightChars="-30"/>
              <w:jc w:val="center"/>
              <w:rPr>
                <w:rFonts w:ascii="宋体" w:hAnsi="宋体"/>
                <w:snapToGrid w:val="0"/>
                <w:kern w:val="2"/>
                <w:sz w:val="21"/>
                <w:szCs w:val="21"/>
              </w:rPr>
            </w:pPr>
            <w:r>
              <w:rPr>
                <w:rFonts w:hint="eastAsia" w:ascii="宋体" w:hAnsi="宋体"/>
                <w:snapToGrid w:val="0"/>
                <w:kern w:val="2"/>
                <w:sz w:val="21"/>
                <w:szCs w:val="21"/>
              </w:rPr>
              <w:t>1.12</w:t>
            </w:r>
          </w:p>
        </w:tc>
        <w:tc>
          <w:tcPr>
            <w:tcW w:w="4155" w:type="dxa"/>
            <w:vAlign w:val="center"/>
          </w:tcPr>
          <w:p>
            <w:pPr>
              <w:jc w:val="left"/>
              <w:textAlignment w:val="auto"/>
              <w:rPr>
                <w:rFonts w:ascii="宋体" w:cs="宋体"/>
                <w:kern w:val="2"/>
                <w:sz w:val="21"/>
                <w:szCs w:val="21"/>
              </w:rPr>
            </w:pPr>
            <w:r>
              <w:rPr>
                <w:rFonts w:hint="eastAsia" w:ascii="宋体" w:cs="宋体"/>
                <w:kern w:val="2"/>
                <w:sz w:val="21"/>
                <w:szCs w:val="21"/>
              </w:rPr>
              <w:t>保证金凭证（汇款证明）</w:t>
            </w:r>
          </w:p>
        </w:tc>
        <w:tc>
          <w:tcPr>
            <w:tcW w:w="973" w:type="dxa"/>
            <w:vAlign w:val="center"/>
          </w:tcPr>
          <w:p>
            <w:pPr>
              <w:snapToGrid w:val="0"/>
              <w:ind w:left="-72" w:leftChars="-30" w:right="-72" w:rightChars="-30"/>
              <w:jc w:val="center"/>
              <w:rPr>
                <w:snapToGrid w:val="0"/>
                <w:kern w:val="2"/>
                <w:szCs w:val="24"/>
              </w:rPr>
            </w:pPr>
          </w:p>
        </w:tc>
        <w:tc>
          <w:tcPr>
            <w:tcW w:w="1079" w:type="dxa"/>
            <w:vAlign w:val="center"/>
          </w:tcPr>
          <w:p>
            <w:pPr>
              <w:snapToGrid w:val="0"/>
              <w:ind w:left="-72" w:leftChars="-30" w:right="-72" w:rightChars="-30"/>
              <w:jc w:val="center"/>
              <w:rPr>
                <w:snapToGrid w:val="0"/>
                <w:kern w:val="2"/>
                <w:szCs w:val="24"/>
              </w:rPr>
            </w:pPr>
          </w:p>
        </w:tc>
        <w:tc>
          <w:tcPr>
            <w:tcW w:w="2482" w:type="dxa"/>
            <w:vAlign w:val="center"/>
          </w:tcPr>
          <w:p>
            <w:pPr>
              <w:snapToGrid w:val="0"/>
              <w:ind w:left="-72" w:leftChars="-30" w:right="-72" w:rightChars="-30"/>
              <w:jc w:val="center"/>
              <w:rPr>
                <w:snapToGrid w:val="0"/>
                <w:kern w:val="2"/>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1274" w:type="dxa"/>
            <w:vAlign w:val="center"/>
          </w:tcPr>
          <w:p>
            <w:pPr>
              <w:snapToGrid w:val="0"/>
              <w:ind w:left="-72" w:leftChars="-30" w:right="-72" w:rightChars="-30"/>
              <w:jc w:val="center"/>
              <w:rPr>
                <w:rFonts w:ascii="宋体" w:hAnsi="宋体"/>
                <w:snapToGrid w:val="0"/>
                <w:kern w:val="2"/>
                <w:sz w:val="21"/>
                <w:szCs w:val="21"/>
              </w:rPr>
            </w:pPr>
            <w:r>
              <w:rPr>
                <w:rFonts w:hint="eastAsia" w:ascii="宋体" w:hAnsi="宋体"/>
                <w:b/>
                <w:snapToGrid w:val="0"/>
                <w:kern w:val="2"/>
                <w:sz w:val="21"/>
                <w:szCs w:val="21"/>
              </w:rPr>
              <w:t>2</w:t>
            </w:r>
          </w:p>
        </w:tc>
        <w:tc>
          <w:tcPr>
            <w:tcW w:w="4155" w:type="dxa"/>
            <w:vAlign w:val="center"/>
          </w:tcPr>
          <w:p>
            <w:pPr>
              <w:snapToGrid w:val="0"/>
              <w:ind w:left="-72" w:leftChars="-30" w:right="-72" w:rightChars="-30"/>
              <w:rPr>
                <w:rFonts w:ascii="宋体" w:cs="宋体"/>
                <w:kern w:val="2"/>
                <w:sz w:val="21"/>
                <w:szCs w:val="21"/>
              </w:rPr>
            </w:pPr>
            <w:r>
              <w:rPr>
                <w:rFonts w:hint="eastAsia" w:ascii="宋体" w:hAnsi="宋体"/>
                <w:b/>
                <w:snapToGrid w:val="0"/>
                <w:spacing w:val="-4"/>
                <w:kern w:val="2"/>
                <w:sz w:val="21"/>
                <w:szCs w:val="21"/>
              </w:rPr>
              <w:t>项目部部分</w:t>
            </w:r>
          </w:p>
        </w:tc>
        <w:tc>
          <w:tcPr>
            <w:tcW w:w="973" w:type="dxa"/>
            <w:vAlign w:val="center"/>
          </w:tcPr>
          <w:p>
            <w:pPr>
              <w:snapToGrid w:val="0"/>
              <w:ind w:left="-72" w:leftChars="-30" w:right="-72" w:rightChars="-30"/>
              <w:jc w:val="center"/>
              <w:rPr>
                <w:snapToGrid w:val="0"/>
                <w:kern w:val="2"/>
                <w:szCs w:val="24"/>
              </w:rPr>
            </w:pPr>
          </w:p>
        </w:tc>
        <w:tc>
          <w:tcPr>
            <w:tcW w:w="1079" w:type="dxa"/>
            <w:vAlign w:val="center"/>
          </w:tcPr>
          <w:p>
            <w:pPr>
              <w:snapToGrid w:val="0"/>
              <w:ind w:left="-72" w:leftChars="-30" w:right="-72" w:rightChars="-30"/>
              <w:jc w:val="center"/>
              <w:rPr>
                <w:snapToGrid w:val="0"/>
                <w:kern w:val="2"/>
                <w:szCs w:val="24"/>
              </w:rPr>
            </w:pPr>
          </w:p>
        </w:tc>
        <w:tc>
          <w:tcPr>
            <w:tcW w:w="2482" w:type="dxa"/>
            <w:vAlign w:val="center"/>
          </w:tcPr>
          <w:p>
            <w:pPr>
              <w:snapToGrid w:val="0"/>
              <w:ind w:left="-72" w:leftChars="-30" w:right="-72" w:rightChars="-30"/>
              <w:jc w:val="center"/>
              <w:rPr>
                <w:snapToGrid w:val="0"/>
                <w:kern w:val="2"/>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1274" w:type="dxa"/>
            <w:vAlign w:val="center"/>
          </w:tcPr>
          <w:p>
            <w:pPr>
              <w:snapToGrid w:val="0"/>
              <w:ind w:left="-72" w:leftChars="-30" w:right="-72" w:rightChars="-30"/>
              <w:jc w:val="center"/>
              <w:rPr>
                <w:rFonts w:ascii="宋体" w:hAnsi="宋体"/>
                <w:snapToGrid w:val="0"/>
                <w:kern w:val="2"/>
                <w:sz w:val="21"/>
                <w:szCs w:val="21"/>
              </w:rPr>
            </w:pPr>
            <w:r>
              <w:rPr>
                <w:rFonts w:hint="eastAsia" w:ascii="宋体" w:hAnsi="宋体"/>
                <w:snapToGrid w:val="0"/>
                <w:kern w:val="2"/>
                <w:sz w:val="21"/>
                <w:szCs w:val="21"/>
              </w:rPr>
              <w:t>2.2</w:t>
            </w:r>
          </w:p>
        </w:tc>
        <w:tc>
          <w:tcPr>
            <w:tcW w:w="4155" w:type="dxa"/>
            <w:vAlign w:val="center"/>
          </w:tcPr>
          <w:p>
            <w:pPr>
              <w:snapToGrid w:val="0"/>
              <w:ind w:left="-72" w:leftChars="-30" w:right="-72" w:rightChars="-30"/>
              <w:rPr>
                <w:rFonts w:ascii="宋体" w:cs="宋体"/>
                <w:kern w:val="2"/>
                <w:sz w:val="21"/>
                <w:szCs w:val="21"/>
              </w:rPr>
            </w:pPr>
            <w:r>
              <w:rPr>
                <w:rFonts w:hint="eastAsia" w:ascii="宋体" w:cs="宋体"/>
                <w:kern w:val="2"/>
                <w:sz w:val="21"/>
                <w:szCs w:val="21"/>
              </w:rPr>
              <w:t>项目负责人建造师注册证书</w:t>
            </w:r>
          </w:p>
        </w:tc>
        <w:tc>
          <w:tcPr>
            <w:tcW w:w="973" w:type="dxa"/>
            <w:vAlign w:val="center"/>
          </w:tcPr>
          <w:p>
            <w:pPr>
              <w:snapToGrid w:val="0"/>
              <w:ind w:left="-72" w:leftChars="-30" w:right="-72" w:rightChars="-30"/>
              <w:jc w:val="center"/>
              <w:rPr>
                <w:snapToGrid w:val="0"/>
                <w:kern w:val="2"/>
                <w:szCs w:val="24"/>
              </w:rPr>
            </w:pPr>
          </w:p>
        </w:tc>
        <w:tc>
          <w:tcPr>
            <w:tcW w:w="1079" w:type="dxa"/>
            <w:vAlign w:val="center"/>
          </w:tcPr>
          <w:p>
            <w:pPr>
              <w:snapToGrid w:val="0"/>
              <w:ind w:left="-72" w:leftChars="-30" w:right="-72" w:rightChars="-30"/>
              <w:jc w:val="center"/>
              <w:rPr>
                <w:snapToGrid w:val="0"/>
                <w:kern w:val="2"/>
                <w:szCs w:val="24"/>
              </w:rPr>
            </w:pPr>
          </w:p>
        </w:tc>
        <w:tc>
          <w:tcPr>
            <w:tcW w:w="2482" w:type="dxa"/>
            <w:vAlign w:val="center"/>
          </w:tcPr>
          <w:p>
            <w:pPr>
              <w:snapToGrid w:val="0"/>
              <w:ind w:left="-72" w:leftChars="-30" w:right="-72" w:rightChars="-30"/>
              <w:jc w:val="center"/>
              <w:rPr>
                <w:snapToGrid w:val="0"/>
                <w:kern w:val="2"/>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92" w:hRule="atLeast"/>
          <w:jc w:val="center"/>
        </w:trPr>
        <w:tc>
          <w:tcPr>
            <w:tcW w:w="1274" w:type="dxa"/>
            <w:vAlign w:val="center"/>
          </w:tcPr>
          <w:p>
            <w:pPr>
              <w:snapToGrid w:val="0"/>
              <w:ind w:left="-72" w:leftChars="-30" w:right="-72" w:rightChars="-30"/>
              <w:jc w:val="center"/>
              <w:rPr>
                <w:rFonts w:ascii="宋体" w:hAnsi="宋体"/>
                <w:b/>
                <w:snapToGrid w:val="0"/>
                <w:kern w:val="2"/>
                <w:sz w:val="21"/>
                <w:szCs w:val="21"/>
              </w:rPr>
            </w:pPr>
            <w:r>
              <w:rPr>
                <w:rFonts w:hint="eastAsia" w:ascii="宋体" w:hAnsi="宋体"/>
                <w:snapToGrid w:val="0"/>
                <w:kern w:val="2"/>
                <w:sz w:val="21"/>
                <w:szCs w:val="21"/>
              </w:rPr>
              <w:t>2.3</w:t>
            </w:r>
          </w:p>
        </w:tc>
        <w:tc>
          <w:tcPr>
            <w:tcW w:w="4155" w:type="dxa"/>
            <w:vAlign w:val="center"/>
          </w:tcPr>
          <w:p>
            <w:pPr>
              <w:snapToGrid w:val="0"/>
              <w:ind w:left="-72" w:leftChars="-30" w:right="-72" w:rightChars="-30"/>
              <w:rPr>
                <w:rFonts w:ascii="宋体" w:hAnsi="宋体"/>
                <w:b/>
                <w:snapToGrid w:val="0"/>
                <w:spacing w:val="-4"/>
                <w:kern w:val="2"/>
                <w:sz w:val="21"/>
                <w:szCs w:val="21"/>
              </w:rPr>
            </w:pPr>
            <w:r>
              <w:rPr>
                <w:rFonts w:hint="eastAsia" w:ascii="宋体" w:cs="宋体"/>
                <w:kern w:val="2"/>
                <w:sz w:val="21"/>
                <w:szCs w:val="21"/>
              </w:rPr>
              <w:t>项目负责人安全生产考核合格证书</w:t>
            </w:r>
          </w:p>
        </w:tc>
        <w:tc>
          <w:tcPr>
            <w:tcW w:w="973" w:type="dxa"/>
            <w:vAlign w:val="center"/>
          </w:tcPr>
          <w:p>
            <w:pPr>
              <w:snapToGrid w:val="0"/>
              <w:ind w:left="-72" w:leftChars="-30" w:right="-72" w:rightChars="-30"/>
              <w:jc w:val="center"/>
              <w:rPr>
                <w:snapToGrid w:val="0"/>
                <w:kern w:val="2"/>
                <w:szCs w:val="24"/>
              </w:rPr>
            </w:pPr>
          </w:p>
        </w:tc>
        <w:tc>
          <w:tcPr>
            <w:tcW w:w="1079" w:type="dxa"/>
            <w:vAlign w:val="center"/>
          </w:tcPr>
          <w:p>
            <w:pPr>
              <w:snapToGrid w:val="0"/>
              <w:ind w:left="-72" w:leftChars="-30" w:right="-72" w:rightChars="-30"/>
              <w:jc w:val="center"/>
              <w:rPr>
                <w:snapToGrid w:val="0"/>
                <w:kern w:val="2"/>
                <w:szCs w:val="24"/>
              </w:rPr>
            </w:pPr>
          </w:p>
        </w:tc>
        <w:tc>
          <w:tcPr>
            <w:tcW w:w="2482" w:type="dxa"/>
            <w:vAlign w:val="center"/>
          </w:tcPr>
          <w:p>
            <w:pPr>
              <w:snapToGrid w:val="0"/>
              <w:ind w:left="-72" w:leftChars="-30" w:right="-72" w:rightChars="-30"/>
              <w:jc w:val="center"/>
              <w:rPr>
                <w:snapToGrid w:val="0"/>
                <w:kern w:val="2"/>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1274" w:type="dxa"/>
            <w:tcBorders>
              <w:bottom w:val="single" w:color="auto" w:sz="4" w:space="0"/>
            </w:tcBorders>
            <w:vAlign w:val="center"/>
          </w:tcPr>
          <w:p>
            <w:pPr>
              <w:snapToGrid w:val="0"/>
              <w:ind w:left="-72" w:leftChars="-30" w:right="-72" w:rightChars="-30"/>
              <w:jc w:val="center"/>
              <w:rPr>
                <w:rFonts w:ascii="宋体" w:hAnsi="宋体"/>
                <w:snapToGrid w:val="0"/>
                <w:kern w:val="2"/>
                <w:sz w:val="21"/>
                <w:szCs w:val="21"/>
              </w:rPr>
            </w:pPr>
            <w:r>
              <w:rPr>
                <w:rFonts w:hint="eastAsia" w:ascii="宋体" w:hAnsi="宋体"/>
                <w:snapToGrid w:val="0"/>
                <w:kern w:val="2"/>
                <w:sz w:val="21"/>
                <w:szCs w:val="21"/>
              </w:rPr>
              <w:t>2.4</w:t>
            </w:r>
          </w:p>
        </w:tc>
        <w:tc>
          <w:tcPr>
            <w:tcW w:w="4155" w:type="dxa"/>
            <w:tcBorders>
              <w:bottom w:val="single" w:color="auto" w:sz="4" w:space="0"/>
            </w:tcBorders>
            <w:vAlign w:val="center"/>
          </w:tcPr>
          <w:p>
            <w:pPr>
              <w:snapToGrid w:val="0"/>
              <w:ind w:left="-72" w:leftChars="-30" w:right="-72" w:rightChars="-30"/>
              <w:rPr>
                <w:rFonts w:ascii="宋体" w:hAnsi="宋体"/>
                <w:snapToGrid w:val="0"/>
                <w:kern w:val="2"/>
                <w:sz w:val="21"/>
                <w:szCs w:val="21"/>
              </w:rPr>
            </w:pPr>
            <w:r>
              <w:rPr>
                <w:rFonts w:hint="eastAsia" w:ascii="宋体" w:hAnsi="宋体"/>
                <w:snapToGrid w:val="0"/>
                <w:kern w:val="2"/>
                <w:sz w:val="21"/>
                <w:szCs w:val="21"/>
              </w:rPr>
              <w:t>项目技术负责人职称证书</w:t>
            </w:r>
          </w:p>
        </w:tc>
        <w:tc>
          <w:tcPr>
            <w:tcW w:w="973" w:type="dxa"/>
            <w:vAlign w:val="center"/>
          </w:tcPr>
          <w:p>
            <w:pPr>
              <w:snapToGrid w:val="0"/>
              <w:ind w:left="-72" w:leftChars="-30" w:right="-72" w:rightChars="-30"/>
              <w:jc w:val="center"/>
              <w:rPr>
                <w:snapToGrid w:val="0"/>
                <w:kern w:val="2"/>
                <w:szCs w:val="24"/>
              </w:rPr>
            </w:pPr>
          </w:p>
        </w:tc>
        <w:tc>
          <w:tcPr>
            <w:tcW w:w="1079" w:type="dxa"/>
            <w:vAlign w:val="center"/>
          </w:tcPr>
          <w:p>
            <w:pPr>
              <w:snapToGrid w:val="0"/>
              <w:ind w:left="-72" w:leftChars="-30" w:right="-72" w:rightChars="-30"/>
              <w:jc w:val="center"/>
              <w:rPr>
                <w:snapToGrid w:val="0"/>
                <w:kern w:val="2"/>
                <w:szCs w:val="24"/>
              </w:rPr>
            </w:pPr>
          </w:p>
        </w:tc>
        <w:tc>
          <w:tcPr>
            <w:tcW w:w="2482" w:type="dxa"/>
            <w:vAlign w:val="center"/>
          </w:tcPr>
          <w:p>
            <w:pPr>
              <w:snapToGrid w:val="0"/>
              <w:ind w:left="-72" w:leftChars="-30" w:right="-72" w:rightChars="-30"/>
              <w:jc w:val="center"/>
              <w:rPr>
                <w:snapToGrid w:val="0"/>
                <w:kern w:val="2"/>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1274" w:type="dxa"/>
            <w:tcBorders>
              <w:top w:val="single" w:color="auto" w:sz="4" w:space="0"/>
              <w:bottom w:val="single" w:color="auto" w:sz="4" w:space="0"/>
            </w:tcBorders>
            <w:vAlign w:val="center"/>
          </w:tcPr>
          <w:p>
            <w:pPr>
              <w:snapToGrid w:val="0"/>
              <w:ind w:left="-72" w:leftChars="-30" w:right="-72" w:rightChars="-30"/>
              <w:jc w:val="center"/>
              <w:rPr>
                <w:rFonts w:ascii="宋体" w:hAnsi="宋体"/>
                <w:snapToGrid w:val="0"/>
                <w:kern w:val="2"/>
                <w:sz w:val="21"/>
                <w:szCs w:val="21"/>
              </w:rPr>
            </w:pPr>
            <w:r>
              <w:rPr>
                <w:rFonts w:hint="eastAsia" w:ascii="宋体" w:hAnsi="宋体"/>
                <w:snapToGrid w:val="0"/>
                <w:kern w:val="2"/>
                <w:sz w:val="21"/>
                <w:szCs w:val="21"/>
              </w:rPr>
              <w:t>2.5</w:t>
            </w:r>
          </w:p>
        </w:tc>
        <w:tc>
          <w:tcPr>
            <w:tcW w:w="4155" w:type="dxa"/>
            <w:tcBorders>
              <w:top w:val="single" w:color="auto" w:sz="4" w:space="0"/>
              <w:bottom w:val="single" w:color="auto" w:sz="4" w:space="0"/>
            </w:tcBorders>
            <w:vAlign w:val="center"/>
          </w:tcPr>
          <w:p>
            <w:pPr>
              <w:snapToGrid w:val="0"/>
              <w:ind w:left="-72" w:leftChars="-30" w:right="-72" w:rightChars="-30"/>
              <w:rPr>
                <w:rFonts w:ascii="宋体" w:hAnsi="宋体"/>
                <w:snapToGrid w:val="0"/>
                <w:kern w:val="2"/>
                <w:sz w:val="21"/>
                <w:szCs w:val="21"/>
              </w:rPr>
            </w:pPr>
            <w:r>
              <w:rPr>
                <w:rFonts w:hint="eastAsia" w:ascii="宋体" w:hAnsi="宋体"/>
                <w:snapToGrid w:val="0"/>
                <w:kern w:val="2"/>
                <w:sz w:val="21"/>
                <w:szCs w:val="21"/>
              </w:rPr>
              <w:t>项目安全管理人员安全生产考核合格证书</w:t>
            </w:r>
          </w:p>
        </w:tc>
        <w:tc>
          <w:tcPr>
            <w:tcW w:w="973" w:type="dxa"/>
            <w:vAlign w:val="center"/>
          </w:tcPr>
          <w:p>
            <w:pPr>
              <w:snapToGrid w:val="0"/>
              <w:ind w:left="-72" w:leftChars="-30" w:right="-72" w:rightChars="-30"/>
              <w:jc w:val="center"/>
              <w:rPr>
                <w:snapToGrid w:val="0"/>
                <w:kern w:val="2"/>
                <w:szCs w:val="24"/>
              </w:rPr>
            </w:pPr>
          </w:p>
        </w:tc>
        <w:tc>
          <w:tcPr>
            <w:tcW w:w="1079" w:type="dxa"/>
            <w:vAlign w:val="center"/>
          </w:tcPr>
          <w:p>
            <w:pPr>
              <w:snapToGrid w:val="0"/>
              <w:ind w:left="-72" w:leftChars="-30" w:right="-72" w:rightChars="-30"/>
              <w:jc w:val="center"/>
              <w:rPr>
                <w:snapToGrid w:val="0"/>
                <w:kern w:val="2"/>
                <w:szCs w:val="24"/>
              </w:rPr>
            </w:pPr>
          </w:p>
        </w:tc>
        <w:tc>
          <w:tcPr>
            <w:tcW w:w="2482" w:type="dxa"/>
            <w:vAlign w:val="center"/>
          </w:tcPr>
          <w:p>
            <w:pPr>
              <w:snapToGrid w:val="0"/>
              <w:ind w:left="-72" w:leftChars="-30" w:right="-72" w:rightChars="-30"/>
              <w:jc w:val="center"/>
              <w:rPr>
                <w:snapToGrid w:val="0"/>
                <w:kern w:val="2"/>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1274" w:type="dxa"/>
            <w:tcBorders>
              <w:top w:val="single" w:color="auto" w:sz="4" w:space="0"/>
              <w:bottom w:val="single" w:color="auto" w:sz="4" w:space="0"/>
            </w:tcBorders>
            <w:vAlign w:val="center"/>
          </w:tcPr>
          <w:p>
            <w:pPr>
              <w:snapToGrid w:val="0"/>
              <w:ind w:left="-72" w:leftChars="-30" w:right="-72" w:rightChars="-30"/>
              <w:jc w:val="center"/>
              <w:rPr>
                <w:rFonts w:ascii="宋体" w:hAnsi="宋体"/>
                <w:snapToGrid w:val="0"/>
                <w:kern w:val="2"/>
                <w:sz w:val="21"/>
                <w:szCs w:val="21"/>
              </w:rPr>
            </w:pPr>
            <w:r>
              <w:rPr>
                <w:rFonts w:hint="eastAsia" w:ascii="宋体" w:hAnsi="宋体"/>
                <w:snapToGrid w:val="0"/>
                <w:kern w:val="2"/>
                <w:sz w:val="21"/>
                <w:szCs w:val="21"/>
              </w:rPr>
              <w:t>2.6</w:t>
            </w:r>
          </w:p>
        </w:tc>
        <w:tc>
          <w:tcPr>
            <w:tcW w:w="4155" w:type="dxa"/>
            <w:tcBorders>
              <w:top w:val="single" w:color="auto" w:sz="4" w:space="0"/>
              <w:bottom w:val="single" w:color="auto" w:sz="4" w:space="0"/>
            </w:tcBorders>
            <w:vAlign w:val="center"/>
          </w:tcPr>
          <w:p>
            <w:pPr>
              <w:jc w:val="left"/>
              <w:textAlignment w:val="auto"/>
              <w:rPr>
                <w:rFonts w:ascii="宋体" w:hAnsi="宋体"/>
                <w:snapToGrid w:val="0"/>
                <w:kern w:val="2"/>
                <w:sz w:val="21"/>
                <w:szCs w:val="21"/>
              </w:rPr>
            </w:pPr>
            <w:r>
              <w:rPr>
                <w:rFonts w:hint="eastAsia" w:ascii="宋体" w:cs="宋体"/>
                <w:kern w:val="2"/>
                <w:sz w:val="21"/>
                <w:szCs w:val="21"/>
              </w:rPr>
              <w:t>项目安全员、质量员和施工员的省级及以上水行政主管部门颁发或认可的上岗证。</w:t>
            </w:r>
          </w:p>
        </w:tc>
        <w:tc>
          <w:tcPr>
            <w:tcW w:w="973" w:type="dxa"/>
            <w:vAlign w:val="center"/>
          </w:tcPr>
          <w:p>
            <w:pPr>
              <w:snapToGrid w:val="0"/>
              <w:ind w:left="-72" w:leftChars="-30" w:right="-72" w:rightChars="-30"/>
              <w:jc w:val="center"/>
              <w:rPr>
                <w:snapToGrid w:val="0"/>
                <w:kern w:val="2"/>
                <w:szCs w:val="24"/>
              </w:rPr>
            </w:pPr>
          </w:p>
        </w:tc>
        <w:tc>
          <w:tcPr>
            <w:tcW w:w="1079" w:type="dxa"/>
            <w:vAlign w:val="center"/>
          </w:tcPr>
          <w:p>
            <w:pPr>
              <w:snapToGrid w:val="0"/>
              <w:ind w:left="-72" w:leftChars="-30" w:right="-72" w:rightChars="-30"/>
              <w:jc w:val="center"/>
              <w:rPr>
                <w:snapToGrid w:val="0"/>
                <w:kern w:val="2"/>
                <w:szCs w:val="24"/>
              </w:rPr>
            </w:pPr>
          </w:p>
        </w:tc>
        <w:tc>
          <w:tcPr>
            <w:tcW w:w="2482" w:type="dxa"/>
            <w:vAlign w:val="center"/>
          </w:tcPr>
          <w:p>
            <w:pPr>
              <w:snapToGrid w:val="0"/>
              <w:ind w:left="-72" w:leftChars="-30" w:right="-72" w:rightChars="-30"/>
              <w:jc w:val="center"/>
              <w:rPr>
                <w:snapToGrid w:val="0"/>
                <w:kern w:val="2"/>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1274" w:type="dxa"/>
            <w:tcBorders>
              <w:top w:val="single" w:color="auto" w:sz="4" w:space="0"/>
              <w:bottom w:val="single" w:color="auto" w:sz="4" w:space="0"/>
            </w:tcBorders>
            <w:vAlign w:val="center"/>
          </w:tcPr>
          <w:p>
            <w:pPr>
              <w:snapToGrid w:val="0"/>
              <w:ind w:left="-72" w:leftChars="-30" w:right="-72" w:rightChars="-30"/>
              <w:jc w:val="center"/>
              <w:rPr>
                <w:rFonts w:ascii="宋体" w:hAnsi="宋体"/>
                <w:snapToGrid w:val="0"/>
                <w:kern w:val="2"/>
                <w:sz w:val="21"/>
                <w:szCs w:val="21"/>
              </w:rPr>
            </w:pPr>
            <w:r>
              <w:rPr>
                <w:rFonts w:hint="eastAsia" w:ascii="宋体" w:hAnsi="宋体"/>
                <w:snapToGrid w:val="0"/>
                <w:kern w:val="2"/>
                <w:sz w:val="21"/>
                <w:szCs w:val="21"/>
              </w:rPr>
              <w:t>2.7</w:t>
            </w:r>
          </w:p>
        </w:tc>
        <w:tc>
          <w:tcPr>
            <w:tcW w:w="4155" w:type="dxa"/>
            <w:tcBorders>
              <w:top w:val="single" w:color="auto" w:sz="4" w:space="0"/>
              <w:bottom w:val="single" w:color="auto" w:sz="4" w:space="0"/>
            </w:tcBorders>
            <w:vAlign w:val="center"/>
          </w:tcPr>
          <w:p>
            <w:pPr>
              <w:jc w:val="left"/>
              <w:textAlignment w:val="auto"/>
              <w:rPr>
                <w:rFonts w:ascii="宋体" w:hAnsi="宋体"/>
                <w:snapToGrid w:val="0"/>
                <w:kern w:val="2"/>
                <w:sz w:val="21"/>
                <w:szCs w:val="21"/>
              </w:rPr>
            </w:pPr>
            <w:r>
              <w:rPr>
                <w:rFonts w:hint="eastAsia" w:ascii="宋体" w:cs="宋体"/>
                <w:kern w:val="2"/>
                <w:sz w:val="21"/>
                <w:szCs w:val="21"/>
              </w:rPr>
              <w:t>项目负责人师无现任其他工程项目负责人、无限制竞包的不良行为记录承诺书</w:t>
            </w:r>
          </w:p>
        </w:tc>
        <w:tc>
          <w:tcPr>
            <w:tcW w:w="973" w:type="dxa"/>
            <w:vAlign w:val="center"/>
          </w:tcPr>
          <w:p>
            <w:pPr>
              <w:snapToGrid w:val="0"/>
              <w:ind w:left="-72" w:leftChars="-30" w:right="-72" w:rightChars="-30"/>
              <w:jc w:val="center"/>
              <w:rPr>
                <w:snapToGrid w:val="0"/>
                <w:kern w:val="2"/>
                <w:szCs w:val="24"/>
              </w:rPr>
            </w:pPr>
          </w:p>
        </w:tc>
        <w:tc>
          <w:tcPr>
            <w:tcW w:w="1079" w:type="dxa"/>
            <w:vAlign w:val="center"/>
          </w:tcPr>
          <w:p>
            <w:pPr>
              <w:snapToGrid w:val="0"/>
              <w:ind w:left="-72" w:leftChars="-30" w:right="-72" w:rightChars="-30"/>
              <w:jc w:val="center"/>
              <w:rPr>
                <w:snapToGrid w:val="0"/>
                <w:kern w:val="2"/>
                <w:szCs w:val="24"/>
              </w:rPr>
            </w:pPr>
          </w:p>
        </w:tc>
        <w:tc>
          <w:tcPr>
            <w:tcW w:w="2482" w:type="dxa"/>
            <w:vAlign w:val="center"/>
          </w:tcPr>
          <w:p>
            <w:pPr>
              <w:snapToGrid w:val="0"/>
              <w:ind w:left="-72" w:leftChars="-30" w:right="-72" w:rightChars="-30"/>
              <w:jc w:val="center"/>
              <w:rPr>
                <w:snapToGrid w:val="0"/>
                <w:kern w:val="2"/>
                <w:szCs w:val="24"/>
              </w:rPr>
            </w:pPr>
          </w:p>
        </w:tc>
      </w:tr>
    </w:tbl>
    <w:p>
      <w:pPr>
        <w:pStyle w:val="14"/>
        <w:adjustRightInd w:val="0"/>
        <w:rPr>
          <w:rFonts w:ascii="Times New Roman" w:hAnsi="Times New Roman"/>
          <w:b/>
          <w:bCs/>
          <w:snapToGrid w:val="0"/>
          <w:kern w:val="0"/>
          <w:sz w:val="28"/>
        </w:rPr>
        <w:sectPr>
          <w:footerReference r:id="rId9" w:type="default"/>
          <w:pgSz w:w="11907" w:h="16840"/>
          <w:pgMar w:top="1701" w:right="1418" w:bottom="1418" w:left="1701" w:header="1304" w:footer="624" w:gutter="0"/>
          <w:pgBorders>
            <w:top w:val="none" w:sz="0" w:space="0"/>
            <w:left w:val="none" w:sz="0" w:space="0"/>
            <w:bottom w:val="none" w:sz="0" w:space="0"/>
            <w:right w:val="none" w:sz="0" w:space="0"/>
          </w:pgBorders>
          <w:pgNumType w:fmt="decimal" w:chapStyle="1" w:chapSep="hyphen"/>
          <w:cols w:space="720" w:num="1"/>
          <w:docGrid w:linePitch="326" w:charSpace="0"/>
        </w:sectPr>
      </w:pPr>
    </w:p>
    <w:p>
      <w:pPr>
        <w:pStyle w:val="6"/>
        <w:ind w:firstLine="3064" w:firstLineChars="1090"/>
        <w:rPr>
          <w:snapToGrid w:val="0"/>
          <w:sz w:val="28"/>
          <w:szCs w:val="28"/>
        </w:rPr>
      </w:pPr>
      <w:bookmarkStart w:id="797" w:name="_Toc336325401"/>
    </w:p>
    <w:p>
      <w:pPr>
        <w:pStyle w:val="6"/>
        <w:jc w:val="center"/>
        <w:rPr>
          <w:snapToGrid w:val="0"/>
          <w:sz w:val="28"/>
          <w:szCs w:val="28"/>
        </w:rPr>
      </w:pPr>
      <w:bookmarkStart w:id="798" w:name="_Toc15578"/>
      <w:r>
        <w:rPr>
          <w:rFonts w:hint="eastAsia"/>
          <w:snapToGrid w:val="0"/>
          <w:sz w:val="28"/>
          <w:szCs w:val="28"/>
        </w:rPr>
        <w:t>七</w:t>
      </w:r>
      <w:r>
        <w:rPr>
          <w:snapToGrid w:val="0"/>
          <w:sz w:val="28"/>
          <w:szCs w:val="28"/>
        </w:rPr>
        <w:t>、</w:t>
      </w:r>
      <w:r>
        <w:rPr>
          <w:rFonts w:hint="eastAsia"/>
          <w:snapToGrid w:val="0"/>
          <w:sz w:val="28"/>
          <w:szCs w:val="28"/>
        </w:rPr>
        <w:t>原件的扫描件或电子件</w:t>
      </w:r>
      <w:bookmarkEnd w:id="793"/>
      <w:bookmarkEnd w:id="797"/>
      <w:bookmarkEnd w:id="798"/>
      <w:r>
        <w:rPr>
          <w:rFonts w:hint="eastAsia"/>
          <w:snapToGrid w:val="0"/>
          <w:sz w:val="28"/>
          <w:szCs w:val="28"/>
        </w:rPr>
        <w:t xml:space="preserve"> </w:t>
      </w:r>
    </w:p>
    <w:p>
      <w:pPr>
        <w:pStyle w:val="6"/>
        <w:ind w:firstLine="240" w:firstLineChars="100"/>
        <w:rPr>
          <w:rFonts w:eastAsia="宋体"/>
          <w:b w:val="0"/>
        </w:rPr>
      </w:pPr>
      <w:bookmarkStart w:id="799" w:name="_Toc336325402"/>
    </w:p>
    <w:p>
      <w:pPr>
        <w:pStyle w:val="16"/>
        <w:ind w:firstLine="0"/>
        <w:rPr>
          <w:rFonts w:eastAsiaTheme="minorEastAsia"/>
          <w:sz w:val="24"/>
        </w:rPr>
      </w:pPr>
      <w:r>
        <w:rPr>
          <w:rFonts w:hint="eastAsia" w:eastAsiaTheme="minorEastAsia"/>
          <w:sz w:val="24"/>
        </w:rPr>
        <w:t>（1）需要的原件清单详见竞包人须知前附表第10.3款规定。</w:t>
      </w:r>
    </w:p>
    <w:p>
      <w:pPr>
        <w:spacing w:line="300" w:lineRule="exact"/>
        <w:rPr>
          <w:b/>
          <w:snapToGrid w:val="0"/>
          <w:sz w:val="21"/>
          <w:szCs w:val="21"/>
        </w:rPr>
      </w:pPr>
      <w:r>
        <w:rPr>
          <w:rFonts w:hint="eastAsia"/>
        </w:rPr>
        <w:t>（2）竞包人须将上述原件的扫描件或电子件及其他认为必须的扫描件或电子件放入竞包文件（CA锁）中。</w:t>
      </w:r>
    </w:p>
    <w:p>
      <w:pPr>
        <w:spacing w:line="300" w:lineRule="exact"/>
        <w:rPr>
          <w:b/>
          <w:snapToGrid w:val="0"/>
          <w:sz w:val="21"/>
          <w:szCs w:val="21"/>
        </w:rPr>
      </w:pPr>
    </w:p>
    <w:p>
      <w:pPr>
        <w:spacing w:line="300" w:lineRule="exact"/>
        <w:rPr>
          <w:b/>
          <w:snapToGrid w:val="0"/>
          <w:sz w:val="21"/>
          <w:szCs w:val="21"/>
        </w:rPr>
      </w:pPr>
    </w:p>
    <w:p>
      <w:pPr>
        <w:spacing w:line="300" w:lineRule="exact"/>
        <w:rPr>
          <w:b/>
          <w:snapToGrid w:val="0"/>
          <w:sz w:val="21"/>
          <w:szCs w:val="21"/>
        </w:rPr>
      </w:pPr>
    </w:p>
    <w:p>
      <w:pPr>
        <w:spacing w:line="300" w:lineRule="exact"/>
        <w:rPr>
          <w:b/>
          <w:snapToGrid w:val="0"/>
          <w:sz w:val="21"/>
          <w:szCs w:val="21"/>
        </w:rPr>
      </w:pPr>
    </w:p>
    <w:p>
      <w:pPr>
        <w:spacing w:line="300" w:lineRule="exact"/>
        <w:rPr>
          <w:b/>
          <w:snapToGrid w:val="0"/>
          <w:sz w:val="21"/>
          <w:szCs w:val="21"/>
        </w:rPr>
      </w:pPr>
    </w:p>
    <w:p>
      <w:pPr>
        <w:spacing w:line="300" w:lineRule="exact"/>
        <w:rPr>
          <w:b/>
          <w:snapToGrid w:val="0"/>
          <w:sz w:val="21"/>
          <w:szCs w:val="21"/>
        </w:rPr>
      </w:pPr>
    </w:p>
    <w:p>
      <w:pPr>
        <w:spacing w:line="300" w:lineRule="exact"/>
        <w:rPr>
          <w:b/>
          <w:snapToGrid w:val="0"/>
          <w:sz w:val="21"/>
          <w:szCs w:val="21"/>
        </w:rPr>
      </w:pPr>
    </w:p>
    <w:p>
      <w:pPr>
        <w:spacing w:line="300" w:lineRule="exact"/>
        <w:rPr>
          <w:b/>
          <w:snapToGrid w:val="0"/>
          <w:sz w:val="21"/>
          <w:szCs w:val="21"/>
        </w:rPr>
      </w:pPr>
    </w:p>
    <w:p>
      <w:pPr>
        <w:spacing w:line="300" w:lineRule="exact"/>
        <w:rPr>
          <w:b/>
          <w:snapToGrid w:val="0"/>
          <w:sz w:val="21"/>
          <w:szCs w:val="21"/>
        </w:rPr>
      </w:pPr>
    </w:p>
    <w:p>
      <w:pPr>
        <w:spacing w:line="300" w:lineRule="exact"/>
        <w:rPr>
          <w:b/>
          <w:snapToGrid w:val="0"/>
          <w:sz w:val="28"/>
          <w:szCs w:val="28"/>
        </w:rPr>
      </w:pPr>
    </w:p>
    <w:p>
      <w:pPr>
        <w:spacing w:line="300" w:lineRule="exact"/>
        <w:rPr>
          <w:b/>
          <w:snapToGrid w:val="0"/>
          <w:sz w:val="28"/>
          <w:szCs w:val="28"/>
        </w:rPr>
      </w:pPr>
    </w:p>
    <w:p>
      <w:pPr>
        <w:spacing w:line="300" w:lineRule="exact"/>
        <w:rPr>
          <w:b/>
          <w:snapToGrid w:val="0"/>
          <w:sz w:val="28"/>
          <w:szCs w:val="28"/>
        </w:rPr>
      </w:pPr>
    </w:p>
    <w:p>
      <w:pPr>
        <w:spacing w:line="300" w:lineRule="exact"/>
        <w:rPr>
          <w:b/>
          <w:snapToGrid w:val="0"/>
          <w:sz w:val="28"/>
          <w:szCs w:val="28"/>
        </w:rPr>
      </w:pPr>
    </w:p>
    <w:p>
      <w:pPr>
        <w:spacing w:line="300" w:lineRule="exact"/>
        <w:rPr>
          <w:b/>
          <w:snapToGrid w:val="0"/>
          <w:sz w:val="28"/>
          <w:szCs w:val="28"/>
        </w:rPr>
      </w:pPr>
    </w:p>
    <w:p>
      <w:pPr>
        <w:spacing w:line="300" w:lineRule="exact"/>
        <w:rPr>
          <w:b/>
          <w:snapToGrid w:val="0"/>
          <w:sz w:val="28"/>
          <w:szCs w:val="28"/>
        </w:rPr>
      </w:pPr>
    </w:p>
    <w:p>
      <w:pPr>
        <w:spacing w:line="300" w:lineRule="exact"/>
        <w:rPr>
          <w:b/>
          <w:snapToGrid w:val="0"/>
          <w:sz w:val="28"/>
          <w:szCs w:val="28"/>
        </w:rPr>
      </w:pPr>
    </w:p>
    <w:p>
      <w:pPr>
        <w:spacing w:line="300" w:lineRule="exact"/>
        <w:rPr>
          <w:b/>
          <w:snapToGrid w:val="0"/>
          <w:sz w:val="28"/>
          <w:szCs w:val="28"/>
        </w:rPr>
      </w:pPr>
    </w:p>
    <w:p>
      <w:pPr>
        <w:spacing w:line="300" w:lineRule="exact"/>
        <w:rPr>
          <w:b/>
          <w:snapToGrid w:val="0"/>
          <w:sz w:val="28"/>
          <w:szCs w:val="28"/>
        </w:rPr>
      </w:pPr>
    </w:p>
    <w:p>
      <w:pPr>
        <w:spacing w:line="300" w:lineRule="exact"/>
        <w:rPr>
          <w:b/>
          <w:snapToGrid w:val="0"/>
          <w:sz w:val="28"/>
          <w:szCs w:val="28"/>
        </w:rPr>
      </w:pPr>
    </w:p>
    <w:p>
      <w:pPr>
        <w:spacing w:line="300" w:lineRule="exact"/>
        <w:rPr>
          <w:b/>
          <w:snapToGrid w:val="0"/>
          <w:sz w:val="28"/>
          <w:szCs w:val="28"/>
        </w:rPr>
      </w:pPr>
    </w:p>
    <w:p>
      <w:pPr>
        <w:spacing w:line="300" w:lineRule="exact"/>
        <w:rPr>
          <w:b/>
          <w:snapToGrid w:val="0"/>
          <w:sz w:val="28"/>
          <w:szCs w:val="28"/>
        </w:rPr>
      </w:pPr>
    </w:p>
    <w:p>
      <w:pPr>
        <w:spacing w:line="300" w:lineRule="exact"/>
        <w:rPr>
          <w:b/>
          <w:snapToGrid w:val="0"/>
          <w:sz w:val="28"/>
          <w:szCs w:val="28"/>
        </w:rPr>
      </w:pPr>
    </w:p>
    <w:p>
      <w:pPr>
        <w:spacing w:line="300" w:lineRule="exact"/>
        <w:rPr>
          <w:b/>
          <w:snapToGrid w:val="0"/>
          <w:sz w:val="28"/>
          <w:szCs w:val="28"/>
        </w:rPr>
      </w:pPr>
    </w:p>
    <w:p>
      <w:pPr>
        <w:spacing w:line="300" w:lineRule="exact"/>
        <w:rPr>
          <w:b/>
          <w:snapToGrid w:val="0"/>
          <w:sz w:val="28"/>
          <w:szCs w:val="28"/>
        </w:rPr>
      </w:pPr>
    </w:p>
    <w:p>
      <w:pPr>
        <w:spacing w:line="300" w:lineRule="exact"/>
        <w:rPr>
          <w:b/>
          <w:snapToGrid w:val="0"/>
          <w:sz w:val="28"/>
          <w:szCs w:val="28"/>
        </w:rPr>
      </w:pPr>
    </w:p>
    <w:p>
      <w:pPr>
        <w:spacing w:line="300" w:lineRule="exact"/>
        <w:rPr>
          <w:b/>
          <w:snapToGrid w:val="0"/>
          <w:sz w:val="28"/>
          <w:szCs w:val="28"/>
        </w:rPr>
      </w:pPr>
    </w:p>
    <w:p>
      <w:pPr>
        <w:spacing w:line="300" w:lineRule="exact"/>
        <w:rPr>
          <w:b/>
          <w:snapToGrid w:val="0"/>
          <w:sz w:val="28"/>
          <w:szCs w:val="28"/>
        </w:rPr>
      </w:pPr>
    </w:p>
    <w:p>
      <w:pPr>
        <w:spacing w:line="300" w:lineRule="exact"/>
        <w:rPr>
          <w:b/>
          <w:snapToGrid w:val="0"/>
          <w:sz w:val="28"/>
          <w:szCs w:val="28"/>
        </w:rPr>
      </w:pPr>
    </w:p>
    <w:p>
      <w:pPr>
        <w:spacing w:line="300" w:lineRule="exact"/>
        <w:rPr>
          <w:b/>
          <w:snapToGrid w:val="0"/>
          <w:sz w:val="28"/>
          <w:szCs w:val="28"/>
        </w:rPr>
      </w:pPr>
    </w:p>
    <w:p>
      <w:pPr>
        <w:spacing w:line="300" w:lineRule="exact"/>
        <w:rPr>
          <w:b/>
          <w:snapToGrid w:val="0"/>
          <w:sz w:val="28"/>
          <w:szCs w:val="28"/>
        </w:rPr>
      </w:pPr>
    </w:p>
    <w:p>
      <w:pPr>
        <w:spacing w:line="300" w:lineRule="exact"/>
        <w:rPr>
          <w:b/>
          <w:snapToGrid w:val="0"/>
          <w:sz w:val="28"/>
          <w:szCs w:val="28"/>
        </w:rPr>
      </w:pPr>
    </w:p>
    <w:p>
      <w:pPr>
        <w:spacing w:line="300" w:lineRule="exact"/>
        <w:rPr>
          <w:b/>
          <w:snapToGrid w:val="0"/>
          <w:sz w:val="28"/>
          <w:szCs w:val="28"/>
        </w:rPr>
      </w:pPr>
    </w:p>
    <w:p>
      <w:pPr>
        <w:spacing w:line="300" w:lineRule="exact"/>
        <w:rPr>
          <w:b/>
          <w:snapToGrid w:val="0"/>
          <w:sz w:val="28"/>
          <w:szCs w:val="28"/>
        </w:rPr>
      </w:pPr>
    </w:p>
    <w:p>
      <w:pPr>
        <w:spacing w:line="300" w:lineRule="exact"/>
        <w:rPr>
          <w:b/>
          <w:snapToGrid w:val="0"/>
          <w:sz w:val="28"/>
          <w:szCs w:val="28"/>
        </w:rPr>
      </w:pPr>
    </w:p>
    <w:p>
      <w:pPr>
        <w:spacing w:line="300" w:lineRule="exact"/>
        <w:rPr>
          <w:b/>
          <w:snapToGrid w:val="0"/>
          <w:sz w:val="28"/>
          <w:szCs w:val="28"/>
        </w:rPr>
      </w:pPr>
    </w:p>
    <w:p>
      <w:pPr>
        <w:spacing w:line="300" w:lineRule="exact"/>
        <w:rPr>
          <w:b/>
          <w:snapToGrid w:val="0"/>
          <w:sz w:val="28"/>
          <w:szCs w:val="28"/>
        </w:rPr>
      </w:pPr>
    </w:p>
    <w:p>
      <w:pPr>
        <w:pStyle w:val="2"/>
      </w:pPr>
    </w:p>
    <w:p>
      <w:pPr>
        <w:spacing w:line="300" w:lineRule="exact"/>
        <w:rPr>
          <w:b/>
          <w:snapToGrid w:val="0"/>
          <w:sz w:val="28"/>
          <w:szCs w:val="28"/>
        </w:rPr>
      </w:pPr>
    </w:p>
    <w:p>
      <w:pPr>
        <w:spacing w:line="500" w:lineRule="exact"/>
        <w:ind w:firstLine="3654" w:firstLineChars="1300"/>
        <w:rPr>
          <w:b/>
          <w:snapToGrid w:val="0"/>
        </w:rPr>
      </w:pPr>
      <w:r>
        <w:rPr>
          <w:rFonts w:hint="eastAsia"/>
          <w:b/>
          <w:snapToGrid w:val="0"/>
          <w:sz w:val="28"/>
          <w:szCs w:val="28"/>
        </w:rPr>
        <w:t>八</w:t>
      </w:r>
      <w:r>
        <w:rPr>
          <w:b/>
          <w:snapToGrid w:val="0"/>
          <w:sz w:val="28"/>
          <w:szCs w:val="28"/>
        </w:rPr>
        <w:t>、其他材料</w:t>
      </w:r>
      <w:bookmarkEnd w:id="794"/>
      <w:bookmarkEnd w:id="795"/>
      <w:bookmarkEnd w:id="796"/>
      <w:bookmarkEnd w:id="799"/>
    </w:p>
    <w:p>
      <w:pPr>
        <w:ind w:firstLine="1265" w:firstLineChars="450"/>
        <w:jc w:val="left"/>
        <w:textAlignment w:val="auto"/>
        <w:rPr>
          <w:b/>
          <w:snapToGrid w:val="0"/>
          <w:sz w:val="28"/>
          <w:szCs w:val="28"/>
        </w:rPr>
      </w:pPr>
      <w:r>
        <w:rPr>
          <w:b/>
          <w:snapToGrid w:val="0"/>
          <w:sz w:val="28"/>
          <w:szCs w:val="28"/>
        </w:rPr>
        <w:t>1</w:t>
      </w:r>
      <w:r>
        <w:rPr>
          <w:rFonts w:hint="eastAsia"/>
          <w:b/>
          <w:snapToGrid w:val="0"/>
          <w:sz w:val="28"/>
          <w:szCs w:val="28"/>
        </w:rPr>
        <w:t>、拟派项目负责人无限制竞包的不良行为记录承诺书</w:t>
      </w:r>
    </w:p>
    <w:p>
      <w:pPr>
        <w:spacing w:line="420" w:lineRule="exact"/>
        <w:ind w:firstLine="105" w:firstLineChars="50"/>
        <w:jc w:val="left"/>
        <w:textAlignment w:val="auto"/>
        <w:rPr>
          <w:rFonts w:ascii="宋体" w:cs="宋体"/>
          <w:sz w:val="21"/>
          <w:szCs w:val="21"/>
          <w:u w:val="single"/>
        </w:rPr>
      </w:pPr>
      <w:r>
        <w:rPr>
          <w:rFonts w:hint="eastAsia" w:ascii="宋体" w:cs="宋体"/>
          <w:sz w:val="21"/>
          <w:szCs w:val="21"/>
          <w:u w:val="single"/>
        </w:rPr>
        <w:t>（发包人名称）</w:t>
      </w:r>
      <w:r>
        <w:rPr>
          <w:rFonts w:hint="eastAsia" w:ascii="宋体" w:cs="宋体"/>
          <w:sz w:val="21"/>
          <w:szCs w:val="21"/>
        </w:rPr>
        <w:t>：</w:t>
      </w:r>
    </w:p>
    <w:p>
      <w:pPr>
        <w:spacing w:line="420" w:lineRule="exact"/>
        <w:jc w:val="left"/>
        <w:textAlignment w:val="auto"/>
        <w:rPr>
          <w:rFonts w:ascii="宋体" w:cs="宋体"/>
          <w:sz w:val="21"/>
          <w:szCs w:val="21"/>
        </w:rPr>
      </w:pPr>
      <w:r>
        <w:rPr>
          <w:rFonts w:hint="eastAsia" w:ascii="宋体" w:cs="宋体"/>
          <w:sz w:val="21"/>
          <w:szCs w:val="21"/>
        </w:rPr>
        <w:t>本竞包人</w:t>
      </w:r>
      <w:r>
        <w:rPr>
          <w:rFonts w:hint="eastAsia" w:ascii="宋体" w:cs="宋体"/>
          <w:sz w:val="21"/>
          <w:szCs w:val="21"/>
          <w:u w:val="single"/>
        </w:rPr>
        <w:t>（竞包人名称）</w:t>
      </w:r>
      <w:r>
        <w:rPr>
          <w:rFonts w:hint="eastAsia" w:ascii="宋体" w:cs="宋体"/>
          <w:sz w:val="21"/>
          <w:szCs w:val="21"/>
        </w:rPr>
        <w:t>郑重承诺：</w:t>
      </w:r>
    </w:p>
    <w:p>
      <w:pPr>
        <w:spacing w:line="420" w:lineRule="exact"/>
        <w:jc w:val="left"/>
        <w:textAlignment w:val="auto"/>
        <w:rPr>
          <w:rFonts w:ascii="宋体" w:cs="宋体"/>
          <w:sz w:val="21"/>
          <w:szCs w:val="21"/>
        </w:rPr>
      </w:pPr>
      <w:r>
        <w:rPr>
          <w:rFonts w:ascii="宋体" w:cs="宋体"/>
          <w:sz w:val="21"/>
          <w:szCs w:val="21"/>
        </w:rPr>
        <w:t>1</w:t>
      </w:r>
      <w:r>
        <w:rPr>
          <w:rFonts w:hint="eastAsia" w:ascii="宋体" w:cs="宋体"/>
          <w:sz w:val="21"/>
          <w:szCs w:val="21"/>
        </w:rPr>
        <w:t>、拟派本发包项目_____________（发包项目名称）______________（标段名称）的项目负责人</w:t>
      </w:r>
      <w:r>
        <w:rPr>
          <w:rFonts w:hint="eastAsia" w:ascii="宋体" w:cs="宋体"/>
          <w:sz w:val="21"/>
          <w:szCs w:val="21"/>
          <w:u w:val="single"/>
        </w:rPr>
        <w:t>（姓名）</w:t>
      </w:r>
      <w:r>
        <w:rPr>
          <w:rFonts w:hint="eastAsia" w:ascii="宋体" w:cs="宋体"/>
          <w:sz w:val="21"/>
          <w:szCs w:val="21"/>
        </w:rPr>
        <w:t>（建造师注册证书号：__________________）无发包文件所指的在建工程。</w:t>
      </w:r>
    </w:p>
    <w:p>
      <w:pPr>
        <w:spacing w:line="420" w:lineRule="exact"/>
        <w:jc w:val="left"/>
        <w:textAlignment w:val="auto"/>
        <w:rPr>
          <w:rFonts w:ascii="宋体" w:cs="宋体"/>
          <w:sz w:val="21"/>
          <w:szCs w:val="21"/>
        </w:rPr>
      </w:pPr>
      <w:r>
        <w:rPr>
          <w:rFonts w:ascii="宋体" w:cs="宋体"/>
          <w:sz w:val="21"/>
          <w:szCs w:val="21"/>
        </w:rPr>
        <w:t>2</w:t>
      </w:r>
      <w:r>
        <w:rPr>
          <w:rFonts w:hint="eastAsia" w:ascii="宋体" w:cs="宋体"/>
          <w:sz w:val="21"/>
          <w:szCs w:val="21"/>
        </w:rPr>
        <w:t>、本竞包人及拟派本发包项目的项目负责人无本地区范围内的水利建设市场限制竞包期内的不良行为记录（以当地水行政主管部门不良行为记录查询结果为准）。</w:t>
      </w:r>
    </w:p>
    <w:p>
      <w:pPr>
        <w:spacing w:line="420" w:lineRule="exact"/>
        <w:jc w:val="left"/>
        <w:textAlignment w:val="auto"/>
        <w:rPr>
          <w:rFonts w:ascii="宋体" w:cs="宋体"/>
          <w:sz w:val="21"/>
          <w:szCs w:val="21"/>
        </w:rPr>
      </w:pPr>
      <w:r>
        <w:rPr>
          <w:rFonts w:ascii="宋体" w:cs="宋体"/>
          <w:sz w:val="21"/>
          <w:szCs w:val="21"/>
        </w:rPr>
        <w:t>3</w:t>
      </w:r>
      <w:r>
        <w:rPr>
          <w:rFonts w:hint="eastAsia" w:ascii="宋体" w:cs="宋体"/>
          <w:sz w:val="21"/>
          <w:szCs w:val="21"/>
        </w:rPr>
        <w:t>、本竞包人及拟派本发包项目项目负责人_________（身份证号码：____________）自____年____月_____日（以法院判决书出具的日期为准）以来至竞包截止时间，无行贿犯罪记录。</w:t>
      </w:r>
    </w:p>
    <w:p>
      <w:pPr>
        <w:spacing w:line="420" w:lineRule="exact"/>
        <w:jc w:val="left"/>
        <w:textAlignment w:val="auto"/>
        <w:rPr>
          <w:rFonts w:ascii="宋体" w:cs="宋体"/>
          <w:sz w:val="21"/>
          <w:szCs w:val="21"/>
        </w:rPr>
      </w:pPr>
      <w:r>
        <w:rPr>
          <w:rFonts w:ascii="宋体" w:cs="宋体"/>
          <w:sz w:val="21"/>
          <w:szCs w:val="21"/>
        </w:rPr>
        <w:t>4.</w:t>
      </w:r>
      <w:r>
        <w:rPr>
          <w:rFonts w:hint="eastAsia" w:ascii="宋体" w:cs="宋体"/>
          <w:sz w:val="21"/>
          <w:szCs w:val="21"/>
        </w:rPr>
        <w:t>本竞包人提供的资料保证真实。</w:t>
      </w:r>
    </w:p>
    <w:p>
      <w:pPr>
        <w:spacing w:line="420" w:lineRule="exact"/>
        <w:ind w:firstLine="420" w:firstLineChars="200"/>
        <w:jc w:val="left"/>
        <w:textAlignment w:val="auto"/>
        <w:rPr>
          <w:rFonts w:ascii="宋体" w:cs="宋体"/>
          <w:sz w:val="21"/>
          <w:szCs w:val="21"/>
        </w:rPr>
      </w:pPr>
      <w:r>
        <w:rPr>
          <w:rFonts w:hint="eastAsia" w:ascii="宋体" w:cs="宋体"/>
          <w:sz w:val="21"/>
          <w:szCs w:val="21"/>
        </w:rPr>
        <w:t>以上情况如有不实，愿意被取消承包资格并上报行政主管部门，由行政主管部门列入不良行</w:t>
      </w:r>
    </w:p>
    <w:p>
      <w:pPr>
        <w:spacing w:line="420" w:lineRule="exact"/>
        <w:jc w:val="left"/>
        <w:textAlignment w:val="auto"/>
        <w:rPr>
          <w:rFonts w:ascii="宋体" w:cs="宋体"/>
          <w:sz w:val="21"/>
          <w:szCs w:val="21"/>
        </w:rPr>
      </w:pPr>
      <w:r>
        <w:rPr>
          <w:rFonts w:hint="eastAsia" w:ascii="宋体" w:cs="宋体"/>
          <w:sz w:val="21"/>
          <w:szCs w:val="21"/>
        </w:rPr>
        <w:t>为记录，并没收竞包保证金。</w:t>
      </w:r>
    </w:p>
    <w:p>
      <w:pPr>
        <w:spacing w:line="420" w:lineRule="exact"/>
        <w:jc w:val="left"/>
        <w:textAlignment w:val="auto"/>
        <w:rPr>
          <w:rFonts w:ascii="宋体" w:cs="宋体"/>
          <w:sz w:val="21"/>
          <w:szCs w:val="21"/>
        </w:rPr>
      </w:pPr>
      <w:r>
        <w:rPr>
          <w:rFonts w:hint="eastAsia" w:ascii="宋体" w:cs="宋体"/>
          <w:sz w:val="21"/>
          <w:szCs w:val="21"/>
        </w:rPr>
        <w:t>附：拟派项目负责人身份证复印件</w:t>
      </w:r>
    </w:p>
    <w:tbl>
      <w:tblPr>
        <w:tblStyle w:val="24"/>
        <w:tblW w:w="900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5" w:hRule="atLeast"/>
        </w:trPr>
        <w:tc>
          <w:tcPr>
            <w:tcW w:w="9004" w:type="dxa"/>
          </w:tcPr>
          <w:p>
            <w:pPr>
              <w:spacing w:line="600" w:lineRule="auto"/>
              <w:jc w:val="center"/>
              <w:rPr>
                <w:rFonts w:ascii="宋体" w:cs="宋体"/>
                <w:kern w:val="2"/>
                <w:szCs w:val="24"/>
              </w:rPr>
            </w:pPr>
          </w:p>
          <w:p>
            <w:pPr>
              <w:spacing w:line="600" w:lineRule="auto"/>
              <w:jc w:val="center"/>
              <w:rPr>
                <w:rFonts w:ascii="宋体" w:cs="宋体"/>
                <w:kern w:val="2"/>
                <w:szCs w:val="24"/>
              </w:rPr>
            </w:pPr>
          </w:p>
          <w:p>
            <w:pPr>
              <w:spacing w:line="600" w:lineRule="auto"/>
              <w:jc w:val="center"/>
              <w:rPr>
                <w:rFonts w:ascii="宋体" w:cs="宋体"/>
                <w:kern w:val="2"/>
                <w:szCs w:val="24"/>
              </w:rPr>
            </w:pPr>
          </w:p>
          <w:p>
            <w:pPr>
              <w:spacing w:line="600" w:lineRule="auto"/>
              <w:jc w:val="center"/>
              <w:rPr>
                <w:rFonts w:ascii="宋体" w:cs="宋体"/>
                <w:kern w:val="2"/>
                <w:szCs w:val="24"/>
              </w:rPr>
            </w:pPr>
            <w:r>
              <w:rPr>
                <w:rFonts w:hint="eastAsia" w:ascii="宋体" w:cs="宋体"/>
                <w:kern w:val="2"/>
                <w:szCs w:val="24"/>
              </w:rPr>
              <w:t>拟派项目负责人身份证（正、反面）复印件粘贴处</w:t>
            </w:r>
          </w:p>
        </w:tc>
      </w:tr>
    </w:tbl>
    <w:p>
      <w:pPr>
        <w:spacing w:line="600" w:lineRule="auto"/>
        <w:rPr>
          <w:rFonts w:ascii="宋体" w:cs="宋体"/>
          <w:szCs w:val="24"/>
        </w:rPr>
      </w:pPr>
    </w:p>
    <w:p>
      <w:pPr>
        <w:spacing w:line="276" w:lineRule="auto"/>
        <w:ind w:right="-20" w:firstLine="200"/>
        <w:jc w:val="left"/>
        <w:rPr>
          <w:rFonts w:ascii="宋体" w:cs="宋体"/>
          <w:sz w:val="20"/>
        </w:rPr>
      </w:pPr>
    </w:p>
    <w:p>
      <w:pPr>
        <w:spacing w:line="276" w:lineRule="auto"/>
        <w:ind w:right="-20" w:firstLine="200"/>
        <w:jc w:val="right"/>
        <w:rPr>
          <w:rFonts w:ascii="宋体" w:cs="宋体"/>
          <w:sz w:val="20"/>
        </w:rPr>
      </w:pPr>
    </w:p>
    <w:p>
      <w:pPr>
        <w:spacing w:line="360" w:lineRule="auto"/>
        <w:ind w:firstLine="3570" w:firstLineChars="1700"/>
        <w:jc w:val="right"/>
        <w:rPr>
          <w:rFonts w:ascii="宋体" w:hAnsi="宋体"/>
          <w:snapToGrid w:val="0"/>
          <w:sz w:val="21"/>
          <w:szCs w:val="21"/>
        </w:rPr>
      </w:pPr>
      <w:r>
        <w:rPr>
          <w:rFonts w:hint="eastAsia" w:ascii="宋体" w:hAnsi="宋体"/>
          <w:snapToGrid w:val="0"/>
          <w:sz w:val="21"/>
          <w:szCs w:val="21"/>
        </w:rPr>
        <w:t>竞包人</w:t>
      </w:r>
      <w:r>
        <w:rPr>
          <w:rFonts w:ascii="宋体" w:hAnsi="宋体"/>
          <w:snapToGrid w:val="0"/>
          <w:sz w:val="21"/>
          <w:szCs w:val="21"/>
        </w:rPr>
        <w:t>：</w:t>
      </w:r>
      <w:r>
        <w:rPr>
          <w:rFonts w:ascii="宋体" w:hAnsi="宋体"/>
          <w:snapToGrid w:val="0"/>
          <w:sz w:val="21"/>
          <w:szCs w:val="21"/>
          <w:u w:val="single"/>
        </w:rPr>
        <w:t xml:space="preserve">             （盖单位章）</w:t>
      </w:r>
    </w:p>
    <w:p>
      <w:pPr>
        <w:spacing w:line="600" w:lineRule="auto"/>
        <w:jc w:val="right"/>
        <w:rPr>
          <w:b/>
          <w:snapToGrid w:val="0"/>
          <w:sz w:val="44"/>
          <w:szCs w:val="44"/>
          <w:u w:val="single"/>
        </w:rPr>
      </w:pPr>
      <w:r>
        <w:rPr>
          <w:snapToGrid w:val="0"/>
          <w:sz w:val="21"/>
          <w:szCs w:val="21"/>
          <w:u w:val="single"/>
        </w:rPr>
        <w:t>年月日</w:t>
      </w:r>
    </w:p>
    <w:p>
      <w:pPr>
        <w:jc w:val="center"/>
        <w:rPr>
          <w:rFonts w:ascii="宋体" w:hAnsi="宋体"/>
          <w:b/>
          <w:snapToGrid w:val="0"/>
          <w:sz w:val="28"/>
          <w:szCs w:val="28"/>
        </w:rPr>
      </w:pPr>
    </w:p>
    <w:p>
      <w:pPr>
        <w:jc w:val="center"/>
        <w:rPr>
          <w:rFonts w:ascii="宋体" w:hAnsi="宋体"/>
          <w:b/>
          <w:snapToGrid w:val="0"/>
          <w:sz w:val="28"/>
          <w:szCs w:val="28"/>
        </w:rPr>
      </w:pPr>
    </w:p>
    <w:p>
      <w:pPr>
        <w:jc w:val="center"/>
        <w:rPr>
          <w:rFonts w:ascii="宋体" w:hAnsi="宋体"/>
          <w:b/>
          <w:snapToGrid w:val="0"/>
          <w:sz w:val="28"/>
          <w:szCs w:val="28"/>
        </w:rPr>
      </w:pPr>
    </w:p>
    <w:p>
      <w:pPr>
        <w:jc w:val="center"/>
        <w:rPr>
          <w:rFonts w:ascii="宋体" w:hAnsi="宋体"/>
          <w:b/>
          <w:snapToGrid w:val="0"/>
          <w:sz w:val="28"/>
          <w:szCs w:val="28"/>
        </w:rPr>
      </w:pPr>
    </w:p>
    <w:p>
      <w:pPr>
        <w:jc w:val="center"/>
        <w:rPr>
          <w:rFonts w:ascii="宋体" w:hAnsi="宋体"/>
          <w:b/>
          <w:snapToGrid w:val="0"/>
          <w:sz w:val="28"/>
          <w:szCs w:val="28"/>
        </w:rPr>
      </w:pPr>
    </w:p>
    <w:p>
      <w:pPr>
        <w:jc w:val="center"/>
        <w:rPr>
          <w:rFonts w:ascii="宋体" w:hAnsi="宋体"/>
          <w:b/>
          <w:snapToGrid w:val="0"/>
          <w:sz w:val="28"/>
          <w:szCs w:val="28"/>
        </w:rPr>
      </w:pPr>
    </w:p>
    <w:p>
      <w:pPr>
        <w:spacing w:line="340" w:lineRule="exact"/>
        <w:ind w:firstLine="1365" w:firstLineChars="650"/>
        <w:rPr>
          <w:rFonts w:ascii="宋体" w:hAnsi="宋体" w:cs="宋体"/>
          <w:b/>
          <w:bCs/>
        </w:rPr>
      </w:pPr>
      <w:r>
        <w:rPr>
          <w:rFonts w:hint="eastAsia" w:cs="Times New Roman"/>
          <w:snapToGrid w:val="0"/>
          <w:sz w:val="21"/>
          <w:szCs w:val="21"/>
        </w:rPr>
        <w:t>2</w:t>
      </w:r>
      <w:r>
        <w:rPr>
          <w:rFonts w:hint="eastAsia" w:ascii="宋体" w:hAnsi="宋体" w:cs="宋体"/>
          <w:b/>
          <w:bCs/>
        </w:rPr>
        <w:t>、竞包人及拟派项目负责人（总监）信用信息情况表</w:t>
      </w:r>
    </w:p>
    <w:tbl>
      <w:tblPr>
        <w:tblStyle w:val="24"/>
        <w:tblW w:w="93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7"/>
        <w:gridCol w:w="1008"/>
        <w:gridCol w:w="197"/>
        <w:gridCol w:w="2503"/>
        <w:gridCol w:w="3270"/>
        <w:gridCol w:w="12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2382" w:type="dxa"/>
            <w:gridSpan w:val="3"/>
            <w:tcBorders>
              <w:top w:val="single" w:color="auto" w:sz="4" w:space="0"/>
              <w:left w:val="single" w:color="auto" w:sz="4" w:space="0"/>
              <w:bottom w:val="single" w:color="auto" w:sz="4" w:space="0"/>
              <w:right w:val="single" w:color="auto" w:sz="4" w:space="0"/>
            </w:tcBorders>
            <w:vAlign w:val="center"/>
          </w:tcPr>
          <w:p>
            <w:pPr>
              <w:spacing w:line="340" w:lineRule="exact"/>
              <w:rPr>
                <w:rFonts w:ascii="宋体" w:hAnsi="宋体" w:cs="宋体"/>
                <w:kern w:val="2"/>
                <w:sz w:val="21"/>
                <w:szCs w:val="21"/>
              </w:rPr>
            </w:pPr>
            <w:r>
              <w:rPr>
                <w:rFonts w:hint="eastAsia" w:ascii="宋体" w:hAnsi="宋体" w:cs="宋体"/>
                <w:kern w:val="2"/>
                <w:sz w:val="21"/>
                <w:szCs w:val="21"/>
              </w:rPr>
              <w:t>竞包人名称</w:t>
            </w:r>
          </w:p>
        </w:tc>
        <w:tc>
          <w:tcPr>
            <w:tcW w:w="2503" w:type="dxa"/>
            <w:tcBorders>
              <w:top w:val="single" w:color="auto" w:sz="4" w:space="0"/>
              <w:left w:val="single" w:color="auto" w:sz="4" w:space="0"/>
              <w:bottom w:val="single" w:color="auto" w:sz="4" w:space="0"/>
              <w:right w:val="single" w:color="auto" w:sz="4" w:space="0"/>
            </w:tcBorders>
            <w:vAlign w:val="center"/>
          </w:tcPr>
          <w:p>
            <w:pPr>
              <w:spacing w:line="340" w:lineRule="exact"/>
              <w:rPr>
                <w:rFonts w:ascii="宋体" w:hAnsi="宋体" w:cs="宋体"/>
                <w:kern w:val="2"/>
                <w:sz w:val="21"/>
                <w:szCs w:val="21"/>
              </w:rPr>
            </w:pPr>
          </w:p>
        </w:tc>
        <w:tc>
          <w:tcPr>
            <w:tcW w:w="3270" w:type="dxa"/>
            <w:tcBorders>
              <w:top w:val="single" w:color="auto" w:sz="4" w:space="0"/>
              <w:left w:val="single" w:color="auto" w:sz="4" w:space="0"/>
              <w:bottom w:val="single" w:color="auto" w:sz="4" w:space="0"/>
              <w:right w:val="single" w:color="auto" w:sz="4" w:space="0"/>
            </w:tcBorders>
            <w:vAlign w:val="center"/>
          </w:tcPr>
          <w:p>
            <w:pPr>
              <w:spacing w:line="340" w:lineRule="exact"/>
              <w:rPr>
                <w:rFonts w:ascii="宋体" w:hAnsi="宋体" w:cs="宋体"/>
                <w:kern w:val="2"/>
                <w:sz w:val="21"/>
                <w:szCs w:val="21"/>
              </w:rPr>
            </w:pPr>
            <w:r>
              <w:rPr>
                <w:rFonts w:hint="eastAsia" w:ascii="宋体" w:hAnsi="宋体" w:cs="宋体"/>
                <w:kern w:val="2"/>
                <w:sz w:val="21"/>
                <w:szCs w:val="21"/>
              </w:rPr>
              <w:t>企业资质等级</w:t>
            </w:r>
          </w:p>
        </w:tc>
        <w:tc>
          <w:tcPr>
            <w:tcW w:w="1205" w:type="dxa"/>
            <w:tcBorders>
              <w:top w:val="single" w:color="auto" w:sz="4" w:space="0"/>
              <w:left w:val="single" w:color="auto" w:sz="4" w:space="0"/>
              <w:bottom w:val="single" w:color="auto" w:sz="4" w:space="0"/>
              <w:right w:val="single" w:color="auto" w:sz="4" w:space="0"/>
            </w:tcBorders>
            <w:vAlign w:val="center"/>
          </w:tcPr>
          <w:p>
            <w:pPr>
              <w:spacing w:line="340" w:lineRule="exact"/>
              <w:rPr>
                <w:rFonts w:ascii="宋体" w:hAnsi="宋体" w:cs="宋体"/>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2382" w:type="dxa"/>
            <w:gridSpan w:val="3"/>
            <w:tcBorders>
              <w:top w:val="single" w:color="auto" w:sz="4" w:space="0"/>
              <w:left w:val="single" w:color="auto" w:sz="4" w:space="0"/>
              <w:bottom w:val="single" w:color="auto" w:sz="4" w:space="0"/>
              <w:right w:val="single" w:color="auto" w:sz="4" w:space="0"/>
            </w:tcBorders>
            <w:vAlign w:val="center"/>
          </w:tcPr>
          <w:p>
            <w:pPr>
              <w:spacing w:line="340" w:lineRule="exact"/>
              <w:rPr>
                <w:rFonts w:ascii="宋体" w:hAnsi="宋体" w:cs="宋体"/>
                <w:kern w:val="2"/>
                <w:sz w:val="21"/>
                <w:szCs w:val="21"/>
              </w:rPr>
            </w:pPr>
            <w:r>
              <w:rPr>
                <w:rFonts w:hint="eastAsia" w:ascii="宋体" w:hAnsi="宋体" w:cs="宋体"/>
                <w:kern w:val="2"/>
                <w:sz w:val="21"/>
                <w:szCs w:val="21"/>
              </w:rPr>
              <w:t>企业注册地址</w:t>
            </w:r>
          </w:p>
        </w:tc>
        <w:tc>
          <w:tcPr>
            <w:tcW w:w="2503" w:type="dxa"/>
            <w:tcBorders>
              <w:top w:val="single" w:color="auto" w:sz="4" w:space="0"/>
              <w:left w:val="single" w:color="auto" w:sz="4" w:space="0"/>
              <w:bottom w:val="single" w:color="auto" w:sz="4" w:space="0"/>
              <w:right w:val="single" w:color="auto" w:sz="4" w:space="0"/>
            </w:tcBorders>
            <w:vAlign w:val="center"/>
          </w:tcPr>
          <w:p>
            <w:pPr>
              <w:spacing w:line="340" w:lineRule="exact"/>
              <w:rPr>
                <w:rFonts w:ascii="宋体" w:hAnsi="宋体" w:cs="宋体"/>
                <w:kern w:val="2"/>
                <w:sz w:val="21"/>
                <w:szCs w:val="21"/>
              </w:rPr>
            </w:pPr>
          </w:p>
        </w:tc>
        <w:tc>
          <w:tcPr>
            <w:tcW w:w="3270" w:type="dxa"/>
            <w:tcBorders>
              <w:top w:val="single" w:color="auto" w:sz="4" w:space="0"/>
              <w:left w:val="single" w:color="auto" w:sz="4" w:space="0"/>
              <w:bottom w:val="single" w:color="auto" w:sz="4" w:space="0"/>
              <w:right w:val="single" w:color="auto" w:sz="4" w:space="0"/>
            </w:tcBorders>
            <w:vAlign w:val="center"/>
          </w:tcPr>
          <w:p>
            <w:pPr>
              <w:spacing w:line="340" w:lineRule="exact"/>
              <w:rPr>
                <w:rFonts w:ascii="宋体" w:hAnsi="宋体" w:cs="宋体"/>
                <w:kern w:val="2"/>
                <w:sz w:val="21"/>
                <w:szCs w:val="21"/>
              </w:rPr>
            </w:pPr>
            <w:r>
              <w:rPr>
                <w:rFonts w:hint="eastAsia" w:ascii="宋体" w:hAnsi="宋体" w:cs="宋体"/>
                <w:kern w:val="2"/>
                <w:sz w:val="21"/>
                <w:szCs w:val="21"/>
              </w:rPr>
              <w:t>联 系 电 话</w:t>
            </w:r>
          </w:p>
        </w:tc>
        <w:tc>
          <w:tcPr>
            <w:tcW w:w="1205" w:type="dxa"/>
            <w:tcBorders>
              <w:top w:val="single" w:color="auto" w:sz="4" w:space="0"/>
              <w:left w:val="single" w:color="auto" w:sz="4" w:space="0"/>
              <w:bottom w:val="single" w:color="auto" w:sz="4" w:space="0"/>
              <w:right w:val="single" w:color="auto" w:sz="4" w:space="0"/>
            </w:tcBorders>
            <w:vAlign w:val="center"/>
          </w:tcPr>
          <w:p>
            <w:pPr>
              <w:spacing w:line="340" w:lineRule="exact"/>
              <w:rPr>
                <w:rFonts w:ascii="宋体" w:hAnsi="宋体" w:cs="宋体"/>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2382" w:type="dxa"/>
            <w:gridSpan w:val="3"/>
            <w:tcBorders>
              <w:top w:val="single" w:color="auto" w:sz="4" w:space="0"/>
              <w:left w:val="single" w:color="auto" w:sz="4" w:space="0"/>
              <w:bottom w:val="single" w:color="auto" w:sz="4" w:space="0"/>
              <w:right w:val="single" w:color="auto" w:sz="4" w:space="0"/>
            </w:tcBorders>
            <w:vAlign w:val="center"/>
          </w:tcPr>
          <w:p>
            <w:pPr>
              <w:spacing w:line="340" w:lineRule="exact"/>
              <w:rPr>
                <w:rFonts w:ascii="宋体" w:hAnsi="宋体" w:cs="宋体"/>
                <w:kern w:val="2"/>
                <w:sz w:val="21"/>
                <w:szCs w:val="21"/>
              </w:rPr>
            </w:pPr>
            <w:r>
              <w:rPr>
                <w:rFonts w:hint="eastAsia" w:ascii="宋体" w:hAnsi="宋体" w:cs="宋体"/>
                <w:kern w:val="2"/>
                <w:sz w:val="21"/>
                <w:szCs w:val="21"/>
              </w:rPr>
              <w:t>统一社会信用代码</w:t>
            </w:r>
          </w:p>
        </w:tc>
        <w:tc>
          <w:tcPr>
            <w:tcW w:w="2503" w:type="dxa"/>
            <w:tcBorders>
              <w:top w:val="single" w:color="auto" w:sz="4" w:space="0"/>
              <w:left w:val="single" w:color="auto" w:sz="4" w:space="0"/>
              <w:bottom w:val="single" w:color="auto" w:sz="4" w:space="0"/>
              <w:right w:val="single" w:color="auto" w:sz="4" w:space="0"/>
            </w:tcBorders>
            <w:vAlign w:val="center"/>
          </w:tcPr>
          <w:p>
            <w:pPr>
              <w:spacing w:line="340" w:lineRule="exact"/>
              <w:rPr>
                <w:rFonts w:ascii="宋体" w:hAnsi="宋体" w:cs="宋体"/>
                <w:kern w:val="2"/>
                <w:sz w:val="21"/>
                <w:szCs w:val="21"/>
              </w:rPr>
            </w:pPr>
          </w:p>
        </w:tc>
        <w:tc>
          <w:tcPr>
            <w:tcW w:w="3270" w:type="dxa"/>
            <w:tcBorders>
              <w:top w:val="single" w:color="auto" w:sz="4" w:space="0"/>
              <w:left w:val="single" w:color="auto" w:sz="4" w:space="0"/>
              <w:bottom w:val="single" w:color="auto" w:sz="4" w:space="0"/>
              <w:right w:val="single" w:color="auto" w:sz="4" w:space="0"/>
            </w:tcBorders>
            <w:vAlign w:val="center"/>
          </w:tcPr>
          <w:p>
            <w:pPr>
              <w:spacing w:line="340" w:lineRule="exact"/>
              <w:rPr>
                <w:rFonts w:ascii="宋体" w:hAnsi="宋体" w:cs="宋体"/>
                <w:kern w:val="2"/>
                <w:sz w:val="21"/>
                <w:szCs w:val="21"/>
              </w:rPr>
            </w:pPr>
            <w:r>
              <w:rPr>
                <w:rFonts w:hint="eastAsia" w:ascii="宋体" w:hAnsi="宋体" w:cs="宋体"/>
                <w:kern w:val="2"/>
                <w:sz w:val="21"/>
                <w:szCs w:val="21"/>
              </w:rPr>
              <w:t>拟派项目负责人（总监）</w:t>
            </w:r>
          </w:p>
        </w:tc>
        <w:tc>
          <w:tcPr>
            <w:tcW w:w="1205" w:type="dxa"/>
            <w:tcBorders>
              <w:top w:val="single" w:color="auto" w:sz="4" w:space="0"/>
              <w:left w:val="single" w:color="auto" w:sz="4" w:space="0"/>
              <w:bottom w:val="single" w:color="auto" w:sz="4" w:space="0"/>
              <w:right w:val="single" w:color="auto" w:sz="4" w:space="0"/>
            </w:tcBorders>
            <w:vAlign w:val="center"/>
          </w:tcPr>
          <w:p>
            <w:pPr>
              <w:spacing w:line="340" w:lineRule="exact"/>
              <w:rPr>
                <w:rFonts w:ascii="宋体" w:hAnsi="宋体" w:cs="宋体"/>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75" w:hRule="atLeast"/>
        </w:trPr>
        <w:tc>
          <w:tcPr>
            <w:tcW w:w="1177" w:type="dxa"/>
            <w:vMerge w:val="restart"/>
            <w:tcBorders>
              <w:top w:val="single" w:color="auto" w:sz="4" w:space="0"/>
              <w:left w:val="single" w:color="auto" w:sz="4" w:space="0"/>
              <w:bottom w:val="single" w:color="auto" w:sz="4" w:space="0"/>
              <w:right w:val="single" w:color="auto" w:sz="4" w:space="0"/>
            </w:tcBorders>
            <w:vAlign w:val="center"/>
          </w:tcPr>
          <w:p>
            <w:pPr>
              <w:spacing w:line="340" w:lineRule="exact"/>
              <w:rPr>
                <w:rFonts w:ascii="宋体" w:hAnsi="宋体" w:cs="宋体"/>
                <w:kern w:val="2"/>
                <w:sz w:val="21"/>
                <w:szCs w:val="21"/>
              </w:rPr>
            </w:pPr>
            <w:r>
              <w:rPr>
                <w:rFonts w:hint="eastAsia" w:ascii="宋体" w:hAnsi="宋体" w:cs="宋体"/>
                <w:kern w:val="2"/>
                <w:sz w:val="21"/>
                <w:szCs w:val="21"/>
              </w:rPr>
              <w:t>竞包人信用信息</w:t>
            </w:r>
          </w:p>
          <w:p>
            <w:pPr>
              <w:spacing w:line="340" w:lineRule="exact"/>
              <w:rPr>
                <w:rFonts w:ascii="宋体" w:hAnsi="宋体" w:cs="宋体"/>
                <w:kern w:val="2"/>
                <w:sz w:val="21"/>
                <w:szCs w:val="21"/>
              </w:rPr>
            </w:pPr>
            <w:r>
              <w:rPr>
                <w:rFonts w:hint="eastAsia" w:ascii="宋体" w:hAnsi="宋体" w:cs="宋体"/>
                <w:kern w:val="2"/>
                <w:sz w:val="21"/>
                <w:szCs w:val="21"/>
              </w:rPr>
              <w:t>情况</w:t>
            </w:r>
          </w:p>
        </w:tc>
        <w:tc>
          <w:tcPr>
            <w:tcW w:w="6978" w:type="dxa"/>
            <w:gridSpan w:val="4"/>
            <w:tcBorders>
              <w:top w:val="single" w:color="auto" w:sz="4" w:space="0"/>
              <w:left w:val="single" w:color="auto" w:sz="4" w:space="0"/>
              <w:right w:val="single" w:color="auto" w:sz="4" w:space="0"/>
            </w:tcBorders>
            <w:vAlign w:val="center"/>
          </w:tcPr>
          <w:p>
            <w:pPr>
              <w:spacing w:line="340" w:lineRule="exact"/>
              <w:rPr>
                <w:rFonts w:ascii="宋体" w:hAnsi="宋体" w:cs="宋体"/>
                <w:kern w:val="2"/>
                <w:sz w:val="21"/>
                <w:szCs w:val="21"/>
              </w:rPr>
            </w:pPr>
            <w:r>
              <w:rPr>
                <w:rFonts w:hint="eastAsia" w:ascii="宋体" w:hAnsi="宋体" w:cs="宋体"/>
                <w:kern w:val="2"/>
                <w:sz w:val="21"/>
                <w:szCs w:val="21"/>
              </w:rPr>
              <w:t xml:space="preserve">竞包人有无正在被公示与工程建设相关的不良行为记录〔不包括被项目所在地区（（区）或湖州市或浙江省〕水利建设市场限制竞包的〕。   </w:t>
            </w:r>
          </w:p>
        </w:tc>
        <w:tc>
          <w:tcPr>
            <w:tcW w:w="1205" w:type="dxa"/>
            <w:tcBorders>
              <w:top w:val="single" w:color="auto" w:sz="4" w:space="0"/>
              <w:left w:val="single" w:color="auto" w:sz="4" w:space="0"/>
              <w:right w:val="single" w:color="auto" w:sz="4" w:space="0"/>
            </w:tcBorders>
            <w:vAlign w:val="center"/>
          </w:tcPr>
          <w:p>
            <w:pPr>
              <w:spacing w:line="340" w:lineRule="exact"/>
              <w:rPr>
                <w:rFonts w:ascii="宋体" w:hAnsi="宋体" w:cs="宋体"/>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2" w:hRule="atLeast"/>
        </w:trPr>
        <w:tc>
          <w:tcPr>
            <w:tcW w:w="1177" w:type="dxa"/>
            <w:vMerge w:val="continue"/>
            <w:tcBorders>
              <w:top w:val="single" w:color="auto" w:sz="4" w:space="0"/>
              <w:left w:val="single" w:color="auto" w:sz="4" w:space="0"/>
              <w:bottom w:val="single" w:color="auto" w:sz="4" w:space="0"/>
              <w:right w:val="single" w:color="auto" w:sz="4" w:space="0"/>
            </w:tcBorders>
            <w:vAlign w:val="center"/>
          </w:tcPr>
          <w:p>
            <w:pPr>
              <w:spacing w:line="340" w:lineRule="exact"/>
              <w:rPr>
                <w:rFonts w:ascii="宋体" w:hAnsi="宋体" w:cs="宋体"/>
                <w:kern w:val="2"/>
                <w:sz w:val="21"/>
                <w:szCs w:val="21"/>
              </w:rPr>
            </w:pPr>
          </w:p>
        </w:tc>
        <w:tc>
          <w:tcPr>
            <w:tcW w:w="6978" w:type="dxa"/>
            <w:gridSpan w:val="4"/>
            <w:tcBorders>
              <w:top w:val="single" w:color="auto" w:sz="4" w:space="0"/>
              <w:left w:val="single" w:color="auto" w:sz="4" w:space="0"/>
              <w:bottom w:val="single" w:color="auto" w:sz="4" w:space="0"/>
              <w:right w:val="single" w:color="auto" w:sz="4" w:space="0"/>
            </w:tcBorders>
            <w:vAlign w:val="center"/>
          </w:tcPr>
          <w:p>
            <w:pPr>
              <w:spacing w:line="340" w:lineRule="exact"/>
              <w:rPr>
                <w:rFonts w:ascii="宋体" w:hAnsi="宋体" w:cs="宋体"/>
                <w:kern w:val="2"/>
                <w:sz w:val="21"/>
                <w:szCs w:val="21"/>
              </w:rPr>
            </w:pPr>
            <w:r>
              <w:rPr>
                <w:rFonts w:hint="eastAsia" w:ascii="宋体" w:hAnsi="宋体" w:cs="宋体"/>
                <w:kern w:val="2"/>
                <w:sz w:val="21"/>
                <w:szCs w:val="21"/>
              </w:rPr>
              <w:t>竞包截止日前一年内有无与工程建设相关的受到行政机关罚款及以上的行政处罚。</w:t>
            </w:r>
          </w:p>
        </w:tc>
        <w:tc>
          <w:tcPr>
            <w:tcW w:w="1205" w:type="dxa"/>
            <w:tcBorders>
              <w:top w:val="single" w:color="auto" w:sz="4" w:space="0"/>
              <w:left w:val="single" w:color="auto" w:sz="4" w:space="0"/>
              <w:bottom w:val="single" w:color="auto" w:sz="4" w:space="0"/>
              <w:right w:val="single" w:color="auto" w:sz="4" w:space="0"/>
            </w:tcBorders>
            <w:vAlign w:val="center"/>
          </w:tcPr>
          <w:p>
            <w:pPr>
              <w:spacing w:line="340" w:lineRule="exact"/>
              <w:rPr>
                <w:rFonts w:ascii="宋体" w:hAnsi="宋体" w:cs="宋体"/>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51" w:hRule="atLeast"/>
        </w:trPr>
        <w:tc>
          <w:tcPr>
            <w:tcW w:w="1177" w:type="dxa"/>
            <w:vMerge w:val="restart"/>
            <w:tcBorders>
              <w:top w:val="single" w:color="auto" w:sz="4" w:space="0"/>
              <w:left w:val="single" w:color="auto" w:sz="4" w:space="0"/>
              <w:bottom w:val="single" w:color="auto" w:sz="4" w:space="0"/>
              <w:right w:val="single" w:color="auto" w:sz="4" w:space="0"/>
            </w:tcBorders>
            <w:vAlign w:val="center"/>
          </w:tcPr>
          <w:p>
            <w:pPr>
              <w:spacing w:line="340" w:lineRule="exact"/>
              <w:rPr>
                <w:rFonts w:ascii="宋体" w:hAnsi="宋体" w:cs="宋体"/>
                <w:kern w:val="2"/>
                <w:sz w:val="21"/>
                <w:szCs w:val="21"/>
              </w:rPr>
            </w:pPr>
            <w:r>
              <w:rPr>
                <w:rFonts w:hint="eastAsia" w:ascii="宋体" w:hAnsi="宋体" w:cs="宋体"/>
                <w:kern w:val="2"/>
                <w:sz w:val="21"/>
                <w:szCs w:val="21"/>
              </w:rPr>
              <w:t>拟派项目</w:t>
            </w:r>
          </w:p>
          <w:p>
            <w:pPr>
              <w:spacing w:line="340" w:lineRule="exact"/>
              <w:rPr>
                <w:rFonts w:ascii="宋体" w:hAnsi="宋体" w:cs="宋体"/>
                <w:kern w:val="2"/>
                <w:sz w:val="21"/>
                <w:szCs w:val="21"/>
              </w:rPr>
            </w:pPr>
            <w:r>
              <w:rPr>
                <w:rFonts w:hint="eastAsia" w:ascii="宋体" w:hAnsi="宋体" w:cs="宋体"/>
                <w:kern w:val="2"/>
                <w:sz w:val="21"/>
                <w:szCs w:val="21"/>
              </w:rPr>
              <w:t>负责人（总监）信用信息</w:t>
            </w:r>
          </w:p>
          <w:p>
            <w:pPr>
              <w:spacing w:line="340" w:lineRule="exact"/>
              <w:rPr>
                <w:rFonts w:ascii="宋体" w:hAnsi="宋体" w:cs="宋体"/>
                <w:kern w:val="2"/>
                <w:sz w:val="21"/>
                <w:szCs w:val="21"/>
              </w:rPr>
            </w:pPr>
            <w:r>
              <w:rPr>
                <w:rFonts w:hint="eastAsia" w:ascii="宋体" w:hAnsi="宋体" w:cs="宋体"/>
                <w:kern w:val="2"/>
                <w:sz w:val="21"/>
                <w:szCs w:val="21"/>
              </w:rPr>
              <w:t>情况</w:t>
            </w:r>
          </w:p>
        </w:tc>
        <w:tc>
          <w:tcPr>
            <w:tcW w:w="6978" w:type="dxa"/>
            <w:gridSpan w:val="4"/>
            <w:tcBorders>
              <w:top w:val="single" w:color="auto" w:sz="4" w:space="0"/>
              <w:left w:val="single" w:color="auto" w:sz="4" w:space="0"/>
              <w:right w:val="single" w:color="auto" w:sz="4" w:space="0"/>
            </w:tcBorders>
            <w:vAlign w:val="center"/>
          </w:tcPr>
          <w:p>
            <w:pPr>
              <w:spacing w:line="340" w:lineRule="exact"/>
              <w:rPr>
                <w:rFonts w:ascii="宋体" w:hAnsi="宋体" w:cs="宋体"/>
                <w:kern w:val="2"/>
                <w:sz w:val="21"/>
                <w:szCs w:val="21"/>
              </w:rPr>
            </w:pPr>
            <w:r>
              <w:rPr>
                <w:rFonts w:hint="eastAsia" w:ascii="宋体" w:hAnsi="宋体" w:cs="宋体"/>
                <w:kern w:val="2"/>
                <w:sz w:val="21"/>
                <w:szCs w:val="21"/>
              </w:rPr>
              <w:t xml:space="preserve">拟派项目负责人（总监）有无正在被公示的与工程建设相关的不良行为记录〔不包括被项目所在地区（县（区）或湖州市）水利建设市场限制竞包的〕。       </w:t>
            </w:r>
          </w:p>
        </w:tc>
        <w:tc>
          <w:tcPr>
            <w:tcW w:w="1205" w:type="dxa"/>
            <w:tcBorders>
              <w:top w:val="single" w:color="auto" w:sz="4" w:space="0"/>
              <w:left w:val="single" w:color="auto" w:sz="4" w:space="0"/>
              <w:right w:val="single" w:color="auto" w:sz="4" w:space="0"/>
            </w:tcBorders>
            <w:vAlign w:val="center"/>
          </w:tcPr>
          <w:p>
            <w:pPr>
              <w:spacing w:line="340" w:lineRule="exact"/>
              <w:rPr>
                <w:rFonts w:ascii="宋体" w:hAnsi="宋体" w:cs="宋体"/>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2" w:hRule="atLeast"/>
        </w:trPr>
        <w:tc>
          <w:tcPr>
            <w:tcW w:w="1177" w:type="dxa"/>
            <w:vMerge w:val="continue"/>
            <w:tcBorders>
              <w:top w:val="single" w:color="auto" w:sz="4" w:space="0"/>
              <w:left w:val="single" w:color="auto" w:sz="4" w:space="0"/>
              <w:bottom w:val="single" w:color="auto" w:sz="4" w:space="0"/>
              <w:right w:val="single" w:color="auto" w:sz="4" w:space="0"/>
            </w:tcBorders>
            <w:vAlign w:val="center"/>
          </w:tcPr>
          <w:p>
            <w:pPr>
              <w:spacing w:line="340" w:lineRule="exact"/>
              <w:rPr>
                <w:rFonts w:ascii="宋体" w:hAnsi="宋体" w:cs="宋体"/>
                <w:kern w:val="2"/>
                <w:sz w:val="21"/>
                <w:szCs w:val="21"/>
              </w:rPr>
            </w:pPr>
          </w:p>
        </w:tc>
        <w:tc>
          <w:tcPr>
            <w:tcW w:w="6978" w:type="dxa"/>
            <w:gridSpan w:val="4"/>
            <w:tcBorders>
              <w:top w:val="single" w:color="auto" w:sz="4" w:space="0"/>
              <w:left w:val="single" w:color="auto" w:sz="4" w:space="0"/>
              <w:bottom w:val="single" w:color="auto" w:sz="4" w:space="0"/>
              <w:right w:val="single" w:color="auto" w:sz="4" w:space="0"/>
            </w:tcBorders>
            <w:vAlign w:val="center"/>
          </w:tcPr>
          <w:p>
            <w:pPr>
              <w:spacing w:line="340" w:lineRule="exact"/>
              <w:rPr>
                <w:rFonts w:ascii="宋体" w:hAnsi="宋体" w:cs="宋体"/>
                <w:kern w:val="2"/>
                <w:sz w:val="21"/>
                <w:szCs w:val="21"/>
              </w:rPr>
            </w:pPr>
            <w:r>
              <w:rPr>
                <w:rFonts w:hint="eastAsia" w:ascii="宋体" w:hAnsi="宋体" w:cs="宋体"/>
                <w:kern w:val="2"/>
                <w:sz w:val="21"/>
                <w:szCs w:val="21"/>
              </w:rPr>
              <w:t>拟派项目负责人（总监）竞包截止日前一年内有无与工程建设相关的受到行政机关罚款及以上的行政处罚。</w:t>
            </w:r>
          </w:p>
        </w:tc>
        <w:tc>
          <w:tcPr>
            <w:tcW w:w="1205" w:type="dxa"/>
            <w:tcBorders>
              <w:top w:val="single" w:color="auto" w:sz="4" w:space="0"/>
              <w:left w:val="single" w:color="auto" w:sz="4" w:space="0"/>
              <w:bottom w:val="single" w:color="auto" w:sz="4" w:space="0"/>
              <w:right w:val="single" w:color="auto" w:sz="4" w:space="0"/>
            </w:tcBorders>
            <w:vAlign w:val="center"/>
          </w:tcPr>
          <w:p>
            <w:pPr>
              <w:spacing w:line="340" w:lineRule="exact"/>
              <w:rPr>
                <w:rFonts w:ascii="宋体" w:hAnsi="宋体" w:cs="宋体"/>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29" w:hRule="atLeast"/>
        </w:trPr>
        <w:tc>
          <w:tcPr>
            <w:tcW w:w="2185" w:type="dxa"/>
            <w:gridSpan w:val="2"/>
            <w:tcBorders>
              <w:top w:val="single" w:color="auto" w:sz="4" w:space="0"/>
              <w:left w:val="single" w:color="auto" w:sz="4" w:space="0"/>
              <w:bottom w:val="single" w:color="auto" w:sz="4" w:space="0"/>
              <w:right w:val="single" w:color="auto" w:sz="4" w:space="0"/>
            </w:tcBorders>
            <w:vAlign w:val="center"/>
          </w:tcPr>
          <w:p>
            <w:pPr>
              <w:spacing w:line="340" w:lineRule="exact"/>
              <w:rPr>
                <w:rFonts w:ascii="宋体" w:hAnsi="宋体" w:cs="宋体"/>
                <w:kern w:val="2"/>
                <w:sz w:val="21"/>
                <w:szCs w:val="21"/>
              </w:rPr>
            </w:pPr>
            <w:r>
              <w:rPr>
                <w:rFonts w:hint="eastAsia" w:ascii="宋体" w:hAnsi="宋体" w:cs="宋体"/>
                <w:kern w:val="2"/>
                <w:sz w:val="21"/>
                <w:szCs w:val="21"/>
              </w:rPr>
              <w:t>竞包 人 声 明</w:t>
            </w:r>
          </w:p>
        </w:tc>
        <w:tc>
          <w:tcPr>
            <w:tcW w:w="7175" w:type="dxa"/>
            <w:gridSpan w:val="4"/>
            <w:tcBorders>
              <w:top w:val="single" w:color="auto" w:sz="4" w:space="0"/>
              <w:left w:val="single" w:color="auto" w:sz="4" w:space="0"/>
              <w:bottom w:val="single" w:color="auto" w:sz="4" w:space="0"/>
              <w:right w:val="single" w:color="auto" w:sz="4" w:space="0"/>
            </w:tcBorders>
          </w:tcPr>
          <w:p>
            <w:pPr>
              <w:ind w:firstLine="308" w:firstLineChars="147"/>
              <w:rPr>
                <w:rFonts w:ascii="宋体" w:hAnsi="宋体" w:eastAsia="宋体" w:cs="宋体"/>
                <w:kern w:val="2"/>
                <w:sz w:val="21"/>
                <w:szCs w:val="21"/>
              </w:rPr>
            </w:pPr>
            <w:r>
              <w:rPr>
                <w:rFonts w:hint="eastAsia" w:ascii="宋体" w:hAnsi="宋体" w:eastAsia="宋体" w:cs="宋体"/>
                <w:kern w:val="2"/>
                <w:sz w:val="21"/>
                <w:szCs w:val="21"/>
              </w:rPr>
              <w:t>以上内容是本竞包人信用信息的真实反映，如有不实，自愿取消本项目竞包资格，并无条件接受行政主管部门的行政处罚。</w:t>
            </w:r>
          </w:p>
          <w:p>
            <w:pPr>
              <w:spacing w:line="340" w:lineRule="exact"/>
              <w:rPr>
                <w:rFonts w:ascii="宋体" w:hAnsi="宋体" w:cs="宋体"/>
                <w:kern w:val="2"/>
                <w:sz w:val="21"/>
                <w:szCs w:val="21"/>
              </w:rPr>
            </w:pPr>
          </w:p>
          <w:p>
            <w:pPr>
              <w:spacing w:line="340" w:lineRule="exact"/>
              <w:ind w:firstLine="1890" w:firstLineChars="900"/>
              <w:rPr>
                <w:rFonts w:ascii="宋体" w:hAnsi="宋体" w:cs="宋体"/>
                <w:kern w:val="2"/>
                <w:sz w:val="21"/>
                <w:szCs w:val="21"/>
              </w:rPr>
            </w:pPr>
            <w:r>
              <w:rPr>
                <w:rFonts w:hint="eastAsia" w:ascii="宋体" w:hAnsi="宋体" w:cs="宋体"/>
                <w:kern w:val="2"/>
                <w:sz w:val="21"/>
                <w:szCs w:val="21"/>
              </w:rPr>
              <w:t xml:space="preserve">  法定代表人：            （签字或盖章）</w:t>
            </w:r>
          </w:p>
          <w:p>
            <w:pPr>
              <w:spacing w:line="340" w:lineRule="exact"/>
              <w:rPr>
                <w:rFonts w:ascii="宋体" w:hAnsi="宋体" w:cs="宋体"/>
                <w:kern w:val="2"/>
                <w:sz w:val="21"/>
                <w:szCs w:val="21"/>
              </w:rPr>
            </w:pPr>
            <w:r>
              <w:rPr>
                <w:rFonts w:hint="eastAsia" w:ascii="宋体" w:hAnsi="宋体" w:cs="宋体"/>
                <w:kern w:val="2"/>
                <w:sz w:val="21"/>
                <w:szCs w:val="21"/>
              </w:rPr>
              <w:t>竞包人：(单位公章)</w:t>
            </w:r>
          </w:p>
          <w:p>
            <w:pPr>
              <w:spacing w:line="340" w:lineRule="exact"/>
              <w:rPr>
                <w:rFonts w:ascii="宋体" w:hAnsi="宋体" w:cs="宋体"/>
                <w:kern w:val="2"/>
                <w:sz w:val="21"/>
                <w:szCs w:val="21"/>
              </w:rPr>
            </w:pPr>
            <w:r>
              <w:rPr>
                <w:rFonts w:hint="eastAsia" w:ascii="宋体" w:hAnsi="宋体" w:cs="宋体"/>
                <w:kern w:val="2"/>
                <w:sz w:val="21"/>
                <w:szCs w:val="21"/>
              </w:rPr>
              <w:t xml:space="preserve">                               日    期：     年   月  日</w:t>
            </w:r>
          </w:p>
        </w:tc>
      </w:tr>
    </w:tbl>
    <w:p>
      <w:pPr>
        <w:spacing w:line="340" w:lineRule="exact"/>
        <w:rPr>
          <w:rFonts w:ascii="宋体" w:hAnsi="宋体" w:cs="宋体"/>
          <w:b/>
          <w:bCs/>
          <w:sz w:val="18"/>
          <w:szCs w:val="18"/>
        </w:rPr>
      </w:pPr>
      <w:r>
        <w:rPr>
          <w:rFonts w:hint="eastAsia" w:ascii="宋体" w:hAnsi="宋体" w:cs="宋体"/>
          <w:b/>
          <w:bCs/>
          <w:sz w:val="18"/>
          <w:szCs w:val="18"/>
        </w:rPr>
        <w:t>注： 1. “竞包人信用信息情况”、“拟派项目负责人（总监）信用信息情况”表格内必须填写“有”或“无”。如为空白或“/”的均以未按规定的格式填写处理。</w:t>
      </w:r>
    </w:p>
    <w:p>
      <w:pPr>
        <w:spacing w:line="340" w:lineRule="exact"/>
        <w:rPr>
          <w:rFonts w:ascii="宋体" w:hAnsi="宋体" w:cs="宋体"/>
          <w:b/>
          <w:bCs/>
          <w:sz w:val="18"/>
          <w:szCs w:val="18"/>
        </w:rPr>
      </w:pPr>
      <w:r>
        <w:rPr>
          <w:rFonts w:hint="eastAsia" w:ascii="宋体" w:hAnsi="宋体" w:cs="宋体"/>
          <w:b/>
          <w:bCs/>
          <w:sz w:val="18"/>
          <w:szCs w:val="18"/>
        </w:rPr>
        <w:t>不良行为记录是指各行政机关出具的不良行为认定书、黑名单、失信名单或通知、通报、警示警告、责令整改（停工）通知书等明确认定为“不良行为”的各类文书，该文书注明时限的以时限为准，未注明时限的按一年计。</w:t>
      </w:r>
    </w:p>
    <w:p>
      <w:pPr>
        <w:spacing w:line="340" w:lineRule="exact"/>
        <w:rPr>
          <w:rFonts w:ascii="宋体" w:hAnsi="宋体" w:cs="宋体"/>
          <w:b/>
          <w:bCs/>
          <w:sz w:val="18"/>
          <w:szCs w:val="18"/>
        </w:rPr>
      </w:pPr>
      <w:r>
        <w:rPr>
          <w:rFonts w:hint="eastAsia" w:ascii="宋体" w:hAnsi="宋体" w:cs="宋体"/>
          <w:b/>
          <w:bCs/>
          <w:sz w:val="18"/>
          <w:szCs w:val="18"/>
        </w:rPr>
        <w:t>行政处罚是指各行政机关作出的行政处罚决定书，时间以作出行政处罚决定的日期为准。</w:t>
      </w:r>
    </w:p>
    <w:p>
      <w:pPr>
        <w:spacing w:line="340" w:lineRule="exact"/>
        <w:rPr>
          <w:rFonts w:ascii="宋体" w:hAnsi="宋体" w:cs="宋体"/>
          <w:b/>
          <w:bCs/>
          <w:sz w:val="18"/>
          <w:szCs w:val="18"/>
        </w:rPr>
      </w:pPr>
      <w:r>
        <w:rPr>
          <w:rFonts w:hint="eastAsia" w:ascii="宋体" w:hAnsi="宋体" w:cs="宋体"/>
          <w:b/>
          <w:bCs/>
          <w:sz w:val="18"/>
          <w:szCs w:val="18"/>
        </w:rPr>
        <w:t>4.不良行为记录和行政处罚如提前结束或被撤销的，竞包文件中必须提供原处理部门出具的正式文书。如未提供均按未如实填写处理。</w:t>
      </w:r>
    </w:p>
    <w:p>
      <w:pPr>
        <w:spacing w:line="340" w:lineRule="exact"/>
        <w:rPr>
          <w:rFonts w:ascii="宋体" w:hAnsi="宋体" w:cs="仿宋_GB2312"/>
          <w:b/>
          <w:bCs/>
          <w:sz w:val="18"/>
          <w:szCs w:val="18"/>
        </w:rPr>
      </w:pPr>
      <w:r>
        <w:rPr>
          <w:rFonts w:hint="eastAsia" w:ascii="宋体" w:hAnsi="宋体" w:cs="宋体"/>
          <w:b/>
          <w:bCs/>
          <w:sz w:val="18"/>
          <w:szCs w:val="18"/>
        </w:rPr>
        <w:t>5.与工程建设相关的行政处罚或不良行为记录是指：竞包人或拟派项目负责人（总监）在从事工程建设活动中，因违反招标投标规定、法定建设程序、工程合同约定被各级行政机关作出行政处罚或记录不良行为，以及因危害社会公共安全被追究刑事责任的情形。</w:t>
      </w:r>
    </w:p>
    <w:p>
      <w:pPr>
        <w:jc w:val="center"/>
        <w:rPr>
          <w:rFonts w:ascii="宋体" w:hAnsi="宋体"/>
          <w:b/>
          <w:snapToGrid w:val="0"/>
          <w:sz w:val="28"/>
          <w:szCs w:val="28"/>
        </w:rPr>
      </w:pPr>
    </w:p>
    <w:p>
      <w:pPr>
        <w:jc w:val="center"/>
        <w:rPr>
          <w:rFonts w:ascii="宋体" w:hAnsi="宋体"/>
          <w:b/>
          <w:snapToGrid w:val="0"/>
          <w:sz w:val="28"/>
          <w:szCs w:val="28"/>
        </w:rPr>
      </w:pPr>
    </w:p>
    <w:p>
      <w:pPr>
        <w:jc w:val="center"/>
        <w:rPr>
          <w:rFonts w:ascii="宋体" w:hAnsi="宋体"/>
          <w:b/>
          <w:snapToGrid w:val="0"/>
          <w:sz w:val="28"/>
          <w:szCs w:val="28"/>
        </w:rPr>
      </w:pPr>
      <w:r>
        <w:rPr>
          <w:rFonts w:hint="eastAsia" w:ascii="宋体" w:hAnsi="宋体"/>
          <w:b/>
          <w:snapToGrid w:val="0"/>
          <w:sz w:val="28"/>
          <w:szCs w:val="28"/>
        </w:rPr>
        <w:t>3、“无欠薪”承诺</w:t>
      </w:r>
    </w:p>
    <w:p>
      <w:pPr>
        <w:spacing w:line="420" w:lineRule="exact"/>
        <w:jc w:val="left"/>
        <w:rPr>
          <w:rFonts w:ascii="宋体" w:cs="宋体"/>
          <w:szCs w:val="21"/>
          <w:u w:val="single"/>
        </w:rPr>
      </w:pPr>
      <w:r>
        <w:rPr>
          <w:rFonts w:ascii="宋体" w:cs="宋体"/>
          <w:szCs w:val="21"/>
        </w:rPr>
        <w:softHyphen/>
      </w:r>
      <w:r>
        <w:rPr>
          <w:rFonts w:hint="eastAsia" w:ascii="宋体" w:cs="宋体"/>
          <w:szCs w:val="21"/>
        </w:rPr>
        <w:softHyphen/>
      </w:r>
      <w:r>
        <w:rPr>
          <w:rFonts w:hint="eastAsia" w:ascii="宋体" w:cs="宋体"/>
          <w:szCs w:val="21"/>
        </w:rPr>
        <w:softHyphen/>
      </w:r>
      <w:r>
        <w:rPr>
          <w:rFonts w:hint="eastAsia" w:ascii="宋体" w:cs="宋体"/>
          <w:szCs w:val="21"/>
        </w:rPr>
        <w:softHyphen/>
      </w:r>
      <w:r>
        <w:rPr>
          <w:rFonts w:hint="eastAsia" w:ascii="宋体" w:cs="宋体"/>
          <w:szCs w:val="21"/>
        </w:rPr>
        <w:softHyphen/>
      </w:r>
      <w:r>
        <w:rPr>
          <w:rFonts w:hint="eastAsia" w:ascii="宋体" w:cs="宋体"/>
          <w:szCs w:val="21"/>
        </w:rPr>
        <w:softHyphen/>
      </w:r>
      <w:r>
        <w:rPr>
          <w:rFonts w:hint="eastAsia" w:ascii="宋体" w:cs="宋体"/>
          <w:szCs w:val="21"/>
        </w:rPr>
        <w:softHyphen/>
      </w:r>
      <w:r>
        <w:rPr>
          <w:rFonts w:hint="eastAsia" w:ascii="宋体" w:cs="宋体"/>
          <w:szCs w:val="21"/>
        </w:rPr>
        <w:softHyphen/>
      </w:r>
      <w:r>
        <w:rPr>
          <w:rFonts w:hint="eastAsia" w:ascii="宋体" w:cs="宋体"/>
          <w:szCs w:val="21"/>
        </w:rPr>
        <w:softHyphen/>
      </w:r>
      <w:r>
        <w:rPr>
          <w:rFonts w:hint="eastAsia" w:ascii="宋体" w:cs="宋体"/>
          <w:szCs w:val="21"/>
        </w:rPr>
        <w:softHyphen/>
      </w:r>
      <w:r>
        <w:rPr>
          <w:rFonts w:hint="eastAsia" w:ascii="宋体" w:cs="宋体"/>
          <w:szCs w:val="21"/>
        </w:rPr>
        <w:softHyphen/>
      </w:r>
      <w:r>
        <w:rPr>
          <w:rFonts w:hint="eastAsia" w:ascii="宋体" w:cs="宋体"/>
          <w:szCs w:val="21"/>
        </w:rPr>
        <w:softHyphen/>
      </w:r>
      <w:r>
        <w:rPr>
          <w:rFonts w:hint="eastAsia" w:ascii="宋体" w:cs="宋体"/>
          <w:szCs w:val="21"/>
        </w:rPr>
        <w:softHyphen/>
      </w:r>
      <w:r>
        <w:rPr>
          <w:rFonts w:hint="eastAsia" w:ascii="宋体" w:cs="宋体"/>
          <w:szCs w:val="21"/>
        </w:rPr>
        <w:softHyphen/>
      </w:r>
      <w:r>
        <w:rPr>
          <w:rFonts w:hint="eastAsia" w:ascii="宋体" w:cs="宋体"/>
          <w:szCs w:val="21"/>
        </w:rPr>
        <w:softHyphen/>
      </w:r>
      <w:r>
        <w:rPr>
          <w:rFonts w:hint="eastAsia" w:ascii="宋体" w:cs="宋体"/>
          <w:szCs w:val="21"/>
        </w:rPr>
        <w:softHyphen/>
      </w:r>
      <w:r>
        <w:rPr>
          <w:rFonts w:hint="eastAsia" w:ascii="宋体" w:cs="宋体"/>
          <w:szCs w:val="21"/>
        </w:rPr>
        <w:softHyphen/>
      </w:r>
      <w:r>
        <w:rPr>
          <w:rFonts w:hint="eastAsia" w:ascii="宋体" w:cs="宋体"/>
          <w:szCs w:val="21"/>
        </w:rPr>
        <w:t>__________________（发包人名称）：</w:t>
      </w:r>
    </w:p>
    <w:p>
      <w:pPr>
        <w:spacing w:line="420" w:lineRule="exact"/>
        <w:jc w:val="left"/>
        <w:rPr>
          <w:rFonts w:ascii="宋体" w:cs="宋体"/>
          <w:szCs w:val="21"/>
        </w:rPr>
      </w:pPr>
      <w:r>
        <w:rPr>
          <w:rFonts w:hint="eastAsia" w:ascii="宋体" w:cs="宋体"/>
          <w:szCs w:val="21"/>
        </w:rPr>
        <w:t>本竞包人___________（竞包人名称）郑重承诺：</w:t>
      </w:r>
    </w:p>
    <w:p>
      <w:pPr>
        <w:spacing w:line="420" w:lineRule="exact"/>
        <w:jc w:val="left"/>
        <w:rPr>
          <w:rFonts w:ascii="宋体" w:cs="宋体"/>
          <w:szCs w:val="21"/>
        </w:rPr>
      </w:pPr>
      <w:r>
        <w:rPr>
          <w:rFonts w:ascii="宋体" w:cs="宋体"/>
          <w:szCs w:val="21"/>
        </w:rPr>
        <w:t>1</w:t>
      </w:r>
      <w:r>
        <w:rPr>
          <w:rFonts w:hint="eastAsia" w:ascii="宋体" w:cs="宋体"/>
          <w:szCs w:val="21"/>
        </w:rPr>
        <w:t>、拟派本发包项目______________（发包项目名称）_________（标段名称）的项目法人代表____________（姓名）“无欠薪”承诺。</w:t>
      </w:r>
    </w:p>
    <w:p>
      <w:r>
        <w:rPr>
          <w:rFonts w:ascii="宋体" w:cs="宋体"/>
          <w:szCs w:val="21"/>
        </w:rPr>
        <w:t>2</w:t>
      </w:r>
      <w:r>
        <w:rPr>
          <w:rFonts w:hint="eastAsia" w:ascii="宋体" w:cs="宋体"/>
          <w:szCs w:val="21"/>
        </w:rPr>
        <w:t>、本竞包人实行全员实名制管理，</w:t>
      </w:r>
      <w:r>
        <w:rPr>
          <w:rFonts w:hint="eastAsia"/>
        </w:rPr>
        <w:t>建立农民工工资专用账户，实行银行按月代发工资制度并且发包人有监督的权利。如本项目未按规定兑现，发包人不需经本标竞包人同意确认有权直接从工程款中扣除该费用，用于直接支付民工工资，并扣罚双倍的费用。</w:t>
      </w:r>
    </w:p>
    <w:p>
      <w:pPr>
        <w:spacing w:line="420" w:lineRule="exact"/>
        <w:jc w:val="left"/>
        <w:rPr>
          <w:rFonts w:ascii="宋体" w:cs="宋体"/>
          <w:szCs w:val="21"/>
        </w:rPr>
      </w:pPr>
      <w:r>
        <w:rPr>
          <w:rFonts w:hint="eastAsia" w:ascii="宋体" w:cs="宋体"/>
          <w:szCs w:val="21"/>
        </w:rPr>
        <w:t>3、本竞包人提供的资料保证真实。</w:t>
      </w:r>
    </w:p>
    <w:p>
      <w:pPr>
        <w:spacing w:line="420" w:lineRule="exact"/>
        <w:jc w:val="left"/>
        <w:rPr>
          <w:rFonts w:ascii="宋体" w:cs="宋体"/>
          <w:szCs w:val="21"/>
        </w:rPr>
      </w:pPr>
      <w:r>
        <w:rPr>
          <w:rFonts w:hint="eastAsia" w:ascii="宋体" w:cs="宋体"/>
          <w:szCs w:val="21"/>
        </w:rPr>
        <w:t>以上情况如有不实，愿意被取消承包资格并上报行政主管部门，由行政主管部门列入不良行为记录，并</w:t>
      </w:r>
      <w:r>
        <w:rPr>
          <w:rFonts w:hint="eastAsia"/>
        </w:rPr>
        <w:t>没收竞包保证金</w:t>
      </w:r>
      <w:r>
        <w:rPr>
          <w:rFonts w:hint="eastAsia" w:ascii="宋体" w:cs="宋体"/>
          <w:szCs w:val="21"/>
        </w:rPr>
        <w:t>。</w:t>
      </w:r>
    </w:p>
    <w:p>
      <w:pPr>
        <w:spacing w:line="420" w:lineRule="exact"/>
        <w:jc w:val="left"/>
        <w:rPr>
          <w:rFonts w:ascii="宋体" w:cs="宋体"/>
          <w:szCs w:val="21"/>
        </w:rPr>
      </w:pPr>
      <w:r>
        <w:rPr>
          <w:rFonts w:hint="eastAsia" w:ascii="宋体" w:cs="宋体"/>
          <w:szCs w:val="21"/>
        </w:rPr>
        <w:t>附：项目法人身份证复印件</w:t>
      </w:r>
    </w:p>
    <w:tbl>
      <w:tblPr>
        <w:tblStyle w:val="24"/>
        <w:tblW w:w="900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5" w:hRule="atLeast"/>
        </w:trPr>
        <w:tc>
          <w:tcPr>
            <w:tcW w:w="9004" w:type="dxa"/>
          </w:tcPr>
          <w:p>
            <w:pPr>
              <w:spacing w:line="600" w:lineRule="auto"/>
              <w:jc w:val="center"/>
              <w:rPr>
                <w:rFonts w:ascii="宋体" w:cs="宋体"/>
                <w:kern w:val="2"/>
                <w:szCs w:val="24"/>
              </w:rPr>
            </w:pPr>
          </w:p>
          <w:p>
            <w:pPr>
              <w:spacing w:line="600" w:lineRule="auto"/>
              <w:jc w:val="center"/>
              <w:rPr>
                <w:rFonts w:ascii="宋体" w:cs="宋体"/>
                <w:kern w:val="2"/>
                <w:szCs w:val="24"/>
              </w:rPr>
            </w:pPr>
          </w:p>
          <w:p>
            <w:pPr>
              <w:spacing w:line="600" w:lineRule="auto"/>
              <w:jc w:val="center"/>
              <w:rPr>
                <w:rFonts w:ascii="宋体" w:cs="宋体"/>
                <w:kern w:val="2"/>
                <w:szCs w:val="24"/>
              </w:rPr>
            </w:pPr>
          </w:p>
          <w:p>
            <w:pPr>
              <w:spacing w:line="600" w:lineRule="auto"/>
              <w:jc w:val="center"/>
              <w:rPr>
                <w:rFonts w:ascii="宋体" w:cs="宋体"/>
                <w:kern w:val="2"/>
                <w:szCs w:val="24"/>
              </w:rPr>
            </w:pPr>
            <w:r>
              <w:rPr>
                <w:rFonts w:hint="eastAsia" w:ascii="宋体" w:cs="宋体"/>
                <w:kern w:val="2"/>
                <w:szCs w:val="21"/>
              </w:rPr>
              <w:t>项目法</w:t>
            </w:r>
            <w:r>
              <w:rPr>
                <w:rFonts w:hint="eastAsia" w:ascii="宋体" w:cs="宋体"/>
                <w:kern w:val="2"/>
                <w:szCs w:val="24"/>
              </w:rPr>
              <w:t>人身份证（正、反面）复印件粘贴处</w:t>
            </w:r>
          </w:p>
        </w:tc>
      </w:tr>
    </w:tbl>
    <w:p>
      <w:pPr>
        <w:spacing w:line="600" w:lineRule="auto"/>
        <w:rPr>
          <w:rFonts w:ascii="宋体" w:cs="宋体"/>
          <w:szCs w:val="24"/>
        </w:rPr>
      </w:pPr>
    </w:p>
    <w:p>
      <w:pPr>
        <w:jc w:val="right"/>
        <w:rPr>
          <w:rFonts w:ascii="宋体" w:cs="宋体"/>
          <w:szCs w:val="21"/>
        </w:rPr>
      </w:pPr>
      <w:r>
        <w:rPr>
          <w:rFonts w:hint="eastAsia" w:ascii="宋体" w:cs="宋体"/>
          <w:szCs w:val="21"/>
        </w:rPr>
        <w:t>竞包人：_______________（盖单位章）</w:t>
      </w:r>
    </w:p>
    <w:p>
      <w:pPr>
        <w:jc w:val="right"/>
        <w:rPr>
          <w:rFonts w:ascii="宋体" w:cs="宋体"/>
          <w:szCs w:val="21"/>
        </w:rPr>
      </w:pPr>
    </w:p>
    <w:p>
      <w:pPr>
        <w:jc w:val="right"/>
        <w:rPr>
          <w:rFonts w:ascii="宋体" w:cs="宋体"/>
          <w:szCs w:val="21"/>
        </w:rPr>
      </w:pPr>
      <w:r>
        <w:rPr>
          <w:rFonts w:hint="eastAsia" w:ascii="宋体" w:cs="宋体"/>
          <w:szCs w:val="21"/>
        </w:rPr>
        <w:t>年   月    日</w:t>
      </w:r>
    </w:p>
    <w:p>
      <w:pPr>
        <w:spacing w:line="600" w:lineRule="auto"/>
        <w:jc w:val="center"/>
        <w:rPr>
          <w:b/>
          <w:snapToGrid w:val="0"/>
          <w:sz w:val="44"/>
          <w:szCs w:val="44"/>
        </w:rPr>
      </w:pPr>
    </w:p>
    <w:p>
      <w:pPr>
        <w:spacing w:line="600" w:lineRule="auto"/>
        <w:rPr>
          <w:b/>
          <w:snapToGrid w:val="0"/>
          <w:sz w:val="44"/>
          <w:szCs w:val="44"/>
        </w:rPr>
      </w:pPr>
    </w:p>
    <w:p>
      <w:pPr>
        <w:spacing w:line="600" w:lineRule="auto"/>
        <w:rPr>
          <w:b/>
          <w:snapToGrid w:val="0"/>
          <w:sz w:val="44"/>
          <w:szCs w:val="44"/>
        </w:rPr>
      </w:pPr>
    </w:p>
    <w:p>
      <w:pPr>
        <w:numPr>
          <w:ilvl w:val="0"/>
          <w:numId w:val="12"/>
        </w:numPr>
        <w:snapToGrid w:val="0"/>
        <w:spacing w:before="100" w:beforeAutospacing="1" w:after="100" w:afterAutospacing="1" w:line="460" w:lineRule="exact"/>
        <w:jc w:val="center"/>
        <w:rPr>
          <w:rFonts w:ascii="宋体" w:hAnsi="宋体"/>
          <w:b/>
          <w:snapToGrid w:val="0"/>
          <w:sz w:val="28"/>
          <w:szCs w:val="28"/>
        </w:rPr>
      </w:pPr>
      <w:r>
        <w:rPr>
          <w:rFonts w:hint="eastAsia" w:ascii="宋体" w:hAnsi="宋体"/>
          <w:b/>
          <w:snapToGrid w:val="0"/>
          <w:sz w:val="28"/>
          <w:szCs w:val="28"/>
        </w:rPr>
        <w:t>湖州市政府投资建设项目竞包人</w:t>
      </w:r>
    </w:p>
    <w:p>
      <w:pPr>
        <w:snapToGrid w:val="0"/>
        <w:spacing w:before="100" w:beforeAutospacing="1" w:after="100" w:afterAutospacing="1" w:line="460" w:lineRule="exact"/>
        <w:ind w:firstLine="3373" w:firstLineChars="1200"/>
        <w:rPr>
          <w:rFonts w:ascii="方正小标宋简体" w:hAnsi="Times New Roman" w:eastAsia="方正小标宋简体"/>
          <w:spacing w:val="40"/>
          <w:sz w:val="44"/>
          <w:szCs w:val="44"/>
        </w:rPr>
      </w:pPr>
      <w:r>
        <w:rPr>
          <w:rFonts w:hint="eastAsia" w:ascii="宋体" w:hAnsi="宋体"/>
          <w:b/>
          <w:snapToGrid w:val="0"/>
          <w:sz w:val="28"/>
          <w:szCs w:val="28"/>
        </w:rPr>
        <w:t>廉洁守信承诺书</w:t>
      </w:r>
    </w:p>
    <w:p>
      <w:pPr>
        <w:ind w:firstLine="480" w:firstLineChars="200"/>
      </w:pPr>
      <w:r>
        <w:rPr>
          <w:rFonts w:hint="eastAsia"/>
        </w:rPr>
        <w:t>本公司决定参加</w:t>
      </w:r>
      <w:r>
        <w:rPr>
          <w:rFonts w:hint="eastAsia"/>
          <w:u w:val="single"/>
        </w:rPr>
        <w:t xml:space="preserve">  　                       </w:t>
      </w:r>
      <w:r>
        <w:rPr>
          <w:rFonts w:hint="eastAsia"/>
        </w:rPr>
        <w:t>项目竞包。为维护公平竞争的市场秩序，促进企业廉洁从业、诚实守信，特承诺如下：</w:t>
      </w:r>
    </w:p>
    <w:p>
      <w:r>
        <w:rPr>
          <w:rFonts w:hint="eastAsia"/>
        </w:rPr>
        <w:t>一、严格遵守《湖州市限额以下工程建设项目发包办法》等法律法规，决不发生以下行为：</w:t>
      </w:r>
    </w:p>
    <w:p>
      <w:r>
        <w:rPr>
          <w:rFonts w:hint="eastAsia"/>
        </w:rPr>
        <w:t>1.以他人名义竞包，允许其他单位或个人使用本单位资质竞包；</w:t>
      </w:r>
    </w:p>
    <w:p>
      <w:r>
        <w:rPr>
          <w:rFonts w:hint="eastAsia"/>
        </w:rPr>
        <w:t>2.提供虚假材料，或以其他方式弄虚作假骗取承包；</w:t>
      </w:r>
    </w:p>
    <w:p>
      <w:r>
        <w:rPr>
          <w:rFonts w:hint="eastAsia"/>
        </w:rPr>
        <w:t>3.与发包人或者其他竞包人相互串通竞包；</w:t>
      </w:r>
    </w:p>
    <w:p>
      <w:r>
        <w:rPr>
          <w:rFonts w:hint="eastAsia"/>
        </w:rPr>
        <w:t>4.承包后将项目转包，或违法分包；</w:t>
      </w:r>
    </w:p>
    <w:p>
      <w:r>
        <w:rPr>
          <w:rFonts w:hint="eastAsia"/>
        </w:rPr>
        <w:t>5.承包后与发包人签订背离竞包文件及合同实质性内容的私下协议；</w:t>
      </w:r>
    </w:p>
    <w:p>
      <w:r>
        <w:rPr>
          <w:rFonts w:hint="eastAsia"/>
        </w:rPr>
        <w:t>6.其他违反发包竞包、政府采购等法律法规的行为。</w:t>
      </w:r>
    </w:p>
    <w:p>
      <w:r>
        <w:rPr>
          <w:rFonts w:hint="eastAsia"/>
        </w:rPr>
        <w:t>二、不以任何理由给予建设单位、主管部门、相关单位及其工作人员、专家评委以下好处：</w:t>
      </w:r>
    </w:p>
    <w:p>
      <w:r>
        <w:rPr>
          <w:rFonts w:hint="eastAsia"/>
        </w:rPr>
        <w:t>1.赠送礼金、有价证券、贵重物品，或给予回扣、感谢费、劳务费等各种名目的经费；</w:t>
      </w:r>
    </w:p>
    <w:p>
      <w:r>
        <w:rPr>
          <w:rFonts w:hint="eastAsia"/>
        </w:rPr>
        <w:t>2.报销应由上述单位或个人支付的费用；</w:t>
      </w:r>
    </w:p>
    <w:p>
      <w:r>
        <w:rPr>
          <w:rFonts w:hint="eastAsia"/>
        </w:rPr>
        <w:t>3.赠送或提供通讯工具、交通工具和高档办公用品等；</w:t>
      </w:r>
    </w:p>
    <w:p>
      <w:r>
        <w:rPr>
          <w:rFonts w:hint="eastAsia"/>
        </w:rPr>
        <w:t>4.提供宴请、健身、旅游、娱乐等高消费活动；</w:t>
      </w:r>
    </w:p>
    <w:p>
      <w:r>
        <w:rPr>
          <w:rFonts w:hint="eastAsia"/>
        </w:rPr>
        <w:t>5.无偿或明显低于市场价装修住房。</w:t>
      </w:r>
    </w:p>
    <w:p>
      <w:r>
        <w:rPr>
          <w:rFonts w:hint="eastAsia"/>
        </w:rPr>
        <w:t>三、不以任何理由为建设单位、主管部门、相关单位的工作人员及其配偶、子女等亲属的工作安排以及出国（境）等提供方便。</w:t>
      </w:r>
    </w:p>
    <w:p>
      <w:r>
        <w:rPr>
          <w:rFonts w:hint="eastAsia"/>
        </w:rPr>
        <w:t>四、自觉接受有关部门和派驻廉政监察组等机构的监督，积极配合建设单位开展廉政文化进工程工作，加强廉洁从业环境宣传、项目管理制度建设，多种形式开展廉洁教育。</w:t>
      </w:r>
    </w:p>
    <w:p>
      <w:r>
        <w:rPr>
          <w:rFonts w:hint="eastAsia"/>
        </w:rPr>
        <w:t>上述承诺如有违反，愿接受录入诚信档案的处理，构成违纪违法的，由相关部门依纪依法作出处理。</w:t>
      </w:r>
    </w:p>
    <w:p>
      <w:r>
        <w:rPr>
          <w:rFonts w:hint="eastAsia"/>
        </w:rPr>
        <w:t>五、本公司自愿将此承诺书在信用湖州网站进行公示。</w:t>
      </w:r>
    </w:p>
    <w:p>
      <w:r>
        <w:rPr>
          <w:rFonts w:hint="eastAsia"/>
        </w:rPr>
        <w:t>　　　　　　</w:t>
      </w:r>
    </w:p>
    <w:p/>
    <w:p>
      <w:pPr>
        <w:rPr>
          <w:u w:val="single"/>
        </w:rPr>
      </w:pPr>
      <w:r>
        <w:rPr>
          <w:rFonts w:hint="eastAsia"/>
        </w:rPr>
        <w:t>　    法定代表人（签字或盖章）：</w:t>
      </w:r>
    </w:p>
    <w:p>
      <w:pPr>
        <w:ind w:firstLine="720" w:firstLineChars="300"/>
      </w:pPr>
      <w:r>
        <w:rPr>
          <w:rFonts w:hint="eastAsia"/>
        </w:rPr>
        <w:t>承诺单位（公章）：</w:t>
      </w:r>
    </w:p>
    <w:p>
      <w:pPr>
        <w:rPr>
          <w:u w:val="single"/>
        </w:rPr>
      </w:pPr>
      <w:r>
        <w:rPr>
          <w:rFonts w:hint="eastAsia"/>
        </w:rPr>
        <w:t>　　  承诺日期：</w:t>
      </w:r>
    </w:p>
    <w:p>
      <w:pPr>
        <w:rPr>
          <w:u w:val="single"/>
        </w:rPr>
      </w:pPr>
    </w:p>
    <w:p>
      <w:pPr>
        <w:spacing w:line="600" w:lineRule="auto"/>
        <w:rPr>
          <w:b/>
          <w:snapToGrid w:val="0"/>
          <w:sz w:val="44"/>
          <w:szCs w:val="44"/>
        </w:rPr>
      </w:pPr>
    </w:p>
    <w:p>
      <w:pPr>
        <w:spacing w:line="600" w:lineRule="auto"/>
        <w:rPr>
          <w:b/>
          <w:snapToGrid w:val="0"/>
          <w:sz w:val="44"/>
          <w:szCs w:val="44"/>
        </w:rPr>
      </w:pPr>
    </w:p>
    <w:p>
      <w:pPr>
        <w:pStyle w:val="5"/>
        <w:jc w:val="center"/>
        <w:rPr>
          <w:bCs/>
          <w:sz w:val="32"/>
          <w:szCs w:val="32"/>
        </w:rPr>
      </w:pPr>
      <w:bookmarkStart w:id="800" w:name="_Toc21433"/>
      <w:r>
        <w:rPr>
          <w:rFonts w:hint="eastAsia"/>
        </w:rPr>
        <w:t>商务文件</w:t>
      </w:r>
      <w:r>
        <w:t>目录</w:t>
      </w:r>
      <w:bookmarkEnd w:id="800"/>
    </w:p>
    <w:p>
      <w:pPr>
        <w:spacing w:line="360" w:lineRule="auto"/>
        <w:ind w:firstLine="480" w:firstLineChars="200"/>
        <w:rPr>
          <w:snapToGrid w:val="0"/>
          <w:szCs w:val="21"/>
        </w:rPr>
      </w:pPr>
    </w:p>
    <w:p>
      <w:pPr>
        <w:spacing w:line="700" w:lineRule="exact"/>
        <w:ind w:firstLine="480" w:firstLineChars="200"/>
        <w:rPr>
          <w:snapToGrid w:val="0"/>
          <w:szCs w:val="21"/>
        </w:rPr>
      </w:pPr>
      <w:r>
        <w:rPr>
          <w:snapToGrid w:val="0"/>
          <w:szCs w:val="21"/>
        </w:rPr>
        <w:t>一、</w:t>
      </w:r>
      <w:r>
        <w:rPr>
          <w:rFonts w:hint="eastAsia"/>
          <w:snapToGrid w:val="0"/>
          <w:szCs w:val="21"/>
        </w:rPr>
        <w:t>竞包函</w:t>
      </w:r>
    </w:p>
    <w:p>
      <w:pPr>
        <w:spacing w:line="700" w:lineRule="exact"/>
        <w:ind w:firstLine="480" w:firstLineChars="200"/>
        <w:rPr>
          <w:snapToGrid w:val="0"/>
          <w:szCs w:val="21"/>
        </w:rPr>
      </w:pPr>
      <w:r>
        <w:rPr>
          <w:snapToGrid w:val="0"/>
          <w:szCs w:val="21"/>
        </w:rPr>
        <w:t>二、</w:t>
      </w:r>
      <w:r>
        <w:rPr>
          <w:rFonts w:hint="eastAsia"/>
          <w:snapToGrid w:val="0"/>
          <w:szCs w:val="21"/>
        </w:rPr>
        <w:t>已标价的工程量清单</w:t>
      </w:r>
    </w:p>
    <w:p>
      <w:pPr>
        <w:spacing w:line="700" w:lineRule="exact"/>
        <w:ind w:firstLine="480" w:firstLineChars="200"/>
        <w:rPr>
          <w:snapToGrid w:val="0"/>
          <w:szCs w:val="21"/>
        </w:rPr>
      </w:pPr>
      <w:r>
        <w:rPr>
          <w:snapToGrid w:val="0"/>
          <w:szCs w:val="21"/>
        </w:rPr>
        <w:t>三、</w:t>
      </w:r>
      <w:r>
        <w:rPr>
          <w:rFonts w:hint="eastAsia"/>
          <w:snapToGrid w:val="0"/>
          <w:szCs w:val="21"/>
        </w:rPr>
        <w:t>商务文件</w:t>
      </w:r>
      <w:r>
        <w:rPr>
          <w:snapToGrid w:val="0"/>
          <w:szCs w:val="21"/>
        </w:rPr>
        <w:t>其他材料</w:t>
      </w:r>
    </w:p>
    <w:p>
      <w:pPr>
        <w:tabs>
          <w:tab w:val="left" w:pos="-3216"/>
        </w:tabs>
        <w:spacing w:line="500" w:lineRule="exact"/>
        <w:rPr>
          <w:snapToGrid w:val="0"/>
        </w:rPr>
      </w:pPr>
    </w:p>
    <w:p>
      <w:pPr>
        <w:tabs>
          <w:tab w:val="left" w:pos="-3216"/>
        </w:tabs>
        <w:spacing w:line="360" w:lineRule="auto"/>
        <w:rPr>
          <w:snapToGrid w:val="0"/>
        </w:rPr>
      </w:pPr>
    </w:p>
    <w:p>
      <w:pPr>
        <w:tabs>
          <w:tab w:val="left" w:pos="-3216"/>
        </w:tabs>
        <w:spacing w:line="360" w:lineRule="auto"/>
        <w:rPr>
          <w:snapToGrid w:val="0"/>
        </w:rPr>
      </w:pPr>
    </w:p>
    <w:p>
      <w:pPr>
        <w:pStyle w:val="6"/>
        <w:spacing w:line="360" w:lineRule="auto"/>
        <w:jc w:val="center"/>
        <w:rPr>
          <w:snapToGrid w:val="0"/>
          <w:sz w:val="30"/>
          <w:szCs w:val="30"/>
        </w:rPr>
      </w:pPr>
      <w:r>
        <w:rPr>
          <w:snapToGrid w:val="0"/>
          <w:sz w:val="30"/>
          <w:szCs w:val="30"/>
        </w:rPr>
        <w:br w:type="page"/>
      </w:r>
      <w:bookmarkStart w:id="801" w:name="_Toc336325405"/>
      <w:bookmarkStart w:id="802" w:name="_Toc259802277"/>
      <w:bookmarkStart w:id="803" w:name="_Toc31444"/>
      <w:bookmarkStart w:id="804" w:name="_Toc217457096"/>
      <w:r>
        <w:rPr>
          <w:snapToGrid w:val="0"/>
          <w:sz w:val="30"/>
          <w:szCs w:val="30"/>
        </w:rPr>
        <w:t>一、</w:t>
      </w:r>
      <w:r>
        <w:rPr>
          <w:rFonts w:hint="eastAsia"/>
          <w:snapToGrid w:val="0"/>
          <w:sz w:val="30"/>
          <w:szCs w:val="30"/>
        </w:rPr>
        <w:t>竞包</w:t>
      </w:r>
      <w:r>
        <w:rPr>
          <w:snapToGrid w:val="0"/>
          <w:sz w:val="30"/>
          <w:szCs w:val="30"/>
        </w:rPr>
        <w:t>函</w:t>
      </w:r>
      <w:bookmarkEnd w:id="801"/>
      <w:bookmarkEnd w:id="802"/>
      <w:bookmarkEnd w:id="803"/>
    </w:p>
    <w:p>
      <w:pPr>
        <w:numPr>
          <w:ilvl w:val="0"/>
          <w:numId w:val="13"/>
        </w:numPr>
        <w:spacing w:line="360" w:lineRule="auto"/>
        <w:ind w:firstLine="480" w:firstLineChars="200"/>
        <w:rPr>
          <w:snapToGrid w:val="0"/>
          <w:szCs w:val="24"/>
        </w:rPr>
      </w:pPr>
      <w:r>
        <w:rPr>
          <w:rFonts w:hint="eastAsia"/>
          <w:snapToGrid w:val="0"/>
          <w:szCs w:val="24"/>
        </w:rPr>
        <w:t>竞包</w:t>
      </w:r>
      <w:r>
        <w:rPr>
          <w:snapToGrid w:val="0"/>
          <w:szCs w:val="24"/>
        </w:rPr>
        <w:t>函</w:t>
      </w:r>
    </w:p>
    <w:p>
      <w:pPr>
        <w:spacing w:line="360" w:lineRule="auto"/>
        <w:rPr>
          <w:snapToGrid w:val="0"/>
          <w:szCs w:val="24"/>
          <w:u w:val="single"/>
        </w:rPr>
      </w:pPr>
      <w:r>
        <w:rPr>
          <w:rFonts w:hint="eastAsia"/>
          <w:snapToGrid w:val="0"/>
          <w:szCs w:val="24"/>
        </w:rPr>
        <w:t>___________________</w:t>
      </w:r>
      <w:r>
        <w:rPr>
          <w:snapToGrid w:val="0"/>
          <w:szCs w:val="24"/>
        </w:rPr>
        <w:t>（</w:t>
      </w:r>
      <w:r>
        <w:rPr>
          <w:rFonts w:hint="eastAsia"/>
          <w:snapToGrid w:val="0"/>
          <w:szCs w:val="24"/>
        </w:rPr>
        <w:t>发包人</w:t>
      </w:r>
      <w:r>
        <w:rPr>
          <w:snapToGrid w:val="0"/>
          <w:szCs w:val="24"/>
        </w:rPr>
        <w:t xml:space="preserve">名称）: </w:t>
      </w:r>
    </w:p>
    <w:p>
      <w:pPr>
        <w:spacing w:line="360" w:lineRule="auto"/>
        <w:ind w:firstLine="480" w:firstLineChars="200"/>
        <w:rPr>
          <w:snapToGrid w:val="0"/>
          <w:szCs w:val="24"/>
        </w:rPr>
      </w:pPr>
      <w:r>
        <w:rPr>
          <w:snapToGrid w:val="0"/>
          <w:szCs w:val="24"/>
        </w:rPr>
        <w:t>1．我方已仔细研究了</w:t>
      </w:r>
      <w:r>
        <w:rPr>
          <w:rFonts w:hint="eastAsia"/>
          <w:snapToGrid w:val="0"/>
          <w:szCs w:val="24"/>
        </w:rPr>
        <w:t>________________</w:t>
      </w:r>
      <w:r>
        <w:rPr>
          <w:snapToGrid w:val="0"/>
          <w:szCs w:val="24"/>
        </w:rPr>
        <w:t>（项目名称）</w:t>
      </w:r>
      <w:r>
        <w:rPr>
          <w:rFonts w:hint="eastAsia"/>
          <w:snapToGrid w:val="0"/>
          <w:szCs w:val="24"/>
        </w:rPr>
        <w:t>_________</w:t>
      </w:r>
      <w:r>
        <w:rPr>
          <w:snapToGrid w:val="0"/>
          <w:szCs w:val="24"/>
        </w:rPr>
        <w:t>（标段名称）</w:t>
      </w:r>
      <w:r>
        <w:rPr>
          <w:rFonts w:hint="eastAsia"/>
          <w:snapToGrid w:val="0"/>
          <w:szCs w:val="24"/>
        </w:rPr>
        <w:t>发包文件</w:t>
      </w:r>
      <w:r>
        <w:rPr>
          <w:snapToGrid w:val="0"/>
          <w:szCs w:val="24"/>
        </w:rPr>
        <w:t>的全部内容，愿意以人民币（大写）</w:t>
      </w:r>
      <w:r>
        <w:rPr>
          <w:rFonts w:hint="eastAsia"/>
          <w:snapToGrid w:val="0"/>
          <w:szCs w:val="24"/>
        </w:rPr>
        <w:t xml:space="preserve"> _______</w:t>
      </w:r>
      <w:r>
        <w:rPr>
          <w:snapToGrid w:val="0"/>
          <w:szCs w:val="24"/>
        </w:rPr>
        <w:t>元（￥</w:t>
      </w:r>
      <w:r>
        <w:rPr>
          <w:rFonts w:hint="eastAsia"/>
          <w:snapToGrid w:val="0"/>
          <w:szCs w:val="24"/>
        </w:rPr>
        <w:t>______</w:t>
      </w:r>
      <w:r>
        <w:rPr>
          <w:snapToGrid w:val="0"/>
          <w:szCs w:val="24"/>
        </w:rPr>
        <w:t>元）的</w:t>
      </w:r>
      <w:r>
        <w:rPr>
          <w:rFonts w:hint="eastAsia"/>
          <w:snapToGrid w:val="0"/>
          <w:szCs w:val="24"/>
        </w:rPr>
        <w:t>竞包综合</w:t>
      </w:r>
      <w:r>
        <w:rPr>
          <w:snapToGrid w:val="0"/>
          <w:szCs w:val="24"/>
        </w:rPr>
        <w:t>报价，工期</w:t>
      </w:r>
      <w:r>
        <w:rPr>
          <w:rFonts w:hint="eastAsia"/>
          <w:snapToGrid w:val="0"/>
          <w:szCs w:val="24"/>
        </w:rPr>
        <w:t>____</w:t>
      </w:r>
      <w:r>
        <w:rPr>
          <w:snapToGrid w:val="0"/>
          <w:szCs w:val="24"/>
        </w:rPr>
        <w:t>日历天，</w:t>
      </w:r>
      <w:r>
        <w:rPr>
          <w:rFonts w:hint="eastAsia"/>
          <w:snapToGrid w:val="0"/>
          <w:szCs w:val="24"/>
        </w:rPr>
        <w:t>拟派__________为本项目负责人，</w:t>
      </w:r>
      <w:r>
        <w:rPr>
          <w:snapToGrid w:val="0"/>
          <w:szCs w:val="24"/>
        </w:rPr>
        <w:t>按合同约定实施和完成承包工程，修补工程中的任何缺陷，工程质量达到</w:t>
      </w:r>
      <w:r>
        <w:rPr>
          <w:rFonts w:hint="eastAsia"/>
          <w:snapToGrid w:val="0"/>
          <w:szCs w:val="24"/>
        </w:rPr>
        <w:t>_______</w:t>
      </w:r>
      <w:r>
        <w:rPr>
          <w:snapToGrid w:val="0"/>
          <w:szCs w:val="24"/>
        </w:rPr>
        <w:t>。</w:t>
      </w:r>
    </w:p>
    <w:p>
      <w:pPr>
        <w:spacing w:line="360" w:lineRule="auto"/>
        <w:ind w:firstLine="480" w:firstLineChars="200"/>
        <w:rPr>
          <w:snapToGrid w:val="0"/>
          <w:szCs w:val="24"/>
        </w:rPr>
      </w:pPr>
      <w:r>
        <w:rPr>
          <w:snapToGrid w:val="0"/>
          <w:szCs w:val="24"/>
        </w:rPr>
        <w:t>2．我方承诺在</w:t>
      </w:r>
      <w:r>
        <w:rPr>
          <w:rFonts w:hint="eastAsia"/>
          <w:snapToGrid w:val="0"/>
          <w:szCs w:val="24"/>
        </w:rPr>
        <w:t>竞包</w:t>
      </w:r>
      <w:r>
        <w:rPr>
          <w:snapToGrid w:val="0"/>
          <w:szCs w:val="24"/>
        </w:rPr>
        <w:t>有效期内不补充、修改、替代或者撤回本</w:t>
      </w:r>
      <w:r>
        <w:rPr>
          <w:rFonts w:hint="eastAsia"/>
          <w:snapToGrid w:val="0"/>
          <w:szCs w:val="24"/>
        </w:rPr>
        <w:t>竞包文件</w:t>
      </w:r>
      <w:r>
        <w:rPr>
          <w:snapToGrid w:val="0"/>
          <w:szCs w:val="24"/>
        </w:rPr>
        <w:t>。</w:t>
      </w:r>
    </w:p>
    <w:p>
      <w:pPr>
        <w:spacing w:line="360" w:lineRule="auto"/>
        <w:ind w:firstLine="480" w:firstLineChars="200"/>
        <w:rPr>
          <w:snapToGrid w:val="0"/>
          <w:szCs w:val="24"/>
        </w:rPr>
      </w:pPr>
      <w:r>
        <w:rPr>
          <w:snapToGrid w:val="0"/>
          <w:szCs w:val="24"/>
        </w:rPr>
        <w:t>3．随同本</w:t>
      </w:r>
      <w:r>
        <w:rPr>
          <w:rFonts w:hint="eastAsia"/>
          <w:snapToGrid w:val="0"/>
          <w:szCs w:val="24"/>
        </w:rPr>
        <w:t>竞包</w:t>
      </w:r>
      <w:r>
        <w:rPr>
          <w:snapToGrid w:val="0"/>
          <w:szCs w:val="24"/>
        </w:rPr>
        <w:t>函递交</w:t>
      </w:r>
      <w:r>
        <w:rPr>
          <w:rFonts w:hint="eastAsia"/>
          <w:snapToGrid w:val="0"/>
          <w:szCs w:val="24"/>
        </w:rPr>
        <w:t>竞包保证金</w:t>
      </w:r>
      <w:r>
        <w:rPr>
          <w:snapToGrid w:val="0"/>
          <w:szCs w:val="24"/>
        </w:rPr>
        <w:t>一份，金额为人民币（大写）</w:t>
      </w:r>
      <w:r>
        <w:rPr>
          <w:rFonts w:hint="eastAsia"/>
          <w:snapToGrid w:val="0"/>
          <w:szCs w:val="24"/>
        </w:rPr>
        <w:t>_______</w:t>
      </w:r>
      <w:r>
        <w:rPr>
          <w:snapToGrid w:val="0"/>
          <w:szCs w:val="24"/>
        </w:rPr>
        <w:t>元（￥</w:t>
      </w:r>
      <w:r>
        <w:rPr>
          <w:rFonts w:hint="eastAsia"/>
          <w:snapToGrid w:val="0"/>
          <w:szCs w:val="24"/>
        </w:rPr>
        <w:t>___</w:t>
      </w:r>
      <w:r>
        <w:rPr>
          <w:snapToGrid w:val="0"/>
          <w:szCs w:val="24"/>
        </w:rPr>
        <w:t>元）。</w:t>
      </w:r>
    </w:p>
    <w:p>
      <w:pPr>
        <w:spacing w:line="500" w:lineRule="exact"/>
        <w:ind w:firstLine="480" w:firstLineChars="200"/>
        <w:rPr>
          <w:snapToGrid w:val="0"/>
          <w:szCs w:val="24"/>
        </w:rPr>
      </w:pPr>
      <w:r>
        <w:rPr>
          <w:snapToGrid w:val="0"/>
          <w:szCs w:val="24"/>
        </w:rPr>
        <w:t>4．如我方</w:t>
      </w:r>
      <w:r>
        <w:rPr>
          <w:rFonts w:hint="eastAsia"/>
          <w:snapToGrid w:val="0"/>
          <w:szCs w:val="24"/>
        </w:rPr>
        <w:t>承包</w:t>
      </w:r>
      <w:r>
        <w:rPr>
          <w:snapToGrid w:val="0"/>
          <w:szCs w:val="24"/>
        </w:rPr>
        <w:t>：</w:t>
      </w:r>
    </w:p>
    <w:p>
      <w:pPr>
        <w:spacing w:line="500" w:lineRule="exact"/>
        <w:ind w:firstLine="480" w:firstLineChars="200"/>
        <w:rPr>
          <w:snapToGrid w:val="0"/>
          <w:spacing w:val="-8"/>
          <w:szCs w:val="24"/>
        </w:rPr>
      </w:pPr>
      <w:r>
        <w:rPr>
          <w:snapToGrid w:val="0"/>
          <w:szCs w:val="24"/>
        </w:rPr>
        <w:t>(1</w:t>
      </w:r>
      <w:r>
        <w:rPr>
          <w:rFonts w:hint="eastAsia"/>
          <w:snapToGrid w:val="0"/>
          <w:szCs w:val="24"/>
        </w:rPr>
        <w:t xml:space="preserve">) </w:t>
      </w:r>
      <w:r>
        <w:rPr>
          <w:snapToGrid w:val="0"/>
          <w:spacing w:val="-8"/>
          <w:szCs w:val="24"/>
        </w:rPr>
        <w:t>我方承诺在收到</w:t>
      </w:r>
      <w:r>
        <w:rPr>
          <w:rFonts w:hint="eastAsia"/>
          <w:snapToGrid w:val="0"/>
          <w:spacing w:val="-8"/>
          <w:szCs w:val="24"/>
        </w:rPr>
        <w:t>成交通知书</w:t>
      </w:r>
      <w:r>
        <w:rPr>
          <w:snapToGrid w:val="0"/>
          <w:spacing w:val="-8"/>
          <w:szCs w:val="24"/>
        </w:rPr>
        <w:t>后，在</w:t>
      </w:r>
      <w:r>
        <w:rPr>
          <w:rFonts w:hint="eastAsia"/>
          <w:snapToGrid w:val="0"/>
          <w:spacing w:val="-8"/>
          <w:szCs w:val="24"/>
        </w:rPr>
        <w:t>成交通知书</w:t>
      </w:r>
      <w:r>
        <w:rPr>
          <w:snapToGrid w:val="0"/>
          <w:spacing w:val="-8"/>
          <w:szCs w:val="24"/>
        </w:rPr>
        <w:t>规定的期限内与你方签订合同；</w:t>
      </w:r>
    </w:p>
    <w:p>
      <w:pPr>
        <w:spacing w:line="500" w:lineRule="exact"/>
        <w:ind w:firstLine="480" w:firstLineChars="200"/>
        <w:rPr>
          <w:snapToGrid w:val="0"/>
          <w:szCs w:val="24"/>
        </w:rPr>
      </w:pPr>
      <w:r>
        <w:rPr>
          <w:snapToGrid w:val="0"/>
          <w:szCs w:val="24"/>
        </w:rPr>
        <w:t>(</w:t>
      </w:r>
      <w:r>
        <w:rPr>
          <w:rFonts w:hint="eastAsia"/>
          <w:snapToGrid w:val="0"/>
          <w:szCs w:val="24"/>
        </w:rPr>
        <w:t xml:space="preserve">2) </w:t>
      </w:r>
      <w:r>
        <w:rPr>
          <w:snapToGrid w:val="0"/>
          <w:szCs w:val="24"/>
        </w:rPr>
        <w:t>随同本</w:t>
      </w:r>
      <w:r>
        <w:rPr>
          <w:rFonts w:hint="eastAsia"/>
          <w:snapToGrid w:val="0"/>
          <w:szCs w:val="24"/>
        </w:rPr>
        <w:t>竞包</w:t>
      </w:r>
      <w:r>
        <w:rPr>
          <w:snapToGrid w:val="0"/>
          <w:szCs w:val="24"/>
        </w:rPr>
        <w:t>函递交的</w:t>
      </w:r>
      <w:r>
        <w:rPr>
          <w:rFonts w:hint="eastAsia"/>
          <w:snapToGrid w:val="0"/>
          <w:szCs w:val="24"/>
        </w:rPr>
        <w:t>竞包</w:t>
      </w:r>
      <w:r>
        <w:rPr>
          <w:snapToGrid w:val="0"/>
          <w:szCs w:val="24"/>
        </w:rPr>
        <w:t>函附录属于合同文件的组成部分</w:t>
      </w:r>
      <w:r>
        <w:rPr>
          <w:rFonts w:hint="eastAsia"/>
          <w:snapToGrid w:val="0"/>
          <w:szCs w:val="24"/>
        </w:rPr>
        <w:t>；</w:t>
      </w:r>
    </w:p>
    <w:p>
      <w:pPr>
        <w:spacing w:line="500" w:lineRule="exact"/>
        <w:ind w:firstLine="480" w:firstLineChars="200"/>
        <w:rPr>
          <w:snapToGrid w:val="0"/>
          <w:szCs w:val="24"/>
        </w:rPr>
      </w:pPr>
      <w:r>
        <w:rPr>
          <w:snapToGrid w:val="0"/>
          <w:szCs w:val="24"/>
        </w:rPr>
        <w:t>(</w:t>
      </w:r>
      <w:r>
        <w:rPr>
          <w:rFonts w:hint="eastAsia"/>
          <w:snapToGrid w:val="0"/>
          <w:szCs w:val="24"/>
        </w:rPr>
        <w:t xml:space="preserve">3) </w:t>
      </w:r>
      <w:r>
        <w:rPr>
          <w:snapToGrid w:val="0"/>
          <w:szCs w:val="24"/>
        </w:rPr>
        <w:t>我方承诺按照</w:t>
      </w:r>
      <w:r>
        <w:rPr>
          <w:rFonts w:hint="eastAsia"/>
          <w:snapToGrid w:val="0"/>
          <w:szCs w:val="24"/>
        </w:rPr>
        <w:t>发包文件</w:t>
      </w:r>
      <w:r>
        <w:rPr>
          <w:snapToGrid w:val="0"/>
          <w:szCs w:val="24"/>
        </w:rPr>
        <w:t>规定向你方递交履约担保；</w:t>
      </w:r>
    </w:p>
    <w:p>
      <w:pPr>
        <w:spacing w:line="360" w:lineRule="auto"/>
        <w:ind w:firstLine="480" w:firstLineChars="200"/>
        <w:rPr>
          <w:snapToGrid w:val="0"/>
          <w:szCs w:val="24"/>
        </w:rPr>
      </w:pPr>
      <w:r>
        <w:rPr>
          <w:snapToGrid w:val="0"/>
          <w:szCs w:val="24"/>
        </w:rPr>
        <w:t>(</w:t>
      </w:r>
      <w:r>
        <w:rPr>
          <w:rFonts w:hint="eastAsia"/>
          <w:snapToGrid w:val="0"/>
          <w:szCs w:val="24"/>
        </w:rPr>
        <w:t xml:space="preserve">4) </w:t>
      </w:r>
      <w:r>
        <w:rPr>
          <w:snapToGrid w:val="0"/>
          <w:szCs w:val="24"/>
        </w:rPr>
        <w:t>我方承诺按照</w:t>
      </w:r>
      <w:r>
        <w:rPr>
          <w:rFonts w:hint="eastAsia"/>
          <w:snapToGrid w:val="0"/>
          <w:szCs w:val="24"/>
        </w:rPr>
        <w:t>发包文件</w:t>
      </w:r>
      <w:r>
        <w:rPr>
          <w:snapToGrid w:val="0"/>
          <w:szCs w:val="24"/>
        </w:rPr>
        <w:t>规定向你方递交</w:t>
      </w:r>
      <w:r>
        <w:rPr>
          <w:rFonts w:hint="eastAsia"/>
          <w:snapToGrid w:val="0"/>
          <w:szCs w:val="24"/>
        </w:rPr>
        <w:t>民工工资</w:t>
      </w:r>
      <w:r>
        <w:rPr>
          <w:snapToGrid w:val="0"/>
          <w:szCs w:val="24"/>
        </w:rPr>
        <w:t>支付担保</w:t>
      </w:r>
      <w:r>
        <w:rPr>
          <w:rFonts w:hint="eastAsia"/>
          <w:snapToGrid w:val="0"/>
          <w:szCs w:val="24"/>
        </w:rPr>
        <w:t>；</w:t>
      </w:r>
    </w:p>
    <w:p>
      <w:pPr>
        <w:spacing w:line="360" w:lineRule="auto"/>
        <w:ind w:firstLine="480" w:firstLineChars="200"/>
        <w:rPr>
          <w:snapToGrid w:val="0"/>
          <w:szCs w:val="21"/>
        </w:rPr>
      </w:pPr>
      <w:r>
        <w:rPr>
          <w:snapToGrid w:val="0"/>
          <w:szCs w:val="21"/>
        </w:rPr>
        <w:t>(</w:t>
      </w:r>
      <w:r>
        <w:rPr>
          <w:rFonts w:hint="eastAsia"/>
          <w:snapToGrid w:val="0"/>
          <w:szCs w:val="21"/>
        </w:rPr>
        <w:t xml:space="preserve">5) </w:t>
      </w:r>
      <w:r>
        <w:rPr>
          <w:snapToGrid w:val="0"/>
          <w:szCs w:val="21"/>
        </w:rPr>
        <w:t>我方承诺在合同约定的期限内完成并移交全部合同工程。</w:t>
      </w:r>
    </w:p>
    <w:p>
      <w:pPr>
        <w:spacing w:line="500" w:lineRule="exact"/>
        <w:ind w:firstLine="480" w:firstLineChars="200"/>
        <w:rPr>
          <w:snapToGrid w:val="0"/>
          <w:szCs w:val="24"/>
        </w:rPr>
      </w:pPr>
      <w:r>
        <w:rPr>
          <w:snapToGrid w:val="0"/>
          <w:szCs w:val="24"/>
        </w:rPr>
        <w:t>5．我方在此声明，所递交的</w:t>
      </w:r>
      <w:r>
        <w:rPr>
          <w:rFonts w:hint="eastAsia"/>
          <w:snapToGrid w:val="0"/>
          <w:szCs w:val="24"/>
        </w:rPr>
        <w:t>竞包文件</w:t>
      </w:r>
      <w:r>
        <w:rPr>
          <w:snapToGrid w:val="0"/>
          <w:szCs w:val="24"/>
        </w:rPr>
        <w:t>及有关资料内容完整、真实和准确，且不存在第2章</w:t>
      </w:r>
      <w:r>
        <w:rPr>
          <w:rFonts w:hint="eastAsia"/>
          <w:snapToGrid w:val="0"/>
          <w:szCs w:val="24"/>
        </w:rPr>
        <w:t>竞包人</w:t>
      </w:r>
      <w:r>
        <w:rPr>
          <w:snapToGrid w:val="0"/>
          <w:szCs w:val="24"/>
        </w:rPr>
        <w:t>须知第1</w:t>
      </w:r>
      <w:r>
        <w:rPr>
          <w:rFonts w:hint="eastAsia"/>
          <w:snapToGrid w:val="0"/>
          <w:szCs w:val="24"/>
        </w:rPr>
        <w:t>.</w:t>
      </w:r>
      <w:r>
        <w:rPr>
          <w:snapToGrid w:val="0"/>
          <w:szCs w:val="24"/>
        </w:rPr>
        <w:t>4</w:t>
      </w:r>
      <w:r>
        <w:rPr>
          <w:rFonts w:hint="eastAsia"/>
          <w:snapToGrid w:val="0"/>
          <w:szCs w:val="24"/>
        </w:rPr>
        <w:t>.</w:t>
      </w:r>
      <w:r>
        <w:rPr>
          <w:snapToGrid w:val="0"/>
          <w:szCs w:val="24"/>
        </w:rPr>
        <w:t>3款规定的任何一种情形。</w:t>
      </w:r>
    </w:p>
    <w:p>
      <w:pPr>
        <w:spacing w:line="500" w:lineRule="exact"/>
        <w:ind w:firstLine="480" w:firstLineChars="200"/>
        <w:rPr>
          <w:snapToGrid w:val="0"/>
          <w:szCs w:val="24"/>
        </w:rPr>
      </w:pPr>
      <w:r>
        <w:rPr>
          <w:snapToGrid w:val="0"/>
          <w:szCs w:val="24"/>
        </w:rPr>
        <w:t>6. （其它补充说明）。</w:t>
      </w:r>
    </w:p>
    <w:p>
      <w:pPr>
        <w:spacing w:line="360" w:lineRule="auto"/>
        <w:ind w:firstLine="480" w:firstLineChars="200"/>
        <w:rPr>
          <w:snapToGrid w:val="0"/>
          <w:szCs w:val="24"/>
        </w:rPr>
      </w:pPr>
      <w:r>
        <w:rPr>
          <w:rFonts w:hint="eastAsia"/>
          <w:snapToGrid w:val="0"/>
          <w:szCs w:val="24"/>
        </w:rPr>
        <w:t>竞包人</w:t>
      </w:r>
      <w:r>
        <w:rPr>
          <w:snapToGrid w:val="0"/>
          <w:szCs w:val="24"/>
        </w:rPr>
        <w:t>：</w:t>
      </w:r>
      <w:r>
        <w:rPr>
          <w:rFonts w:hint="eastAsia"/>
          <w:snapToGrid w:val="0"/>
          <w:szCs w:val="24"/>
        </w:rPr>
        <w:t>_______________________</w:t>
      </w:r>
      <w:r>
        <w:rPr>
          <w:snapToGrid w:val="0"/>
          <w:szCs w:val="24"/>
        </w:rPr>
        <w:t>（盖单位章）</w:t>
      </w:r>
    </w:p>
    <w:p>
      <w:pPr>
        <w:spacing w:line="360" w:lineRule="auto"/>
        <w:ind w:firstLine="480" w:firstLineChars="200"/>
        <w:rPr>
          <w:snapToGrid w:val="0"/>
          <w:szCs w:val="24"/>
        </w:rPr>
      </w:pPr>
      <w:r>
        <w:rPr>
          <w:snapToGrid w:val="0"/>
          <w:szCs w:val="24"/>
        </w:rPr>
        <w:t>法定代表人或其委托代理人：</w:t>
      </w:r>
      <w:r>
        <w:rPr>
          <w:rFonts w:hint="eastAsia"/>
          <w:snapToGrid w:val="0"/>
          <w:szCs w:val="24"/>
        </w:rPr>
        <w:t>______________</w:t>
      </w:r>
      <w:r>
        <w:rPr>
          <w:snapToGrid w:val="0"/>
          <w:szCs w:val="24"/>
        </w:rPr>
        <w:t>（签字</w:t>
      </w:r>
      <w:r>
        <w:rPr>
          <w:rFonts w:hint="eastAsia"/>
          <w:snapToGrid w:val="0"/>
          <w:szCs w:val="24"/>
        </w:rPr>
        <w:t>或盖章</w:t>
      </w:r>
      <w:r>
        <w:rPr>
          <w:snapToGrid w:val="0"/>
          <w:szCs w:val="24"/>
        </w:rPr>
        <w:t>）</w:t>
      </w:r>
    </w:p>
    <w:p>
      <w:pPr>
        <w:spacing w:line="360" w:lineRule="auto"/>
        <w:ind w:firstLine="480" w:firstLineChars="200"/>
        <w:rPr>
          <w:snapToGrid w:val="0"/>
          <w:szCs w:val="24"/>
        </w:rPr>
      </w:pPr>
      <w:r>
        <w:rPr>
          <w:rFonts w:hint="eastAsia"/>
          <w:snapToGrid w:val="0"/>
          <w:szCs w:val="24"/>
        </w:rPr>
        <w:t>地址：________________________________</w:t>
      </w:r>
    </w:p>
    <w:p>
      <w:pPr>
        <w:spacing w:line="360" w:lineRule="auto"/>
        <w:ind w:firstLine="480" w:firstLineChars="200"/>
        <w:rPr>
          <w:snapToGrid w:val="0"/>
          <w:szCs w:val="24"/>
        </w:rPr>
      </w:pPr>
      <w:r>
        <w:rPr>
          <w:rFonts w:hint="eastAsia"/>
          <w:snapToGrid w:val="0"/>
          <w:szCs w:val="24"/>
        </w:rPr>
        <w:t>网址：________________________________</w:t>
      </w:r>
    </w:p>
    <w:p>
      <w:pPr>
        <w:spacing w:line="360" w:lineRule="auto"/>
        <w:ind w:firstLine="360" w:firstLineChars="150"/>
        <w:rPr>
          <w:snapToGrid w:val="0"/>
          <w:szCs w:val="24"/>
        </w:rPr>
      </w:pPr>
      <w:r>
        <w:rPr>
          <w:rFonts w:hint="eastAsia"/>
          <w:snapToGrid w:val="0"/>
          <w:szCs w:val="24"/>
        </w:rPr>
        <w:t>电话：________________________________</w:t>
      </w:r>
    </w:p>
    <w:p>
      <w:pPr>
        <w:spacing w:line="360" w:lineRule="auto"/>
        <w:ind w:firstLine="480" w:firstLineChars="200"/>
        <w:rPr>
          <w:snapToGrid w:val="0"/>
          <w:szCs w:val="24"/>
        </w:rPr>
      </w:pPr>
      <w:r>
        <w:rPr>
          <w:rFonts w:hint="eastAsia"/>
          <w:snapToGrid w:val="0"/>
          <w:szCs w:val="24"/>
        </w:rPr>
        <w:t>传真：________________________________</w:t>
      </w:r>
    </w:p>
    <w:p>
      <w:pPr>
        <w:spacing w:line="360" w:lineRule="auto"/>
        <w:ind w:firstLine="480" w:firstLineChars="200"/>
        <w:rPr>
          <w:snapToGrid w:val="0"/>
          <w:szCs w:val="24"/>
        </w:rPr>
      </w:pPr>
      <w:r>
        <w:rPr>
          <w:rFonts w:hint="eastAsia"/>
          <w:snapToGrid w:val="0"/>
          <w:szCs w:val="24"/>
        </w:rPr>
        <w:t>邮政编码：_____________________</w:t>
      </w:r>
    </w:p>
    <w:p>
      <w:pPr>
        <w:spacing w:line="360" w:lineRule="auto"/>
        <w:ind w:firstLine="480" w:firstLineChars="200"/>
        <w:rPr>
          <w:snapToGrid w:val="0"/>
          <w:szCs w:val="24"/>
        </w:rPr>
      </w:pPr>
      <w:r>
        <w:rPr>
          <w:snapToGrid w:val="0"/>
          <w:szCs w:val="24"/>
        </w:rPr>
        <w:t>年月日</w:t>
      </w:r>
    </w:p>
    <w:p>
      <w:pPr>
        <w:ind w:firstLine="560" w:firstLineChars="200"/>
        <w:rPr>
          <w:snapToGrid w:val="0"/>
          <w:sz w:val="28"/>
          <w:szCs w:val="28"/>
        </w:rPr>
        <w:sectPr>
          <w:footerReference r:id="rId10" w:type="default"/>
          <w:pgSz w:w="11907" w:h="16840"/>
          <w:pgMar w:top="1701" w:right="1701" w:bottom="1418" w:left="1418" w:header="1304" w:footer="964" w:gutter="0"/>
          <w:pgBorders>
            <w:top w:val="none" w:sz="0" w:space="0"/>
            <w:left w:val="none" w:sz="0" w:space="0"/>
            <w:bottom w:val="none" w:sz="0" w:space="0"/>
            <w:right w:val="none" w:sz="0" w:space="0"/>
          </w:pgBorders>
          <w:pgNumType w:fmt="decimal" w:chapStyle="1" w:chapSep="hyphen"/>
          <w:cols w:space="720" w:num="1"/>
          <w:docGrid w:linePitch="326" w:charSpace="0"/>
        </w:sectPr>
      </w:pPr>
    </w:p>
    <w:p>
      <w:pPr>
        <w:pStyle w:val="6"/>
        <w:spacing w:line="360" w:lineRule="auto"/>
        <w:jc w:val="center"/>
        <w:rPr>
          <w:snapToGrid w:val="0"/>
          <w:sz w:val="30"/>
          <w:szCs w:val="30"/>
        </w:rPr>
      </w:pPr>
    </w:p>
    <w:bookmarkEnd w:id="804"/>
    <w:p>
      <w:pPr>
        <w:pStyle w:val="6"/>
        <w:spacing w:line="360" w:lineRule="auto"/>
        <w:jc w:val="center"/>
        <w:rPr>
          <w:snapToGrid w:val="0"/>
          <w:sz w:val="30"/>
          <w:szCs w:val="30"/>
        </w:rPr>
      </w:pPr>
      <w:bookmarkStart w:id="805" w:name="_Toc336325406"/>
      <w:bookmarkStart w:id="806" w:name="_Toc5453"/>
      <w:r>
        <w:rPr>
          <w:snapToGrid w:val="0"/>
          <w:sz w:val="30"/>
          <w:szCs w:val="30"/>
        </w:rPr>
        <w:t>二、</w:t>
      </w:r>
      <w:r>
        <w:rPr>
          <w:rFonts w:hint="eastAsia"/>
          <w:snapToGrid w:val="0"/>
          <w:sz w:val="30"/>
          <w:szCs w:val="30"/>
        </w:rPr>
        <w:t>已标价的工程量清单</w:t>
      </w:r>
      <w:bookmarkEnd w:id="805"/>
      <w:bookmarkEnd w:id="806"/>
    </w:p>
    <w:p>
      <w:pPr>
        <w:widowControl/>
        <w:jc w:val="left"/>
        <w:rPr>
          <w:b/>
          <w:bCs/>
          <w:sz w:val="36"/>
          <w:szCs w:val="36"/>
        </w:rPr>
      </w:pPr>
      <w:r>
        <w:rPr>
          <w:rFonts w:ascii="宋体" w:hAnsi="宋体" w:eastAsia="宋体" w:cs="宋体"/>
          <w:b/>
          <w:bCs/>
          <w:color w:val="FF0000"/>
          <w:sz w:val="36"/>
          <w:szCs w:val="36"/>
        </w:rPr>
        <w:t>注：各竞包人需在湖州市限额以下发包平台上传已标价的工程量清单电子扫描件。</w:t>
      </w:r>
    </w:p>
    <w:p>
      <w:pPr>
        <w:tabs>
          <w:tab w:val="left" w:pos="-3216"/>
        </w:tabs>
        <w:spacing w:line="360" w:lineRule="auto"/>
        <w:ind w:firstLine="720" w:firstLineChars="200"/>
        <w:rPr>
          <w:snapToGrid w:val="0"/>
          <w:sz w:val="36"/>
          <w:szCs w:val="36"/>
        </w:rPr>
      </w:pPr>
    </w:p>
    <w:p>
      <w:pPr>
        <w:tabs>
          <w:tab w:val="left" w:pos="-3216"/>
        </w:tabs>
        <w:spacing w:line="360" w:lineRule="auto"/>
        <w:ind w:firstLine="480" w:firstLineChars="200"/>
        <w:rPr>
          <w:snapToGrid w:val="0"/>
        </w:rPr>
      </w:pPr>
    </w:p>
    <w:p>
      <w:pPr>
        <w:tabs>
          <w:tab w:val="left" w:pos="-3216"/>
        </w:tabs>
        <w:spacing w:line="360" w:lineRule="auto"/>
        <w:ind w:firstLine="480" w:firstLineChars="200"/>
        <w:rPr>
          <w:snapToGrid w:val="0"/>
        </w:rPr>
      </w:pPr>
    </w:p>
    <w:p>
      <w:pPr>
        <w:pStyle w:val="6"/>
        <w:spacing w:line="360" w:lineRule="auto"/>
        <w:jc w:val="center"/>
        <w:rPr>
          <w:snapToGrid w:val="0"/>
          <w:sz w:val="30"/>
          <w:szCs w:val="30"/>
        </w:rPr>
      </w:pPr>
      <w:bookmarkStart w:id="807" w:name="_Toc336325407"/>
    </w:p>
    <w:p>
      <w:pPr>
        <w:pStyle w:val="6"/>
        <w:spacing w:line="360" w:lineRule="auto"/>
        <w:jc w:val="center"/>
        <w:rPr>
          <w:snapToGrid w:val="0"/>
          <w:sz w:val="30"/>
          <w:szCs w:val="30"/>
        </w:rPr>
      </w:pPr>
    </w:p>
    <w:p>
      <w:pPr>
        <w:pStyle w:val="6"/>
        <w:spacing w:line="360" w:lineRule="auto"/>
        <w:jc w:val="center"/>
        <w:rPr>
          <w:snapToGrid w:val="0"/>
          <w:sz w:val="30"/>
          <w:szCs w:val="30"/>
        </w:rPr>
      </w:pPr>
    </w:p>
    <w:p>
      <w:pPr>
        <w:pStyle w:val="6"/>
        <w:spacing w:line="360" w:lineRule="auto"/>
        <w:jc w:val="center"/>
        <w:rPr>
          <w:snapToGrid w:val="0"/>
          <w:sz w:val="30"/>
          <w:szCs w:val="30"/>
        </w:rPr>
      </w:pPr>
    </w:p>
    <w:p>
      <w:pPr>
        <w:pStyle w:val="6"/>
        <w:spacing w:line="360" w:lineRule="auto"/>
        <w:jc w:val="center"/>
        <w:rPr>
          <w:snapToGrid w:val="0"/>
          <w:sz w:val="30"/>
          <w:szCs w:val="30"/>
        </w:rPr>
      </w:pPr>
    </w:p>
    <w:p>
      <w:pPr>
        <w:pStyle w:val="6"/>
        <w:spacing w:line="360" w:lineRule="auto"/>
        <w:jc w:val="center"/>
        <w:rPr>
          <w:snapToGrid w:val="0"/>
          <w:sz w:val="30"/>
          <w:szCs w:val="30"/>
        </w:rPr>
      </w:pPr>
    </w:p>
    <w:p>
      <w:pPr>
        <w:pStyle w:val="6"/>
        <w:spacing w:line="360" w:lineRule="auto"/>
        <w:jc w:val="center"/>
        <w:rPr>
          <w:snapToGrid w:val="0"/>
          <w:sz w:val="30"/>
          <w:szCs w:val="30"/>
        </w:rPr>
      </w:pPr>
    </w:p>
    <w:p>
      <w:pPr>
        <w:pStyle w:val="6"/>
        <w:spacing w:line="360" w:lineRule="auto"/>
        <w:jc w:val="center"/>
        <w:rPr>
          <w:snapToGrid w:val="0"/>
          <w:sz w:val="30"/>
          <w:szCs w:val="30"/>
        </w:rPr>
      </w:pPr>
    </w:p>
    <w:p>
      <w:pPr>
        <w:pStyle w:val="6"/>
        <w:spacing w:line="360" w:lineRule="auto"/>
        <w:jc w:val="center"/>
        <w:rPr>
          <w:snapToGrid w:val="0"/>
          <w:sz w:val="30"/>
          <w:szCs w:val="30"/>
        </w:rPr>
      </w:pPr>
    </w:p>
    <w:p>
      <w:pPr>
        <w:pStyle w:val="6"/>
        <w:spacing w:line="360" w:lineRule="auto"/>
        <w:jc w:val="center"/>
        <w:rPr>
          <w:snapToGrid w:val="0"/>
          <w:sz w:val="30"/>
          <w:szCs w:val="30"/>
        </w:rPr>
      </w:pPr>
    </w:p>
    <w:p>
      <w:pPr>
        <w:pStyle w:val="6"/>
        <w:spacing w:line="360" w:lineRule="auto"/>
        <w:jc w:val="center"/>
        <w:rPr>
          <w:snapToGrid w:val="0"/>
          <w:sz w:val="30"/>
          <w:szCs w:val="30"/>
        </w:rPr>
      </w:pPr>
    </w:p>
    <w:p>
      <w:pPr>
        <w:pStyle w:val="6"/>
        <w:spacing w:line="360" w:lineRule="auto"/>
        <w:jc w:val="center"/>
        <w:rPr>
          <w:snapToGrid w:val="0"/>
          <w:sz w:val="30"/>
          <w:szCs w:val="30"/>
        </w:rPr>
      </w:pPr>
    </w:p>
    <w:p>
      <w:pPr>
        <w:pStyle w:val="6"/>
        <w:spacing w:line="360" w:lineRule="auto"/>
        <w:jc w:val="center"/>
        <w:rPr>
          <w:snapToGrid w:val="0"/>
          <w:sz w:val="30"/>
          <w:szCs w:val="30"/>
        </w:rPr>
      </w:pPr>
    </w:p>
    <w:p>
      <w:pPr>
        <w:pStyle w:val="6"/>
        <w:spacing w:line="360" w:lineRule="auto"/>
        <w:jc w:val="center"/>
        <w:rPr>
          <w:snapToGrid w:val="0"/>
          <w:sz w:val="30"/>
          <w:szCs w:val="30"/>
        </w:rPr>
      </w:pPr>
    </w:p>
    <w:p>
      <w:pPr>
        <w:pStyle w:val="6"/>
        <w:spacing w:line="360" w:lineRule="auto"/>
        <w:jc w:val="center"/>
        <w:rPr>
          <w:snapToGrid w:val="0"/>
          <w:sz w:val="30"/>
          <w:szCs w:val="30"/>
        </w:rPr>
      </w:pPr>
    </w:p>
    <w:p>
      <w:pPr>
        <w:pStyle w:val="6"/>
        <w:spacing w:line="360" w:lineRule="auto"/>
        <w:jc w:val="center"/>
        <w:rPr>
          <w:snapToGrid w:val="0"/>
          <w:sz w:val="30"/>
          <w:szCs w:val="30"/>
        </w:rPr>
        <w:sectPr>
          <w:pgSz w:w="11906" w:h="16838"/>
          <w:pgMar w:top="1361" w:right="1247" w:bottom="1361" w:left="1247" w:header="1077" w:footer="1077" w:gutter="0"/>
          <w:pgBorders>
            <w:top w:val="none" w:sz="0" w:space="0"/>
            <w:left w:val="none" w:sz="0" w:space="0"/>
            <w:bottom w:val="none" w:sz="0" w:space="0"/>
            <w:right w:val="none" w:sz="0" w:space="0"/>
          </w:pgBorders>
          <w:pgNumType w:fmt="decimal" w:chapStyle="1" w:chapSep="hyphen"/>
          <w:cols w:space="720" w:num="1"/>
          <w:docGrid w:linePitch="312" w:charSpace="0"/>
        </w:sectPr>
      </w:pPr>
    </w:p>
    <w:p>
      <w:pPr>
        <w:pStyle w:val="4"/>
      </w:pPr>
    </w:p>
    <w:p>
      <w:pPr>
        <w:pStyle w:val="6"/>
        <w:spacing w:line="360" w:lineRule="auto"/>
        <w:jc w:val="center"/>
        <w:rPr>
          <w:snapToGrid w:val="0"/>
          <w:sz w:val="30"/>
          <w:szCs w:val="30"/>
        </w:rPr>
      </w:pPr>
      <w:bookmarkStart w:id="808" w:name="_Toc23994"/>
      <w:r>
        <w:rPr>
          <w:snapToGrid w:val="0"/>
          <w:sz w:val="30"/>
          <w:szCs w:val="30"/>
        </w:rPr>
        <w:t>三、</w:t>
      </w:r>
      <w:r>
        <w:rPr>
          <w:rFonts w:hint="eastAsia"/>
          <w:snapToGrid w:val="0"/>
          <w:sz w:val="30"/>
          <w:szCs w:val="30"/>
        </w:rPr>
        <w:t>商务文件</w:t>
      </w:r>
      <w:r>
        <w:rPr>
          <w:snapToGrid w:val="0"/>
          <w:sz w:val="30"/>
          <w:szCs w:val="30"/>
        </w:rPr>
        <w:t>其他材料</w:t>
      </w:r>
      <w:bookmarkEnd w:id="807"/>
      <w:bookmarkEnd w:id="808"/>
    </w:p>
    <w:p>
      <w:pPr>
        <w:tabs>
          <w:tab w:val="left" w:pos="-3216"/>
        </w:tabs>
        <w:spacing w:line="360" w:lineRule="auto"/>
        <w:rPr>
          <w:snapToGrid w:val="0"/>
        </w:rPr>
      </w:pPr>
    </w:p>
    <w:p>
      <w:pPr>
        <w:spacing w:line="360" w:lineRule="auto"/>
        <w:rPr>
          <w:snapToGrid w:val="0"/>
        </w:rPr>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sectPr>
      <w:pgSz w:w="11906" w:h="16838"/>
      <w:pgMar w:top="1361" w:right="1247" w:bottom="1361" w:left="1247" w:header="1077" w:footer="1077" w:gutter="0"/>
      <w:pgBorders>
        <w:top w:val="none" w:sz="0" w:space="0"/>
        <w:left w:val="none" w:sz="0" w:space="0"/>
        <w:bottom w:val="none" w:sz="0" w:space="0"/>
        <w:right w:val="none" w:sz="0" w:space="0"/>
      </w:pgBorders>
      <w:pgNumType w:fmt="decimal" w:chapStyle="1" w:chapSep="hyphen"/>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altName w:val="楷体"/>
    <w:panose1 w:val="00000000000000000000"/>
    <w:charset w:val="86"/>
    <w:family w:val="auto"/>
    <w:pitch w:val="default"/>
    <w:sig w:usb0="00000000" w:usb1="00000000" w:usb2="00000000" w:usb3="00000000" w:csb0="00040000" w:csb1="00000000"/>
  </w:font>
  <w:font w:name="monospace">
    <w:altName w:val="微软雅黑"/>
    <w:panose1 w:val="00000000000000000000"/>
    <w:charset w:val="00"/>
    <w:family w:val="auto"/>
    <w:pitch w:val="default"/>
    <w:sig w:usb0="00000000" w:usb1="00000000" w:usb2="00000000" w:usb3="00000000" w:csb0="00040001" w:csb1="00000000"/>
  </w:font>
  <w:font w:name="Wingdings 2">
    <w:panose1 w:val="05020102010507070707"/>
    <w:charset w:val="02"/>
    <w:family w:val="roman"/>
    <w:pitch w:val="default"/>
    <w:sig w:usb0="00000000" w:usb1="00000000" w:usb2="00000000" w:usb3="00000000" w:csb0="80000000" w:csb1="00000000"/>
  </w:font>
  <w:font w:name="仿宋_GB2312">
    <w:altName w:val="仿宋"/>
    <w:panose1 w:val="00000000000000000000"/>
    <w:charset w:val="86"/>
    <w:family w:val="modern"/>
    <w:pitch w:val="default"/>
    <w:sig w:usb0="00000000" w:usb1="00000000" w:usb2="00000000" w:usb3="00000000" w:csb0="00040000" w:csb1="00000000"/>
  </w:font>
  <w:font w:name="MS Mincho">
    <w:panose1 w:val="02020609040205080304"/>
    <w:charset w:val="80"/>
    <w:family w:val="modern"/>
    <w:pitch w:val="default"/>
    <w:sig w:usb0="E00002FF" w:usb1="6AC7FDFB" w:usb2="00000012" w:usb3="00000000" w:csb0="4002009F" w:csb1="DFD7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隶书">
    <w:panose1 w:val="02010509060101010101"/>
    <w:charset w:val="86"/>
    <w:family w:val="modern"/>
    <w:pitch w:val="default"/>
    <w:sig w:usb0="00000001" w:usb1="080E0000" w:usb2="00000000" w:usb3="00000000" w:csb0="00040000" w:csb1="00000000"/>
  </w:font>
  <w:font w:name="方正小标宋简体">
    <w:altName w:val="宋体"/>
    <w:panose1 w:val="00000000000000000000"/>
    <w:charset w:val="86"/>
    <w:family w:val="auto"/>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right="63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sz w:val="24"/>
      </w:rP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8"/>
                            <w:widowControl w:val="0"/>
                            <w:pBdr>
                              <w:top w:val="none" w:color="auto" w:sz="0" w:space="1"/>
                              <w:left w:val="none" w:color="auto" w:sz="0" w:space="4"/>
                              <w:bottom w:val="none" w:color="auto" w:sz="0" w:space="1"/>
                              <w:right w:val="none" w:color="auto" w:sz="0" w:space="4"/>
                              <w:between w:val="none" w:color="auto" w:sz="0" w:space="0"/>
                            </w:pBdr>
                            <w:autoSpaceDE w:val="0"/>
                            <w:autoSpaceDN w:val="0"/>
                            <w:adjustRightInd w:val="0"/>
                            <w:jc w:val="left"/>
                            <w:textAlignment w:val="baseline"/>
                            <w:rPr>
                              <w:rFonts w:hint="eastAsia" w:eastAsiaTheme="minorEastAsia"/>
                              <w:lang w:eastAsia="zh-CN"/>
                            </w:rPr>
                          </w:pPr>
                          <w:r>
                            <w:rPr>
                              <w:rFonts w:hint="eastAsia" w:eastAsiaTheme="minorEastAsia"/>
                              <w:lang w:eastAsia="zh-CN"/>
                            </w:rPr>
                            <w:t xml:space="preserve">第 </w:t>
                          </w:r>
                          <w:r>
                            <w:rPr>
                              <w:rFonts w:hint="eastAsia" w:eastAsiaTheme="minorEastAsia"/>
                              <w:lang w:eastAsia="zh-CN"/>
                            </w:rPr>
                            <w:fldChar w:fldCharType="begin"/>
                          </w:r>
                          <w:r>
                            <w:rPr>
                              <w:rFonts w:hint="eastAsia" w:eastAsiaTheme="minorEastAsia"/>
                              <w:lang w:eastAsia="zh-CN"/>
                            </w:rPr>
                            <w:instrText xml:space="preserve"> PAGE  \* MERGEFORMAT </w:instrText>
                          </w:r>
                          <w:r>
                            <w:rPr>
                              <w:rFonts w:hint="eastAsia" w:eastAsiaTheme="minorEastAsia"/>
                              <w:lang w:eastAsia="zh-CN"/>
                            </w:rPr>
                            <w:fldChar w:fldCharType="separate"/>
                          </w:r>
                          <w:r>
                            <w:rPr>
                              <w:rFonts w:hint="eastAsia" w:eastAsiaTheme="minorEastAsia"/>
                              <w:lang w:eastAsia="zh-CN"/>
                            </w:rPr>
                            <w:t>2</w:t>
                          </w:r>
                          <w:r>
                            <w:rPr>
                              <w:rFonts w:hint="eastAsia" w:eastAsiaTheme="minorEastAsia"/>
                              <w:lang w:eastAsia="zh-CN"/>
                            </w:rPr>
                            <w:fldChar w:fldCharType="end"/>
                          </w:r>
                          <w:r>
                            <w:rPr>
                              <w:rFonts w:hint="eastAsia" w:eastAsiaTheme="minorEastAsia"/>
                              <w:lang w:eastAsia="zh-CN"/>
                            </w:rPr>
                            <w:t xml:space="preserve"> 页 共 </w:t>
                          </w:r>
                          <w:r>
                            <w:rPr>
                              <w:rFonts w:hint="eastAsia" w:eastAsiaTheme="minorEastAsia"/>
                              <w:lang w:eastAsia="zh-CN"/>
                            </w:rPr>
                            <w:fldChar w:fldCharType="begin"/>
                          </w:r>
                          <w:r>
                            <w:rPr>
                              <w:rFonts w:hint="eastAsia" w:eastAsiaTheme="minorEastAsia"/>
                              <w:lang w:eastAsia="zh-CN"/>
                            </w:rPr>
                            <w:instrText xml:space="preserve"> NUMPAGES  \* MERGEFORMAT </w:instrText>
                          </w:r>
                          <w:r>
                            <w:rPr>
                              <w:rFonts w:hint="eastAsia" w:eastAsiaTheme="minorEastAsia"/>
                              <w:lang w:eastAsia="zh-CN"/>
                            </w:rPr>
                            <w:fldChar w:fldCharType="separate"/>
                          </w:r>
                          <w:r>
                            <w:rPr>
                              <w:rFonts w:hint="eastAsia" w:eastAsiaTheme="minorEastAsia"/>
                              <w:lang w:eastAsia="zh-CN"/>
                            </w:rPr>
                            <w:t>154</w:t>
                          </w:r>
                          <w:r>
                            <w:rPr>
                              <w:rFonts w:hint="eastAsia" w:eastAsiaTheme="minorEastAsia"/>
                              <w:lang w:eastAsia="zh-CN"/>
                            </w:rPr>
                            <w:fldChar w:fldCharType="end"/>
                          </w:r>
                          <w:r>
                            <w:rPr>
                              <w:rFonts w:hint="eastAsia" w:eastAsiaTheme="minor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95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RcDIchQCAAAVBAAADgAAAAAAAAAB&#10;ACAAAAAfAQAAZHJzL2Uyb0RvYy54bWxQSwUGAAAAAAYABgBZAQAApQUAAAAA&#10;">
              <v:fill on="f" focussize="0,0"/>
              <v:stroke on="f" weight="0.5pt"/>
              <v:imagedata o:title=""/>
              <o:lock v:ext="edit" aspectratio="f"/>
              <v:textbox inset="0mm,0mm,0mm,0mm" style="mso-fit-shape-to-text:t;">
                <w:txbxContent>
                  <w:p>
                    <w:pPr>
                      <w:pStyle w:val="18"/>
                      <w:widowControl w:val="0"/>
                      <w:pBdr>
                        <w:top w:val="none" w:color="auto" w:sz="0" w:space="1"/>
                        <w:left w:val="none" w:color="auto" w:sz="0" w:space="4"/>
                        <w:bottom w:val="none" w:color="auto" w:sz="0" w:space="1"/>
                        <w:right w:val="none" w:color="auto" w:sz="0" w:space="4"/>
                        <w:between w:val="none" w:color="auto" w:sz="0" w:space="0"/>
                      </w:pBdr>
                      <w:autoSpaceDE w:val="0"/>
                      <w:autoSpaceDN w:val="0"/>
                      <w:adjustRightInd w:val="0"/>
                      <w:jc w:val="left"/>
                      <w:textAlignment w:val="baseline"/>
                      <w:rPr>
                        <w:rFonts w:hint="eastAsia" w:eastAsiaTheme="minorEastAsia"/>
                        <w:lang w:eastAsia="zh-CN"/>
                      </w:rPr>
                    </w:pPr>
                    <w:r>
                      <w:rPr>
                        <w:rFonts w:hint="eastAsia" w:eastAsiaTheme="minorEastAsia"/>
                        <w:lang w:eastAsia="zh-CN"/>
                      </w:rPr>
                      <w:t xml:space="preserve">第 </w:t>
                    </w:r>
                    <w:r>
                      <w:rPr>
                        <w:rFonts w:hint="eastAsia" w:eastAsiaTheme="minorEastAsia"/>
                        <w:lang w:eastAsia="zh-CN"/>
                      </w:rPr>
                      <w:fldChar w:fldCharType="begin"/>
                    </w:r>
                    <w:r>
                      <w:rPr>
                        <w:rFonts w:hint="eastAsia" w:eastAsiaTheme="minorEastAsia"/>
                        <w:lang w:eastAsia="zh-CN"/>
                      </w:rPr>
                      <w:instrText xml:space="preserve"> PAGE  \* MERGEFORMAT </w:instrText>
                    </w:r>
                    <w:r>
                      <w:rPr>
                        <w:rFonts w:hint="eastAsia" w:eastAsiaTheme="minorEastAsia"/>
                        <w:lang w:eastAsia="zh-CN"/>
                      </w:rPr>
                      <w:fldChar w:fldCharType="separate"/>
                    </w:r>
                    <w:r>
                      <w:rPr>
                        <w:rFonts w:hint="eastAsia" w:eastAsiaTheme="minorEastAsia"/>
                        <w:lang w:eastAsia="zh-CN"/>
                      </w:rPr>
                      <w:t>2</w:t>
                    </w:r>
                    <w:r>
                      <w:rPr>
                        <w:rFonts w:hint="eastAsia" w:eastAsiaTheme="minorEastAsia"/>
                        <w:lang w:eastAsia="zh-CN"/>
                      </w:rPr>
                      <w:fldChar w:fldCharType="end"/>
                    </w:r>
                    <w:r>
                      <w:rPr>
                        <w:rFonts w:hint="eastAsia" w:eastAsiaTheme="minorEastAsia"/>
                        <w:lang w:eastAsia="zh-CN"/>
                      </w:rPr>
                      <w:t xml:space="preserve"> 页 共 </w:t>
                    </w:r>
                    <w:r>
                      <w:rPr>
                        <w:rFonts w:hint="eastAsia" w:eastAsiaTheme="minorEastAsia"/>
                        <w:lang w:eastAsia="zh-CN"/>
                      </w:rPr>
                      <w:fldChar w:fldCharType="begin"/>
                    </w:r>
                    <w:r>
                      <w:rPr>
                        <w:rFonts w:hint="eastAsia" w:eastAsiaTheme="minorEastAsia"/>
                        <w:lang w:eastAsia="zh-CN"/>
                      </w:rPr>
                      <w:instrText xml:space="preserve"> NUMPAGES  \* MERGEFORMAT </w:instrText>
                    </w:r>
                    <w:r>
                      <w:rPr>
                        <w:rFonts w:hint="eastAsia" w:eastAsiaTheme="minorEastAsia"/>
                        <w:lang w:eastAsia="zh-CN"/>
                      </w:rPr>
                      <w:fldChar w:fldCharType="separate"/>
                    </w:r>
                    <w:r>
                      <w:rPr>
                        <w:rFonts w:hint="eastAsia" w:eastAsiaTheme="minorEastAsia"/>
                        <w:lang w:eastAsia="zh-CN"/>
                      </w:rPr>
                      <w:t>154</w:t>
                    </w:r>
                    <w:r>
                      <w:rPr>
                        <w:rFonts w:hint="eastAsia" w:eastAsiaTheme="minorEastAsia"/>
                        <w:lang w:eastAsia="zh-CN"/>
                      </w:rPr>
                      <w:fldChar w:fldCharType="end"/>
                    </w:r>
                    <w:r>
                      <w:rPr>
                        <w:rFonts w:hint="eastAsia" w:eastAsiaTheme="minorEastAsia"/>
                        <w:lang w:eastAsia="zh-CN"/>
                      </w:rPr>
                      <w:t xml:space="preserve"> 页</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widowControl w:val="0"/>
      <w:pBdr>
        <w:top w:val="none" w:color="auto" w:sz="0" w:space="1"/>
        <w:left w:val="none" w:color="auto" w:sz="0" w:space="4"/>
        <w:bottom w:val="none" w:color="auto" w:sz="0" w:space="1"/>
        <w:right w:val="none" w:color="auto" w:sz="0" w:space="4"/>
        <w:between w:val="none" w:color="auto" w:sz="0" w:space="0"/>
      </w:pBdr>
      <w:autoSpaceDE w:val="0"/>
      <w:autoSpaceDN w:val="0"/>
      <w:adjustRightInd w:val="0"/>
      <w:jc w:val="center"/>
      <w:textAlignment w:val="baseline"/>
    </w:pPr>
    <w:r>
      <w:rPr>
        <w:rFonts w:hint="eastAsia" w:eastAsiaTheme="minorEastAsia"/>
        <w:lang w:eastAsia="zh-CN"/>
      </w:rPr>
      <w:t xml:space="preserve">第 </w:t>
    </w:r>
    <w:r>
      <w:rPr>
        <w:rFonts w:hint="eastAsia" w:eastAsiaTheme="minorEastAsia"/>
        <w:lang w:eastAsia="zh-CN"/>
      </w:rPr>
      <w:fldChar w:fldCharType="begin"/>
    </w:r>
    <w:r>
      <w:rPr>
        <w:rFonts w:hint="eastAsia" w:eastAsiaTheme="minorEastAsia"/>
        <w:lang w:eastAsia="zh-CN"/>
      </w:rPr>
      <w:instrText xml:space="preserve"> PAGE  \* MERGEFORMAT </w:instrText>
    </w:r>
    <w:r>
      <w:rPr>
        <w:rFonts w:hint="eastAsia" w:eastAsiaTheme="minorEastAsia"/>
        <w:lang w:eastAsia="zh-CN"/>
      </w:rPr>
      <w:fldChar w:fldCharType="separate"/>
    </w:r>
    <w:r>
      <w:rPr>
        <w:rFonts w:hint="eastAsia" w:eastAsiaTheme="minorEastAsia"/>
        <w:lang w:eastAsia="zh-CN"/>
      </w:rPr>
      <w:t>2</w:t>
    </w:r>
    <w:r>
      <w:rPr>
        <w:rFonts w:hint="eastAsia" w:eastAsiaTheme="minorEastAsia"/>
        <w:lang w:eastAsia="zh-CN"/>
      </w:rPr>
      <w:fldChar w:fldCharType="end"/>
    </w:r>
    <w:r>
      <w:rPr>
        <w:rFonts w:hint="eastAsia" w:eastAsiaTheme="minorEastAsia"/>
        <w:lang w:eastAsia="zh-CN"/>
      </w:rPr>
      <w:t xml:space="preserve"> 页 共 </w:t>
    </w:r>
    <w:r>
      <w:rPr>
        <w:rFonts w:hint="eastAsia" w:eastAsiaTheme="minorEastAsia"/>
        <w:lang w:eastAsia="zh-CN"/>
      </w:rPr>
      <w:fldChar w:fldCharType="begin"/>
    </w:r>
    <w:r>
      <w:rPr>
        <w:rFonts w:hint="eastAsia" w:eastAsiaTheme="minorEastAsia"/>
        <w:lang w:eastAsia="zh-CN"/>
      </w:rPr>
      <w:instrText xml:space="preserve"> NUMPAGES  \* MERGEFORMAT </w:instrText>
    </w:r>
    <w:r>
      <w:rPr>
        <w:rFonts w:hint="eastAsia" w:eastAsiaTheme="minorEastAsia"/>
        <w:lang w:eastAsia="zh-CN"/>
      </w:rPr>
      <w:fldChar w:fldCharType="separate"/>
    </w:r>
    <w:r>
      <w:rPr>
        <w:rFonts w:hint="eastAsia" w:eastAsiaTheme="minorEastAsia"/>
        <w:lang w:eastAsia="zh-CN"/>
      </w:rPr>
      <w:t>154</w:t>
    </w:r>
    <w:r>
      <w:rPr>
        <w:rFonts w:hint="eastAsia" w:eastAsiaTheme="minorEastAsia"/>
        <w:lang w:eastAsia="zh-CN"/>
      </w:rPr>
      <w:fldChar w:fldCharType="end"/>
    </w:r>
    <w:r>
      <w:rPr>
        <w:rFonts w:hint="eastAsia" w:eastAsiaTheme="minorEastAsia"/>
        <w:lang w:eastAsia="zh-CN"/>
      </w:rPr>
      <w:t xml:space="preserve"> 页</w:t>
    </w:r>
    <w: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snapToGrid w:val="0"/>
                            <w:rPr>
                              <w:sz w:val="18"/>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DO&#10;qXm5zwAAAAUBAAAPAAAAAAAAAAEAIAAAACIAAABkcnMvZG93bnJldi54bWxQSwECFAAUAAAACACH&#10;TuJA/IlquLsBAABkAwAADgAAAAAAAAABACAAAAAeAQAAZHJzL2Uyb0RvYy54bWxQSwUGAAAAAAYA&#10;BgBZAQAASwUAAAAA&#10;">
              <v:fill on="f" focussize="0,0"/>
              <v:stroke on="f"/>
              <v:imagedata o:title=""/>
              <o:lock v:ext="edit" aspectratio="f"/>
              <v:textbox inset="0mm,0mm,0mm,0mm" style="mso-fit-shape-to-text:t;">
                <w:txbxContent>
                  <w:p>
                    <w:pPr>
                      <w:snapToGrid w:val="0"/>
                      <w:rPr>
                        <w:sz w:val="18"/>
                      </w:rPr>
                    </w:pP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widowControl w:val="0"/>
      <w:pBdr>
        <w:top w:val="none" w:color="auto" w:sz="0" w:space="1"/>
        <w:left w:val="none" w:color="auto" w:sz="0" w:space="4"/>
        <w:bottom w:val="none" w:color="auto" w:sz="0" w:space="1"/>
        <w:right w:val="none" w:color="auto" w:sz="0" w:space="4"/>
        <w:between w:val="none" w:color="auto" w:sz="0" w:space="0"/>
      </w:pBdr>
      <w:autoSpaceDE w:val="0"/>
      <w:autoSpaceDN w:val="0"/>
      <w:adjustRightInd w:val="0"/>
      <w:ind w:firstLine="3600" w:firstLineChars="2000"/>
      <w:jc w:val="left"/>
      <w:textAlignment w:val="baseline"/>
      <w:rPr>
        <w:rFonts w:hint="eastAsia" w:eastAsiaTheme="minorEastAsia"/>
        <w:lang w:eastAsia="zh-CN"/>
      </w:rPr>
    </w:pPr>
    <w:r>
      <w:rPr>
        <w:rFonts w:hint="eastAsia" w:eastAsiaTheme="minorEastAsia"/>
        <w:lang w:eastAsia="zh-CN"/>
      </w:rPr>
      <w:t xml:space="preserve">第 </w:t>
    </w:r>
    <w:r>
      <w:rPr>
        <w:rFonts w:hint="eastAsia" w:eastAsiaTheme="minorEastAsia"/>
        <w:lang w:eastAsia="zh-CN"/>
      </w:rPr>
      <w:fldChar w:fldCharType="begin"/>
    </w:r>
    <w:r>
      <w:rPr>
        <w:rFonts w:hint="eastAsia" w:eastAsiaTheme="minorEastAsia"/>
        <w:lang w:eastAsia="zh-CN"/>
      </w:rPr>
      <w:instrText xml:space="preserve"> PAGE  \* MERGEFORMAT </w:instrText>
    </w:r>
    <w:r>
      <w:rPr>
        <w:rFonts w:hint="eastAsia" w:eastAsiaTheme="minorEastAsia"/>
        <w:lang w:eastAsia="zh-CN"/>
      </w:rPr>
      <w:fldChar w:fldCharType="separate"/>
    </w:r>
    <w:r>
      <w:rPr>
        <w:rFonts w:hint="eastAsia" w:eastAsiaTheme="minorEastAsia"/>
        <w:lang w:eastAsia="zh-CN"/>
      </w:rPr>
      <w:t>2</w:t>
    </w:r>
    <w:r>
      <w:rPr>
        <w:rFonts w:hint="eastAsia" w:eastAsiaTheme="minorEastAsia"/>
        <w:lang w:eastAsia="zh-CN"/>
      </w:rPr>
      <w:fldChar w:fldCharType="end"/>
    </w:r>
    <w:r>
      <w:rPr>
        <w:rFonts w:hint="eastAsia" w:eastAsiaTheme="minorEastAsia"/>
        <w:lang w:eastAsia="zh-CN"/>
      </w:rPr>
      <w:t xml:space="preserve"> 页 共 </w:t>
    </w:r>
    <w:r>
      <w:rPr>
        <w:rFonts w:hint="eastAsia" w:eastAsiaTheme="minorEastAsia"/>
        <w:lang w:eastAsia="zh-CN"/>
      </w:rPr>
      <w:fldChar w:fldCharType="begin"/>
    </w:r>
    <w:r>
      <w:rPr>
        <w:rFonts w:hint="eastAsia" w:eastAsiaTheme="minorEastAsia"/>
        <w:lang w:eastAsia="zh-CN"/>
      </w:rPr>
      <w:instrText xml:space="preserve"> NUMPAGES  \* MERGEFORMAT </w:instrText>
    </w:r>
    <w:r>
      <w:rPr>
        <w:rFonts w:hint="eastAsia" w:eastAsiaTheme="minorEastAsia"/>
        <w:lang w:eastAsia="zh-CN"/>
      </w:rPr>
      <w:fldChar w:fldCharType="separate"/>
    </w:r>
    <w:r>
      <w:rPr>
        <w:rFonts w:hint="eastAsia" w:eastAsiaTheme="minorEastAsia"/>
        <w:lang w:eastAsia="zh-CN"/>
      </w:rPr>
      <w:t>154</w:t>
    </w:r>
    <w:r>
      <w:rPr>
        <w:rFonts w:hint="eastAsia" w:eastAsiaTheme="minorEastAsia"/>
        <w:lang w:eastAsia="zh-CN"/>
      </w:rPr>
      <w:fldChar w:fldCharType="end"/>
    </w:r>
    <w:r>
      <w:rPr>
        <w:rFonts w:hint="eastAsia" w:eastAsiaTheme="minorEastAsia"/>
        <w:lang w:eastAsia="zh-CN"/>
      </w:rPr>
      <w:t xml:space="preserve"> 页</w:t>
    </w:r>
  </w:p>
  <w:p>
    <w:pPr>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mc:AlternateContent>
        <mc:Choice Requires="wps">
          <w:drawing>
            <wp:anchor distT="0" distB="0" distL="114300" distR="114300" simplePos="0" relativeHeight="251671552" behindDoc="0" locked="0" layoutInCell="1" allowOverlap="1">
              <wp:simplePos x="0" y="0"/>
              <wp:positionH relativeFrom="margin">
                <wp:align>center</wp:align>
              </wp:positionH>
              <wp:positionV relativeFrom="paragraph">
                <wp:posOffset>0</wp:posOffset>
              </wp:positionV>
              <wp:extent cx="1828800" cy="182880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8"/>
                            <w:widowControl w:val="0"/>
                            <w:pBdr>
                              <w:top w:val="none" w:color="auto" w:sz="0" w:space="1"/>
                              <w:left w:val="none" w:color="auto" w:sz="0" w:space="4"/>
                              <w:bottom w:val="none" w:color="auto" w:sz="0" w:space="1"/>
                              <w:right w:val="none" w:color="auto" w:sz="0" w:space="4"/>
                              <w:between w:val="none" w:color="auto" w:sz="0" w:space="0"/>
                            </w:pBdr>
                            <w:autoSpaceDE w:val="0"/>
                            <w:autoSpaceDN w:val="0"/>
                            <w:adjustRightInd w:val="0"/>
                            <w:jc w:val="left"/>
                            <w:textAlignment w:val="baseline"/>
                            <w:rPr>
                              <w:rFonts w:hint="eastAsia" w:eastAsiaTheme="minorEastAsia"/>
                              <w:lang w:eastAsia="zh-CN"/>
                            </w:rPr>
                          </w:pPr>
                          <w:r>
                            <w:rPr>
                              <w:rFonts w:hint="eastAsia" w:eastAsiaTheme="minorEastAsia"/>
                              <w:lang w:eastAsia="zh-CN"/>
                            </w:rPr>
                            <w:t xml:space="preserve">第 </w:t>
                          </w:r>
                          <w:r>
                            <w:rPr>
                              <w:rFonts w:hint="eastAsia" w:eastAsiaTheme="minorEastAsia"/>
                              <w:lang w:eastAsia="zh-CN"/>
                            </w:rPr>
                            <w:fldChar w:fldCharType="begin"/>
                          </w:r>
                          <w:r>
                            <w:rPr>
                              <w:rFonts w:hint="eastAsia" w:eastAsiaTheme="minorEastAsia"/>
                              <w:lang w:eastAsia="zh-CN"/>
                            </w:rPr>
                            <w:instrText xml:space="preserve"> PAGE  \* MERGEFORMAT </w:instrText>
                          </w:r>
                          <w:r>
                            <w:rPr>
                              <w:rFonts w:hint="eastAsia" w:eastAsiaTheme="minorEastAsia"/>
                              <w:lang w:eastAsia="zh-CN"/>
                            </w:rPr>
                            <w:fldChar w:fldCharType="separate"/>
                          </w:r>
                          <w:r>
                            <w:rPr>
                              <w:rFonts w:hint="eastAsia" w:eastAsiaTheme="minorEastAsia"/>
                              <w:lang w:eastAsia="zh-CN"/>
                            </w:rPr>
                            <w:t>146</w:t>
                          </w:r>
                          <w:r>
                            <w:rPr>
                              <w:rFonts w:hint="eastAsia" w:eastAsiaTheme="minorEastAsia"/>
                              <w:lang w:eastAsia="zh-CN"/>
                            </w:rPr>
                            <w:fldChar w:fldCharType="end"/>
                          </w:r>
                          <w:r>
                            <w:rPr>
                              <w:rFonts w:hint="eastAsia" w:eastAsiaTheme="minorEastAsia"/>
                              <w:lang w:eastAsia="zh-CN"/>
                            </w:rPr>
                            <w:t xml:space="preserve"> 页 共 </w:t>
                          </w:r>
                          <w:r>
                            <w:rPr>
                              <w:rFonts w:hint="eastAsia" w:eastAsiaTheme="minorEastAsia"/>
                              <w:lang w:eastAsia="zh-CN"/>
                            </w:rPr>
                            <w:fldChar w:fldCharType="begin"/>
                          </w:r>
                          <w:r>
                            <w:rPr>
                              <w:rFonts w:hint="eastAsia" w:eastAsiaTheme="minorEastAsia"/>
                              <w:lang w:eastAsia="zh-CN"/>
                            </w:rPr>
                            <w:instrText xml:space="preserve"> NUMPAGES  \* MERGEFORMAT </w:instrText>
                          </w:r>
                          <w:r>
                            <w:rPr>
                              <w:rFonts w:hint="eastAsia" w:eastAsiaTheme="minorEastAsia"/>
                              <w:lang w:eastAsia="zh-CN"/>
                            </w:rPr>
                            <w:fldChar w:fldCharType="separate"/>
                          </w:r>
                          <w:r>
                            <w:rPr>
                              <w:rFonts w:hint="eastAsia" w:eastAsiaTheme="minorEastAsia"/>
                              <w:lang w:eastAsia="zh-CN"/>
                            </w:rPr>
                            <w:t>154</w:t>
                          </w:r>
                          <w:r>
                            <w:rPr>
                              <w:rFonts w:hint="eastAsia" w:eastAsiaTheme="minorEastAsia"/>
                              <w:lang w:eastAsia="zh-CN"/>
                            </w:rPr>
                            <w:fldChar w:fldCharType="end"/>
                          </w:r>
                          <w:r>
                            <w:rPr>
                              <w:rFonts w:hint="eastAsia" w:eastAsiaTheme="minor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155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gJaWdhQCAAAVBAAADgAAAAAAAAAB&#10;ACAAAAAfAQAAZHJzL2Uyb0RvYy54bWxQSwUGAAAAAAYABgBZAQAApQUAAAAA&#10;">
              <v:fill on="f" focussize="0,0"/>
              <v:stroke on="f" weight="0.5pt"/>
              <v:imagedata o:title=""/>
              <o:lock v:ext="edit" aspectratio="f"/>
              <v:textbox inset="0mm,0mm,0mm,0mm" style="mso-fit-shape-to-text:t;">
                <w:txbxContent>
                  <w:p>
                    <w:pPr>
                      <w:pStyle w:val="18"/>
                      <w:widowControl w:val="0"/>
                      <w:pBdr>
                        <w:top w:val="none" w:color="auto" w:sz="0" w:space="1"/>
                        <w:left w:val="none" w:color="auto" w:sz="0" w:space="4"/>
                        <w:bottom w:val="none" w:color="auto" w:sz="0" w:space="1"/>
                        <w:right w:val="none" w:color="auto" w:sz="0" w:space="4"/>
                        <w:between w:val="none" w:color="auto" w:sz="0" w:space="0"/>
                      </w:pBdr>
                      <w:autoSpaceDE w:val="0"/>
                      <w:autoSpaceDN w:val="0"/>
                      <w:adjustRightInd w:val="0"/>
                      <w:jc w:val="left"/>
                      <w:textAlignment w:val="baseline"/>
                      <w:rPr>
                        <w:rFonts w:hint="eastAsia" w:eastAsiaTheme="minorEastAsia"/>
                        <w:lang w:eastAsia="zh-CN"/>
                      </w:rPr>
                    </w:pPr>
                    <w:r>
                      <w:rPr>
                        <w:rFonts w:hint="eastAsia" w:eastAsiaTheme="minorEastAsia"/>
                        <w:lang w:eastAsia="zh-CN"/>
                      </w:rPr>
                      <w:t xml:space="preserve">第 </w:t>
                    </w:r>
                    <w:r>
                      <w:rPr>
                        <w:rFonts w:hint="eastAsia" w:eastAsiaTheme="minorEastAsia"/>
                        <w:lang w:eastAsia="zh-CN"/>
                      </w:rPr>
                      <w:fldChar w:fldCharType="begin"/>
                    </w:r>
                    <w:r>
                      <w:rPr>
                        <w:rFonts w:hint="eastAsia" w:eastAsiaTheme="minorEastAsia"/>
                        <w:lang w:eastAsia="zh-CN"/>
                      </w:rPr>
                      <w:instrText xml:space="preserve"> PAGE  \* MERGEFORMAT </w:instrText>
                    </w:r>
                    <w:r>
                      <w:rPr>
                        <w:rFonts w:hint="eastAsia" w:eastAsiaTheme="minorEastAsia"/>
                        <w:lang w:eastAsia="zh-CN"/>
                      </w:rPr>
                      <w:fldChar w:fldCharType="separate"/>
                    </w:r>
                    <w:r>
                      <w:rPr>
                        <w:rFonts w:hint="eastAsia" w:eastAsiaTheme="minorEastAsia"/>
                        <w:lang w:eastAsia="zh-CN"/>
                      </w:rPr>
                      <w:t>146</w:t>
                    </w:r>
                    <w:r>
                      <w:rPr>
                        <w:rFonts w:hint="eastAsia" w:eastAsiaTheme="minorEastAsia"/>
                        <w:lang w:eastAsia="zh-CN"/>
                      </w:rPr>
                      <w:fldChar w:fldCharType="end"/>
                    </w:r>
                    <w:r>
                      <w:rPr>
                        <w:rFonts w:hint="eastAsia" w:eastAsiaTheme="minorEastAsia"/>
                        <w:lang w:eastAsia="zh-CN"/>
                      </w:rPr>
                      <w:t xml:space="preserve"> 页 共 </w:t>
                    </w:r>
                    <w:r>
                      <w:rPr>
                        <w:rFonts w:hint="eastAsia" w:eastAsiaTheme="minorEastAsia"/>
                        <w:lang w:eastAsia="zh-CN"/>
                      </w:rPr>
                      <w:fldChar w:fldCharType="begin"/>
                    </w:r>
                    <w:r>
                      <w:rPr>
                        <w:rFonts w:hint="eastAsia" w:eastAsiaTheme="minorEastAsia"/>
                        <w:lang w:eastAsia="zh-CN"/>
                      </w:rPr>
                      <w:instrText xml:space="preserve"> NUMPAGES  \* MERGEFORMAT </w:instrText>
                    </w:r>
                    <w:r>
                      <w:rPr>
                        <w:rFonts w:hint="eastAsia" w:eastAsiaTheme="minorEastAsia"/>
                        <w:lang w:eastAsia="zh-CN"/>
                      </w:rPr>
                      <w:fldChar w:fldCharType="separate"/>
                    </w:r>
                    <w:r>
                      <w:rPr>
                        <w:rFonts w:hint="eastAsia" w:eastAsiaTheme="minorEastAsia"/>
                        <w:lang w:eastAsia="zh-CN"/>
                      </w:rPr>
                      <w:t>154</w:t>
                    </w:r>
                    <w:r>
                      <w:rPr>
                        <w:rFonts w:hint="eastAsia" w:eastAsiaTheme="minorEastAsia"/>
                        <w:lang w:eastAsia="zh-CN"/>
                      </w:rPr>
                      <w:fldChar w:fldCharType="end"/>
                    </w:r>
                    <w:r>
                      <w:rPr>
                        <w:rFonts w:hint="eastAsia" w:eastAsiaTheme="minorEastAsia"/>
                        <w:lang w:eastAsia="zh-CN"/>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w:rPr>
        <w:rFonts w:hint="eastAsia" w:ascii="宋体" w:hAnsi="宋体" w:cs="宋体"/>
        <w:szCs w:val="21"/>
        <w:lang w:eastAsia="zh-CN"/>
      </w:rPr>
      <w:t>杨溇村粮食生产功能区提标改造项目</w:t>
    </w:r>
    <w:r>
      <w:rPr>
        <w:rFonts w:hint="eastAsia" w:ascii="宋体" w:hAnsi="宋体" w:cs="宋体"/>
        <w:szCs w:val="21"/>
        <w:lang w:val="en-US" w:eastAsia="zh-CN"/>
      </w:rPr>
      <w:t xml:space="preserve">     </w:t>
    </w:r>
    <w:r>
      <w:rPr>
        <w:rFonts w:hint="eastAsia"/>
        <w:lang w:val="en-US" w:eastAsia="zh-CN"/>
      </w:rPr>
      <w:t xml:space="preserve">                                           </w:t>
    </w:r>
    <w:r>
      <w:rPr>
        <w:rFonts w:hint="eastAsia"/>
      </w:rPr>
      <w:t>发包文件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ind w:left="180" w:hanging="180" w:hangingChars="100"/>
    </w:pPr>
    <w:r>
      <w:rPr>
        <w:rFonts w:hint="eastAsia"/>
        <w:lang w:eastAsia="zh-CN"/>
      </w:rPr>
      <w:t>杨溇村粮食生产功能区提标改造项目</w:t>
    </w:r>
    <w:r>
      <w:rPr>
        <w:rFonts w:hint="eastAsia"/>
      </w:rPr>
      <w:t xml:space="preserve">               </w:t>
    </w:r>
    <w:r>
      <w:rPr>
        <w:rFonts w:hint="eastAsia"/>
        <w:lang w:val="en-US" w:eastAsia="zh-CN"/>
      </w:rPr>
      <w:t xml:space="preserve">                        </w:t>
    </w:r>
    <w:r>
      <w:rPr>
        <w:rFonts w:hint="eastAsia"/>
      </w:rPr>
      <w:t xml:space="preserve">   </w:t>
    </w:r>
    <w:r>
      <w:rPr>
        <w:rFonts w:hint="eastAsia"/>
        <w:lang w:val="en-US" w:eastAsia="zh-CN"/>
      </w:rPr>
      <w:t xml:space="preserve">      </w:t>
    </w:r>
    <w:r>
      <w:rPr>
        <w:rFonts w:hint="eastAsia"/>
      </w:rPr>
      <w:t>发包文件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single" w:color="auto" w:sz="4" w:space="1"/>
      </w:pBdr>
    </w:pPr>
    <w:r>
      <w:rPr>
        <w:rFonts w:hint="eastAsia"/>
        <w:lang w:eastAsia="zh-CN"/>
      </w:rPr>
      <w:t>杨溇村粮食生产功能区提标改造项目</w:t>
    </w:r>
    <w:r>
      <w:rPr>
        <w:rFonts w:hint="eastAsia"/>
        <w:lang w:val="en-US" w:eastAsia="zh-CN"/>
      </w:rPr>
      <w:t xml:space="preserve">                                                       </w:t>
    </w:r>
    <w:r>
      <w:rPr>
        <w:rFonts w:hint="eastAsia"/>
      </w:rPr>
      <w:t xml:space="preserve">发包文件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0525B4F"/>
    <w:multiLevelType w:val="singleLevel"/>
    <w:tmpl w:val="90525B4F"/>
    <w:lvl w:ilvl="0" w:tentative="0">
      <w:start w:val="1"/>
      <w:numFmt w:val="decimal"/>
      <w:suff w:val="space"/>
      <w:lvlText w:val="%1."/>
      <w:lvlJc w:val="left"/>
    </w:lvl>
  </w:abstractNum>
  <w:abstractNum w:abstractNumId="1">
    <w:nsid w:val="A77B74F5"/>
    <w:multiLevelType w:val="singleLevel"/>
    <w:tmpl w:val="A77B74F5"/>
    <w:lvl w:ilvl="0" w:tentative="0">
      <w:start w:val="1"/>
      <w:numFmt w:val="decimal"/>
      <w:suff w:val="nothing"/>
      <w:lvlText w:val="%1、"/>
      <w:lvlJc w:val="left"/>
    </w:lvl>
  </w:abstractNum>
  <w:abstractNum w:abstractNumId="2">
    <w:nsid w:val="EE9531A3"/>
    <w:multiLevelType w:val="singleLevel"/>
    <w:tmpl w:val="EE9531A3"/>
    <w:lvl w:ilvl="0" w:tentative="0">
      <w:start w:val="1"/>
      <w:numFmt w:val="decimal"/>
      <w:suff w:val="space"/>
      <w:lvlText w:val="(%1)"/>
      <w:lvlJc w:val="left"/>
    </w:lvl>
  </w:abstractNum>
  <w:abstractNum w:abstractNumId="3">
    <w:nsid w:val="00000004"/>
    <w:multiLevelType w:val="multilevel"/>
    <w:tmpl w:val="00000004"/>
    <w:lvl w:ilvl="0" w:tentative="0">
      <w:start w:val="1"/>
      <w:numFmt w:val="decimal"/>
      <w:lvlText w:val="%1、"/>
      <w:lvlJc w:val="left"/>
      <w:pPr>
        <w:tabs>
          <w:tab w:val="left" w:pos="600"/>
        </w:tabs>
        <w:ind w:left="600" w:hanging="360"/>
      </w:pPr>
      <w:rPr>
        <w:rFonts w:hint="default"/>
      </w:rPr>
    </w:lvl>
    <w:lvl w:ilvl="1" w:tentative="0">
      <w:start w:val="1"/>
      <w:numFmt w:val="lowerLetter"/>
      <w:pStyle w:val="57"/>
      <w:lvlText w:val="%2)"/>
      <w:lvlJc w:val="left"/>
      <w:pPr>
        <w:tabs>
          <w:tab w:val="left" w:pos="1080"/>
        </w:tabs>
        <w:ind w:left="1080" w:hanging="420"/>
      </w:pPr>
    </w:lvl>
    <w:lvl w:ilvl="2" w:tentative="0">
      <w:start w:val="1"/>
      <w:numFmt w:val="lowerRoman"/>
      <w:lvlText w:val="%3."/>
      <w:lvlJc w:val="right"/>
      <w:pPr>
        <w:tabs>
          <w:tab w:val="left" w:pos="1500"/>
        </w:tabs>
        <w:ind w:left="1500" w:hanging="420"/>
      </w:pPr>
    </w:lvl>
    <w:lvl w:ilvl="3" w:tentative="0">
      <w:start w:val="1"/>
      <w:numFmt w:val="decimal"/>
      <w:lvlText w:val="%4."/>
      <w:lvlJc w:val="left"/>
      <w:pPr>
        <w:tabs>
          <w:tab w:val="left" w:pos="1920"/>
        </w:tabs>
        <w:ind w:left="1920" w:hanging="420"/>
      </w:pPr>
    </w:lvl>
    <w:lvl w:ilvl="4" w:tentative="0">
      <w:start w:val="1"/>
      <w:numFmt w:val="lowerLetter"/>
      <w:lvlText w:val="%5)"/>
      <w:lvlJc w:val="left"/>
      <w:pPr>
        <w:tabs>
          <w:tab w:val="left" w:pos="2340"/>
        </w:tabs>
        <w:ind w:left="2340" w:hanging="420"/>
      </w:pPr>
    </w:lvl>
    <w:lvl w:ilvl="5" w:tentative="0">
      <w:start w:val="1"/>
      <w:numFmt w:val="lowerRoman"/>
      <w:lvlText w:val="%6."/>
      <w:lvlJc w:val="right"/>
      <w:pPr>
        <w:tabs>
          <w:tab w:val="left" w:pos="2760"/>
        </w:tabs>
        <w:ind w:left="2760" w:hanging="420"/>
      </w:pPr>
    </w:lvl>
    <w:lvl w:ilvl="6" w:tentative="0">
      <w:start w:val="1"/>
      <w:numFmt w:val="decimal"/>
      <w:lvlText w:val="%7."/>
      <w:lvlJc w:val="left"/>
      <w:pPr>
        <w:tabs>
          <w:tab w:val="left" w:pos="3180"/>
        </w:tabs>
        <w:ind w:left="3180" w:hanging="420"/>
      </w:pPr>
    </w:lvl>
    <w:lvl w:ilvl="7" w:tentative="0">
      <w:start w:val="1"/>
      <w:numFmt w:val="lowerLetter"/>
      <w:lvlText w:val="%8)"/>
      <w:lvlJc w:val="left"/>
      <w:pPr>
        <w:tabs>
          <w:tab w:val="left" w:pos="3600"/>
        </w:tabs>
        <w:ind w:left="3600" w:hanging="420"/>
      </w:pPr>
    </w:lvl>
    <w:lvl w:ilvl="8" w:tentative="0">
      <w:start w:val="1"/>
      <w:numFmt w:val="lowerRoman"/>
      <w:lvlText w:val="%9."/>
      <w:lvlJc w:val="right"/>
      <w:pPr>
        <w:tabs>
          <w:tab w:val="left" w:pos="4020"/>
        </w:tabs>
        <w:ind w:left="4020" w:hanging="420"/>
      </w:pPr>
    </w:lvl>
  </w:abstractNum>
  <w:abstractNum w:abstractNumId="4">
    <w:nsid w:val="0000000D"/>
    <w:multiLevelType w:val="multilevel"/>
    <w:tmpl w:val="0000000D"/>
    <w:lvl w:ilvl="0" w:tentative="0">
      <w:start w:val="1"/>
      <w:numFmt w:val="japaneseCounting"/>
      <w:lvlText w:val="（%1）"/>
      <w:lvlJc w:val="left"/>
      <w:pPr>
        <w:tabs>
          <w:tab w:val="left" w:pos="1260"/>
        </w:tabs>
        <w:ind w:left="1260" w:hanging="720"/>
      </w:pPr>
      <w:rPr>
        <w:rFonts w:hint="eastAsia"/>
      </w:rPr>
    </w:lvl>
    <w:lvl w:ilvl="1" w:tentative="0">
      <w:start w:val="1"/>
      <w:numFmt w:val="japaneseCounting"/>
      <w:lvlText w:val="（%2）"/>
      <w:lvlJc w:val="left"/>
      <w:pPr>
        <w:tabs>
          <w:tab w:val="left" w:pos="1140"/>
        </w:tabs>
        <w:ind w:left="1140" w:hanging="720"/>
      </w:pPr>
      <w:rPr>
        <w:rFonts w:hint="eastAsia"/>
      </w:rPr>
    </w:lvl>
    <w:lvl w:ilvl="2" w:tentative="0">
      <w:start w:val="1"/>
      <w:numFmt w:val="decimal"/>
      <w:lvlText w:val="（%3）"/>
      <w:lvlJc w:val="left"/>
      <w:pPr>
        <w:tabs>
          <w:tab w:val="left" w:pos="1560"/>
        </w:tabs>
        <w:ind w:left="1560" w:hanging="720"/>
      </w:pPr>
      <w:rPr>
        <w:rFonts w:hint="eastAsia"/>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00000029"/>
    <w:multiLevelType w:val="multilevel"/>
    <w:tmpl w:val="00000029"/>
    <w:lvl w:ilvl="0" w:tentative="0">
      <w:start w:val="1"/>
      <w:numFmt w:val="japaneseCounting"/>
      <w:lvlText w:val="（%1）"/>
      <w:lvlJc w:val="left"/>
      <w:pPr>
        <w:tabs>
          <w:tab w:val="left" w:pos="720"/>
        </w:tabs>
        <w:ind w:left="720" w:hanging="720"/>
      </w:pPr>
      <w:rPr>
        <w:rFonts w:hint="eastAsia"/>
      </w:rPr>
    </w:lvl>
    <w:lvl w:ilvl="1" w:tentative="0">
      <w:start w:val="1"/>
      <w:numFmt w:val="decimal"/>
      <w:lvlText w:val="（%2）"/>
      <w:lvlJc w:val="left"/>
      <w:pPr>
        <w:tabs>
          <w:tab w:val="left" w:pos="720"/>
        </w:tabs>
        <w:ind w:left="720" w:hanging="720"/>
      </w:pPr>
      <w:rPr>
        <w:rFonts w:hint="eastAsia"/>
      </w:rPr>
    </w:lvl>
    <w:lvl w:ilvl="2" w:tentative="0">
      <w:start w:val="1"/>
      <w:numFmt w:val="decimal"/>
      <w:lvlText w:val="%3）"/>
      <w:lvlJc w:val="left"/>
      <w:pPr>
        <w:tabs>
          <w:tab w:val="left" w:pos="1200"/>
        </w:tabs>
        <w:ind w:left="1200" w:hanging="360"/>
      </w:pPr>
      <w:rPr>
        <w:rFonts w:hint="eastAsia"/>
      </w:rPr>
    </w:lvl>
    <w:lvl w:ilvl="3" w:tentative="0">
      <w:start w:val="1"/>
      <w:numFmt w:val="decimal"/>
      <w:lvlText w:val="%4、"/>
      <w:lvlJc w:val="left"/>
      <w:pPr>
        <w:tabs>
          <w:tab w:val="left" w:pos="1980"/>
        </w:tabs>
        <w:ind w:left="1980" w:hanging="720"/>
      </w:pPr>
      <w:rPr>
        <w:rFonts w:hint="default" w:ascii="宋体"/>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103D4922"/>
    <w:multiLevelType w:val="singleLevel"/>
    <w:tmpl w:val="103D4922"/>
    <w:lvl w:ilvl="0" w:tentative="0">
      <w:start w:val="4"/>
      <w:numFmt w:val="decimal"/>
      <w:suff w:val="nothing"/>
      <w:lvlText w:val="%1、"/>
      <w:lvlJc w:val="left"/>
    </w:lvl>
  </w:abstractNum>
  <w:abstractNum w:abstractNumId="7">
    <w:nsid w:val="20615317"/>
    <w:multiLevelType w:val="multilevel"/>
    <w:tmpl w:val="20615317"/>
    <w:lvl w:ilvl="0" w:tentative="0">
      <w:start w:val="3"/>
      <w:numFmt w:val="decimal"/>
      <w:lvlText w:val="%1"/>
      <w:lvlJc w:val="left"/>
      <w:pPr>
        <w:tabs>
          <w:tab w:val="left" w:pos="782"/>
        </w:tabs>
        <w:ind w:left="782" w:hanging="360"/>
      </w:pPr>
      <w:rPr>
        <w:rFonts w:hint="default"/>
      </w:rPr>
    </w:lvl>
    <w:lvl w:ilvl="1" w:tentative="0">
      <w:start w:val="1"/>
      <w:numFmt w:val="lowerLetter"/>
      <w:lvlText w:val="%2)"/>
      <w:lvlJc w:val="left"/>
      <w:pPr>
        <w:tabs>
          <w:tab w:val="left" w:pos="1262"/>
        </w:tabs>
        <w:ind w:left="1262" w:hanging="420"/>
      </w:pPr>
    </w:lvl>
    <w:lvl w:ilvl="2" w:tentative="0">
      <w:start w:val="1"/>
      <w:numFmt w:val="lowerRoman"/>
      <w:lvlText w:val="%3."/>
      <w:lvlJc w:val="right"/>
      <w:pPr>
        <w:tabs>
          <w:tab w:val="left" w:pos="1682"/>
        </w:tabs>
        <w:ind w:left="1682" w:hanging="420"/>
      </w:pPr>
    </w:lvl>
    <w:lvl w:ilvl="3" w:tentative="0">
      <w:start w:val="1"/>
      <w:numFmt w:val="decimal"/>
      <w:lvlText w:val="%4."/>
      <w:lvlJc w:val="left"/>
      <w:pPr>
        <w:tabs>
          <w:tab w:val="left" w:pos="2102"/>
        </w:tabs>
        <w:ind w:left="2102" w:hanging="420"/>
      </w:pPr>
    </w:lvl>
    <w:lvl w:ilvl="4" w:tentative="0">
      <w:start w:val="1"/>
      <w:numFmt w:val="lowerLetter"/>
      <w:lvlText w:val="%5)"/>
      <w:lvlJc w:val="left"/>
      <w:pPr>
        <w:tabs>
          <w:tab w:val="left" w:pos="2522"/>
        </w:tabs>
        <w:ind w:left="2522" w:hanging="420"/>
      </w:pPr>
    </w:lvl>
    <w:lvl w:ilvl="5" w:tentative="0">
      <w:start w:val="1"/>
      <w:numFmt w:val="lowerRoman"/>
      <w:lvlText w:val="%6."/>
      <w:lvlJc w:val="right"/>
      <w:pPr>
        <w:tabs>
          <w:tab w:val="left" w:pos="2942"/>
        </w:tabs>
        <w:ind w:left="2942" w:hanging="420"/>
      </w:pPr>
    </w:lvl>
    <w:lvl w:ilvl="6" w:tentative="0">
      <w:start w:val="1"/>
      <w:numFmt w:val="decimal"/>
      <w:lvlText w:val="%7."/>
      <w:lvlJc w:val="left"/>
      <w:pPr>
        <w:tabs>
          <w:tab w:val="left" w:pos="3362"/>
        </w:tabs>
        <w:ind w:left="3362" w:hanging="420"/>
      </w:pPr>
    </w:lvl>
    <w:lvl w:ilvl="7" w:tentative="0">
      <w:start w:val="1"/>
      <w:numFmt w:val="lowerLetter"/>
      <w:lvlText w:val="%8)"/>
      <w:lvlJc w:val="left"/>
      <w:pPr>
        <w:tabs>
          <w:tab w:val="left" w:pos="3782"/>
        </w:tabs>
        <w:ind w:left="3782" w:hanging="420"/>
      </w:pPr>
    </w:lvl>
    <w:lvl w:ilvl="8" w:tentative="0">
      <w:start w:val="1"/>
      <w:numFmt w:val="lowerRoman"/>
      <w:lvlText w:val="%9."/>
      <w:lvlJc w:val="right"/>
      <w:pPr>
        <w:tabs>
          <w:tab w:val="left" w:pos="4202"/>
        </w:tabs>
        <w:ind w:left="4202" w:hanging="420"/>
      </w:pPr>
    </w:lvl>
  </w:abstractNum>
  <w:abstractNum w:abstractNumId="8">
    <w:nsid w:val="20BD1A32"/>
    <w:multiLevelType w:val="multilevel"/>
    <w:tmpl w:val="20BD1A32"/>
    <w:lvl w:ilvl="0" w:tentative="0">
      <w:start w:val="1"/>
      <w:numFmt w:val="bullet"/>
      <w:lvlText w:val="□"/>
      <w:lvlJc w:val="left"/>
      <w:pPr>
        <w:ind w:left="360" w:hanging="360"/>
      </w:pPr>
      <w:rPr>
        <w:rFonts w:hint="eastAsia" w:ascii="宋体" w:hAnsi="宋体" w:eastAsia="宋体"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9">
    <w:nsid w:val="3F486E63"/>
    <w:multiLevelType w:val="singleLevel"/>
    <w:tmpl w:val="3F486E63"/>
    <w:lvl w:ilvl="0" w:tentative="0">
      <w:start w:val="8"/>
      <w:numFmt w:val="chineseCounting"/>
      <w:suff w:val="space"/>
      <w:lvlText w:val="第%1章"/>
      <w:lvlJc w:val="left"/>
      <w:rPr>
        <w:rFonts w:hint="eastAsia"/>
      </w:rPr>
    </w:lvl>
  </w:abstractNum>
  <w:abstractNum w:abstractNumId="10">
    <w:nsid w:val="59005C29"/>
    <w:multiLevelType w:val="singleLevel"/>
    <w:tmpl w:val="59005C29"/>
    <w:lvl w:ilvl="0" w:tentative="0">
      <w:start w:val="1"/>
      <w:numFmt w:val="chineseCounting"/>
      <w:suff w:val="nothing"/>
      <w:lvlText w:val="（%1）"/>
      <w:lvlJc w:val="left"/>
    </w:lvl>
  </w:abstractNum>
  <w:abstractNum w:abstractNumId="11">
    <w:nsid w:val="599E421B"/>
    <w:multiLevelType w:val="singleLevel"/>
    <w:tmpl w:val="599E421B"/>
    <w:lvl w:ilvl="0" w:tentative="0">
      <w:start w:val="1"/>
      <w:numFmt w:val="decimal"/>
      <w:suff w:val="space"/>
      <w:lvlText w:val="(%1)"/>
      <w:lvlJc w:val="left"/>
    </w:lvl>
  </w:abstractNum>
  <w:abstractNum w:abstractNumId="12">
    <w:nsid w:val="61DE5ED8"/>
    <w:multiLevelType w:val="multilevel"/>
    <w:tmpl w:val="61DE5ED8"/>
    <w:lvl w:ilvl="0" w:tentative="0">
      <w:start w:val="1"/>
      <w:numFmt w:val="bullet"/>
      <w:lvlText w:val="□"/>
      <w:lvlJc w:val="left"/>
      <w:pPr>
        <w:ind w:left="360" w:hanging="360"/>
      </w:pPr>
      <w:rPr>
        <w:rFonts w:hint="eastAsia" w:ascii="宋体" w:hAnsi="宋体" w:eastAsia="宋体"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pStyle w:val="8"/>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12"/>
  </w:num>
  <w:num w:numId="2">
    <w:abstractNumId w:val="3"/>
  </w:num>
  <w:num w:numId="3">
    <w:abstractNumId w:val="0"/>
  </w:num>
  <w:num w:numId="4">
    <w:abstractNumId w:val="8"/>
  </w:num>
  <w:num w:numId="5">
    <w:abstractNumId w:val="2"/>
  </w:num>
  <w:num w:numId="6">
    <w:abstractNumId w:val="7"/>
  </w:num>
  <w:num w:numId="7">
    <w:abstractNumId w:val="11"/>
  </w:num>
  <w:num w:numId="8">
    <w:abstractNumId w:val="1"/>
  </w:num>
  <w:num w:numId="9">
    <w:abstractNumId w:val="4"/>
  </w:num>
  <w:num w:numId="10">
    <w:abstractNumId w:val="5"/>
  </w:num>
  <w:num w:numId="11">
    <w:abstractNumId w:val="9"/>
  </w:num>
  <w:num w:numId="12">
    <w:abstractNumId w:val="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hideSpellingErrors/>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AC59C1"/>
    <w:rsid w:val="00000B62"/>
    <w:rsid w:val="00005197"/>
    <w:rsid w:val="0000653C"/>
    <w:rsid w:val="00006989"/>
    <w:rsid w:val="00011AD3"/>
    <w:rsid w:val="000142FD"/>
    <w:rsid w:val="00016AE3"/>
    <w:rsid w:val="00024053"/>
    <w:rsid w:val="00025A87"/>
    <w:rsid w:val="00025F2B"/>
    <w:rsid w:val="00033556"/>
    <w:rsid w:val="00036E79"/>
    <w:rsid w:val="00043F8C"/>
    <w:rsid w:val="0004592F"/>
    <w:rsid w:val="00046337"/>
    <w:rsid w:val="00051292"/>
    <w:rsid w:val="0005233A"/>
    <w:rsid w:val="0005647F"/>
    <w:rsid w:val="00061A4F"/>
    <w:rsid w:val="00063C3D"/>
    <w:rsid w:val="000709F7"/>
    <w:rsid w:val="00072C08"/>
    <w:rsid w:val="00093D8B"/>
    <w:rsid w:val="0009534F"/>
    <w:rsid w:val="000977CB"/>
    <w:rsid w:val="000A0C40"/>
    <w:rsid w:val="000A30D3"/>
    <w:rsid w:val="000A3952"/>
    <w:rsid w:val="000B387D"/>
    <w:rsid w:val="000C1535"/>
    <w:rsid w:val="000C2F27"/>
    <w:rsid w:val="000C3FA2"/>
    <w:rsid w:val="000D1F7E"/>
    <w:rsid w:val="000D4A98"/>
    <w:rsid w:val="000D65FD"/>
    <w:rsid w:val="000F1493"/>
    <w:rsid w:val="001005AF"/>
    <w:rsid w:val="00100E59"/>
    <w:rsid w:val="001053F2"/>
    <w:rsid w:val="0011038E"/>
    <w:rsid w:val="00110DDE"/>
    <w:rsid w:val="00116423"/>
    <w:rsid w:val="00121392"/>
    <w:rsid w:val="00121930"/>
    <w:rsid w:val="00123E5A"/>
    <w:rsid w:val="0012672B"/>
    <w:rsid w:val="001306CD"/>
    <w:rsid w:val="00132335"/>
    <w:rsid w:val="001437FB"/>
    <w:rsid w:val="00147EAA"/>
    <w:rsid w:val="00147EC0"/>
    <w:rsid w:val="00147EE2"/>
    <w:rsid w:val="0015008D"/>
    <w:rsid w:val="00150CAB"/>
    <w:rsid w:val="001511B3"/>
    <w:rsid w:val="00155DAE"/>
    <w:rsid w:val="0016026C"/>
    <w:rsid w:val="00167CC5"/>
    <w:rsid w:val="00172B94"/>
    <w:rsid w:val="00177F16"/>
    <w:rsid w:val="00182C8F"/>
    <w:rsid w:val="00191E07"/>
    <w:rsid w:val="00191FAB"/>
    <w:rsid w:val="00193AE2"/>
    <w:rsid w:val="0019597B"/>
    <w:rsid w:val="00197353"/>
    <w:rsid w:val="001A3074"/>
    <w:rsid w:val="001B060A"/>
    <w:rsid w:val="001C2FFD"/>
    <w:rsid w:val="001C6CA6"/>
    <w:rsid w:val="001D259F"/>
    <w:rsid w:val="001D31E4"/>
    <w:rsid w:val="001D3ABA"/>
    <w:rsid w:val="001D5455"/>
    <w:rsid w:val="001E3B26"/>
    <w:rsid w:val="001E3CA1"/>
    <w:rsid w:val="001E5E93"/>
    <w:rsid w:val="001E6E42"/>
    <w:rsid w:val="001F2CCE"/>
    <w:rsid w:val="001F701B"/>
    <w:rsid w:val="002108E5"/>
    <w:rsid w:val="002132CB"/>
    <w:rsid w:val="00214D46"/>
    <w:rsid w:val="00216AAE"/>
    <w:rsid w:val="00227B2A"/>
    <w:rsid w:val="002363DF"/>
    <w:rsid w:val="0024663B"/>
    <w:rsid w:val="0025611F"/>
    <w:rsid w:val="00264D90"/>
    <w:rsid w:val="002664F2"/>
    <w:rsid w:val="0026716A"/>
    <w:rsid w:val="00270022"/>
    <w:rsid w:val="00270423"/>
    <w:rsid w:val="00273355"/>
    <w:rsid w:val="00275C14"/>
    <w:rsid w:val="00282A5A"/>
    <w:rsid w:val="00292FA9"/>
    <w:rsid w:val="002933B2"/>
    <w:rsid w:val="00293DCA"/>
    <w:rsid w:val="00294880"/>
    <w:rsid w:val="00296F50"/>
    <w:rsid w:val="002A3367"/>
    <w:rsid w:val="002B5191"/>
    <w:rsid w:val="002B65AF"/>
    <w:rsid w:val="002B79FC"/>
    <w:rsid w:val="002B7BC2"/>
    <w:rsid w:val="002C44CE"/>
    <w:rsid w:val="002D5C6B"/>
    <w:rsid w:val="002D621E"/>
    <w:rsid w:val="002D7C02"/>
    <w:rsid w:val="002E0D99"/>
    <w:rsid w:val="002E722E"/>
    <w:rsid w:val="002E7437"/>
    <w:rsid w:val="002F04C7"/>
    <w:rsid w:val="00300BE5"/>
    <w:rsid w:val="003022FA"/>
    <w:rsid w:val="0030300D"/>
    <w:rsid w:val="003106C0"/>
    <w:rsid w:val="00312F3A"/>
    <w:rsid w:val="00313D3C"/>
    <w:rsid w:val="003214D9"/>
    <w:rsid w:val="00324DE8"/>
    <w:rsid w:val="003353A3"/>
    <w:rsid w:val="00343C51"/>
    <w:rsid w:val="00344AD4"/>
    <w:rsid w:val="00351B0E"/>
    <w:rsid w:val="00352415"/>
    <w:rsid w:val="0035406B"/>
    <w:rsid w:val="00364B37"/>
    <w:rsid w:val="00367DD7"/>
    <w:rsid w:val="003714F5"/>
    <w:rsid w:val="0037197E"/>
    <w:rsid w:val="00372D3E"/>
    <w:rsid w:val="00373CCF"/>
    <w:rsid w:val="00377600"/>
    <w:rsid w:val="0038456E"/>
    <w:rsid w:val="00384788"/>
    <w:rsid w:val="00386692"/>
    <w:rsid w:val="00397838"/>
    <w:rsid w:val="003A007A"/>
    <w:rsid w:val="003A20EF"/>
    <w:rsid w:val="003A6697"/>
    <w:rsid w:val="003B20D5"/>
    <w:rsid w:val="003B52AA"/>
    <w:rsid w:val="003B66D9"/>
    <w:rsid w:val="003C035B"/>
    <w:rsid w:val="003C0387"/>
    <w:rsid w:val="003C1EEE"/>
    <w:rsid w:val="003C48D4"/>
    <w:rsid w:val="003C493F"/>
    <w:rsid w:val="003C6D8F"/>
    <w:rsid w:val="003D1BD8"/>
    <w:rsid w:val="003D25E5"/>
    <w:rsid w:val="003D2BEC"/>
    <w:rsid w:val="003D4D75"/>
    <w:rsid w:val="003D505E"/>
    <w:rsid w:val="003D6303"/>
    <w:rsid w:val="003E58E9"/>
    <w:rsid w:val="003E71B0"/>
    <w:rsid w:val="003F1EA5"/>
    <w:rsid w:val="003F2FC8"/>
    <w:rsid w:val="003F56FA"/>
    <w:rsid w:val="003F57E2"/>
    <w:rsid w:val="00401ECB"/>
    <w:rsid w:val="0040262F"/>
    <w:rsid w:val="0040568D"/>
    <w:rsid w:val="00406F83"/>
    <w:rsid w:val="00412DCB"/>
    <w:rsid w:val="00414CB3"/>
    <w:rsid w:val="004151C1"/>
    <w:rsid w:val="00416FC7"/>
    <w:rsid w:val="00426AAE"/>
    <w:rsid w:val="00432C3C"/>
    <w:rsid w:val="004356A6"/>
    <w:rsid w:val="00447409"/>
    <w:rsid w:val="004611F8"/>
    <w:rsid w:val="0047635A"/>
    <w:rsid w:val="00482404"/>
    <w:rsid w:val="0048508C"/>
    <w:rsid w:val="004862B3"/>
    <w:rsid w:val="00486DDD"/>
    <w:rsid w:val="004908FD"/>
    <w:rsid w:val="004A1444"/>
    <w:rsid w:val="004A3075"/>
    <w:rsid w:val="004C30ED"/>
    <w:rsid w:val="004C7812"/>
    <w:rsid w:val="004D05A3"/>
    <w:rsid w:val="004D2B4A"/>
    <w:rsid w:val="004D3613"/>
    <w:rsid w:val="004D3B02"/>
    <w:rsid w:val="004D5D28"/>
    <w:rsid w:val="004E336B"/>
    <w:rsid w:val="004E3429"/>
    <w:rsid w:val="004E73D6"/>
    <w:rsid w:val="004E7944"/>
    <w:rsid w:val="004F130D"/>
    <w:rsid w:val="004F6E20"/>
    <w:rsid w:val="004F6E22"/>
    <w:rsid w:val="004F77A1"/>
    <w:rsid w:val="005011B6"/>
    <w:rsid w:val="00502A7F"/>
    <w:rsid w:val="00502E77"/>
    <w:rsid w:val="0050771A"/>
    <w:rsid w:val="00510CF0"/>
    <w:rsid w:val="00512D8D"/>
    <w:rsid w:val="00520951"/>
    <w:rsid w:val="00520DEA"/>
    <w:rsid w:val="005218D1"/>
    <w:rsid w:val="00522495"/>
    <w:rsid w:val="00522630"/>
    <w:rsid w:val="00523AA4"/>
    <w:rsid w:val="00531BE1"/>
    <w:rsid w:val="0054016E"/>
    <w:rsid w:val="00543098"/>
    <w:rsid w:val="00543A07"/>
    <w:rsid w:val="00560559"/>
    <w:rsid w:val="00561044"/>
    <w:rsid w:val="00564BD5"/>
    <w:rsid w:val="00565363"/>
    <w:rsid w:val="0056648A"/>
    <w:rsid w:val="00575E50"/>
    <w:rsid w:val="005774F5"/>
    <w:rsid w:val="005A5380"/>
    <w:rsid w:val="005A6D4A"/>
    <w:rsid w:val="005A721F"/>
    <w:rsid w:val="005A7407"/>
    <w:rsid w:val="005B2079"/>
    <w:rsid w:val="005B2508"/>
    <w:rsid w:val="005B7271"/>
    <w:rsid w:val="005B7BD4"/>
    <w:rsid w:val="005B7C25"/>
    <w:rsid w:val="005C10DD"/>
    <w:rsid w:val="005C5C79"/>
    <w:rsid w:val="005D39C0"/>
    <w:rsid w:val="005D3F3A"/>
    <w:rsid w:val="005D41EE"/>
    <w:rsid w:val="005E2C51"/>
    <w:rsid w:val="005E2EDA"/>
    <w:rsid w:val="005E6C9F"/>
    <w:rsid w:val="00600FB8"/>
    <w:rsid w:val="00606A04"/>
    <w:rsid w:val="006101C8"/>
    <w:rsid w:val="00614A94"/>
    <w:rsid w:val="00622B83"/>
    <w:rsid w:val="0063142A"/>
    <w:rsid w:val="006405A7"/>
    <w:rsid w:val="006405E5"/>
    <w:rsid w:val="00641A77"/>
    <w:rsid w:val="00647185"/>
    <w:rsid w:val="00650BF7"/>
    <w:rsid w:val="00652894"/>
    <w:rsid w:val="00652AF5"/>
    <w:rsid w:val="0065429C"/>
    <w:rsid w:val="00661373"/>
    <w:rsid w:val="00663063"/>
    <w:rsid w:val="006645A3"/>
    <w:rsid w:val="00665CF3"/>
    <w:rsid w:val="00670F8B"/>
    <w:rsid w:val="006802EB"/>
    <w:rsid w:val="00683834"/>
    <w:rsid w:val="006856DB"/>
    <w:rsid w:val="00685C02"/>
    <w:rsid w:val="00686B01"/>
    <w:rsid w:val="006933D3"/>
    <w:rsid w:val="00694065"/>
    <w:rsid w:val="006A7B8D"/>
    <w:rsid w:val="006B4FD7"/>
    <w:rsid w:val="006B71D6"/>
    <w:rsid w:val="006B7AC6"/>
    <w:rsid w:val="006C7D72"/>
    <w:rsid w:val="006D2D06"/>
    <w:rsid w:val="006D2FF4"/>
    <w:rsid w:val="006D3011"/>
    <w:rsid w:val="006E6155"/>
    <w:rsid w:val="006E7645"/>
    <w:rsid w:val="006F2772"/>
    <w:rsid w:val="006F69B3"/>
    <w:rsid w:val="00700181"/>
    <w:rsid w:val="00705210"/>
    <w:rsid w:val="0070626E"/>
    <w:rsid w:val="00706949"/>
    <w:rsid w:val="00712C8B"/>
    <w:rsid w:val="00712F47"/>
    <w:rsid w:val="00715F2D"/>
    <w:rsid w:val="00716F81"/>
    <w:rsid w:val="00721A8E"/>
    <w:rsid w:val="00725D44"/>
    <w:rsid w:val="00726A4D"/>
    <w:rsid w:val="00733275"/>
    <w:rsid w:val="00735223"/>
    <w:rsid w:val="0073563D"/>
    <w:rsid w:val="007421D3"/>
    <w:rsid w:val="00742C01"/>
    <w:rsid w:val="007445FD"/>
    <w:rsid w:val="00762C3D"/>
    <w:rsid w:val="007639D5"/>
    <w:rsid w:val="007669BD"/>
    <w:rsid w:val="007756DB"/>
    <w:rsid w:val="0078522B"/>
    <w:rsid w:val="00785712"/>
    <w:rsid w:val="00786673"/>
    <w:rsid w:val="00791D3C"/>
    <w:rsid w:val="00791EDC"/>
    <w:rsid w:val="007A25E9"/>
    <w:rsid w:val="007B4039"/>
    <w:rsid w:val="007B7A59"/>
    <w:rsid w:val="007C2951"/>
    <w:rsid w:val="007C4402"/>
    <w:rsid w:val="007C6DEA"/>
    <w:rsid w:val="007D088C"/>
    <w:rsid w:val="007D13A4"/>
    <w:rsid w:val="007E2E0F"/>
    <w:rsid w:val="007E4F92"/>
    <w:rsid w:val="007F2D20"/>
    <w:rsid w:val="007F41FF"/>
    <w:rsid w:val="007F50DE"/>
    <w:rsid w:val="00804D58"/>
    <w:rsid w:val="00806175"/>
    <w:rsid w:val="008070D3"/>
    <w:rsid w:val="00810BA0"/>
    <w:rsid w:val="00827F87"/>
    <w:rsid w:val="00843880"/>
    <w:rsid w:val="00855DC1"/>
    <w:rsid w:val="00856F4F"/>
    <w:rsid w:val="008572D8"/>
    <w:rsid w:val="00857C59"/>
    <w:rsid w:val="00867A77"/>
    <w:rsid w:val="00867F85"/>
    <w:rsid w:val="008947BB"/>
    <w:rsid w:val="00894CD4"/>
    <w:rsid w:val="00895B41"/>
    <w:rsid w:val="008A5167"/>
    <w:rsid w:val="008A643B"/>
    <w:rsid w:val="008B2478"/>
    <w:rsid w:val="008C733E"/>
    <w:rsid w:val="008D3F28"/>
    <w:rsid w:val="008E00BC"/>
    <w:rsid w:val="008E470E"/>
    <w:rsid w:val="008E4C9B"/>
    <w:rsid w:val="008E574B"/>
    <w:rsid w:val="008E71B7"/>
    <w:rsid w:val="008F0D5E"/>
    <w:rsid w:val="008F45A5"/>
    <w:rsid w:val="008F5331"/>
    <w:rsid w:val="009008B5"/>
    <w:rsid w:val="00900F96"/>
    <w:rsid w:val="00904B29"/>
    <w:rsid w:val="0090591C"/>
    <w:rsid w:val="009059F8"/>
    <w:rsid w:val="0090640D"/>
    <w:rsid w:val="009107C8"/>
    <w:rsid w:val="009109F3"/>
    <w:rsid w:val="0091425D"/>
    <w:rsid w:val="00914F6E"/>
    <w:rsid w:val="00915026"/>
    <w:rsid w:val="00915713"/>
    <w:rsid w:val="0092281E"/>
    <w:rsid w:val="00923849"/>
    <w:rsid w:val="009255BA"/>
    <w:rsid w:val="009342A2"/>
    <w:rsid w:val="009444C3"/>
    <w:rsid w:val="00944939"/>
    <w:rsid w:val="009459EE"/>
    <w:rsid w:val="00945C80"/>
    <w:rsid w:val="00954A0F"/>
    <w:rsid w:val="00963B67"/>
    <w:rsid w:val="00976003"/>
    <w:rsid w:val="00981D20"/>
    <w:rsid w:val="0098731C"/>
    <w:rsid w:val="0099234F"/>
    <w:rsid w:val="0099236C"/>
    <w:rsid w:val="00995647"/>
    <w:rsid w:val="00995699"/>
    <w:rsid w:val="00997B99"/>
    <w:rsid w:val="009A371D"/>
    <w:rsid w:val="009B0CB7"/>
    <w:rsid w:val="009B44FA"/>
    <w:rsid w:val="009B712B"/>
    <w:rsid w:val="009C0350"/>
    <w:rsid w:val="009E7693"/>
    <w:rsid w:val="009F1F1C"/>
    <w:rsid w:val="009F723E"/>
    <w:rsid w:val="00A0093A"/>
    <w:rsid w:val="00A03423"/>
    <w:rsid w:val="00A0790B"/>
    <w:rsid w:val="00A07FC0"/>
    <w:rsid w:val="00A10075"/>
    <w:rsid w:val="00A201CD"/>
    <w:rsid w:val="00A248E1"/>
    <w:rsid w:val="00A37A62"/>
    <w:rsid w:val="00A477D2"/>
    <w:rsid w:val="00A57FF0"/>
    <w:rsid w:val="00A60007"/>
    <w:rsid w:val="00A723C7"/>
    <w:rsid w:val="00A723F0"/>
    <w:rsid w:val="00A74EDB"/>
    <w:rsid w:val="00A76E73"/>
    <w:rsid w:val="00A866D5"/>
    <w:rsid w:val="00A90087"/>
    <w:rsid w:val="00A92187"/>
    <w:rsid w:val="00A93BD8"/>
    <w:rsid w:val="00A97FF8"/>
    <w:rsid w:val="00AA2D72"/>
    <w:rsid w:val="00AA31A4"/>
    <w:rsid w:val="00AA34A0"/>
    <w:rsid w:val="00AA4A2E"/>
    <w:rsid w:val="00AC76DA"/>
    <w:rsid w:val="00AE592C"/>
    <w:rsid w:val="00AF01D1"/>
    <w:rsid w:val="00AF37AA"/>
    <w:rsid w:val="00AF3FF6"/>
    <w:rsid w:val="00AF4A2B"/>
    <w:rsid w:val="00AF79B0"/>
    <w:rsid w:val="00B00366"/>
    <w:rsid w:val="00B1593A"/>
    <w:rsid w:val="00B15A9F"/>
    <w:rsid w:val="00B15E8E"/>
    <w:rsid w:val="00B21948"/>
    <w:rsid w:val="00B31300"/>
    <w:rsid w:val="00B3393A"/>
    <w:rsid w:val="00B50E93"/>
    <w:rsid w:val="00B5358A"/>
    <w:rsid w:val="00B5424B"/>
    <w:rsid w:val="00B54BE8"/>
    <w:rsid w:val="00B57AEC"/>
    <w:rsid w:val="00B622B2"/>
    <w:rsid w:val="00B64DC3"/>
    <w:rsid w:val="00B662D7"/>
    <w:rsid w:val="00B7329C"/>
    <w:rsid w:val="00B73E61"/>
    <w:rsid w:val="00B809E0"/>
    <w:rsid w:val="00B82E03"/>
    <w:rsid w:val="00BA1344"/>
    <w:rsid w:val="00BB0B78"/>
    <w:rsid w:val="00BB0BD8"/>
    <w:rsid w:val="00BB1E9E"/>
    <w:rsid w:val="00BB5B60"/>
    <w:rsid w:val="00BD4B86"/>
    <w:rsid w:val="00BE3072"/>
    <w:rsid w:val="00BE3606"/>
    <w:rsid w:val="00BE4828"/>
    <w:rsid w:val="00BE5E7F"/>
    <w:rsid w:val="00BE7167"/>
    <w:rsid w:val="00BE79F3"/>
    <w:rsid w:val="00BF0E2E"/>
    <w:rsid w:val="00BF3195"/>
    <w:rsid w:val="00BF3CB6"/>
    <w:rsid w:val="00BF4D05"/>
    <w:rsid w:val="00C06599"/>
    <w:rsid w:val="00C24162"/>
    <w:rsid w:val="00C24ECB"/>
    <w:rsid w:val="00C2693F"/>
    <w:rsid w:val="00C27408"/>
    <w:rsid w:val="00C3706A"/>
    <w:rsid w:val="00C37FF0"/>
    <w:rsid w:val="00C476FE"/>
    <w:rsid w:val="00C57301"/>
    <w:rsid w:val="00C65BEB"/>
    <w:rsid w:val="00C67A33"/>
    <w:rsid w:val="00C75CBF"/>
    <w:rsid w:val="00C859EC"/>
    <w:rsid w:val="00C87A2E"/>
    <w:rsid w:val="00C91F9E"/>
    <w:rsid w:val="00C94BA8"/>
    <w:rsid w:val="00C962EC"/>
    <w:rsid w:val="00CA2452"/>
    <w:rsid w:val="00CA4B86"/>
    <w:rsid w:val="00CA678A"/>
    <w:rsid w:val="00CB0CDA"/>
    <w:rsid w:val="00CB2711"/>
    <w:rsid w:val="00CB5ABF"/>
    <w:rsid w:val="00CB73AF"/>
    <w:rsid w:val="00CC5F15"/>
    <w:rsid w:val="00CC793B"/>
    <w:rsid w:val="00CF0680"/>
    <w:rsid w:val="00CF36AB"/>
    <w:rsid w:val="00CF3724"/>
    <w:rsid w:val="00D103EA"/>
    <w:rsid w:val="00D16CC4"/>
    <w:rsid w:val="00D27F2E"/>
    <w:rsid w:val="00D32C56"/>
    <w:rsid w:val="00D34FE1"/>
    <w:rsid w:val="00D3561B"/>
    <w:rsid w:val="00D3570D"/>
    <w:rsid w:val="00D36A5F"/>
    <w:rsid w:val="00D40ED0"/>
    <w:rsid w:val="00D64765"/>
    <w:rsid w:val="00D6725A"/>
    <w:rsid w:val="00D82FE2"/>
    <w:rsid w:val="00D86778"/>
    <w:rsid w:val="00DA6BB8"/>
    <w:rsid w:val="00DB1141"/>
    <w:rsid w:val="00DB12AD"/>
    <w:rsid w:val="00DB641E"/>
    <w:rsid w:val="00DC1DF1"/>
    <w:rsid w:val="00DC2F78"/>
    <w:rsid w:val="00DC625B"/>
    <w:rsid w:val="00DE5E9D"/>
    <w:rsid w:val="00DF2D8D"/>
    <w:rsid w:val="00DF605D"/>
    <w:rsid w:val="00DF669F"/>
    <w:rsid w:val="00DF7BE2"/>
    <w:rsid w:val="00DF7C31"/>
    <w:rsid w:val="00E0005D"/>
    <w:rsid w:val="00E13A7E"/>
    <w:rsid w:val="00E23892"/>
    <w:rsid w:val="00E271E1"/>
    <w:rsid w:val="00E3001D"/>
    <w:rsid w:val="00E316BB"/>
    <w:rsid w:val="00E32C54"/>
    <w:rsid w:val="00E54C1D"/>
    <w:rsid w:val="00E56FFB"/>
    <w:rsid w:val="00E6475A"/>
    <w:rsid w:val="00E74505"/>
    <w:rsid w:val="00E827F5"/>
    <w:rsid w:val="00E84533"/>
    <w:rsid w:val="00E953FF"/>
    <w:rsid w:val="00E96528"/>
    <w:rsid w:val="00E96D7D"/>
    <w:rsid w:val="00E9765A"/>
    <w:rsid w:val="00EC2716"/>
    <w:rsid w:val="00EE1050"/>
    <w:rsid w:val="00EE2A47"/>
    <w:rsid w:val="00EE4D0B"/>
    <w:rsid w:val="00EF7422"/>
    <w:rsid w:val="00F03E58"/>
    <w:rsid w:val="00F13E81"/>
    <w:rsid w:val="00F15393"/>
    <w:rsid w:val="00F17AD5"/>
    <w:rsid w:val="00F23FEA"/>
    <w:rsid w:val="00F40526"/>
    <w:rsid w:val="00F4291F"/>
    <w:rsid w:val="00F50670"/>
    <w:rsid w:val="00F5268C"/>
    <w:rsid w:val="00F5716E"/>
    <w:rsid w:val="00F61697"/>
    <w:rsid w:val="00F67D54"/>
    <w:rsid w:val="00F70AC1"/>
    <w:rsid w:val="00F70C8E"/>
    <w:rsid w:val="00F7546F"/>
    <w:rsid w:val="00F8443D"/>
    <w:rsid w:val="00F8723D"/>
    <w:rsid w:val="00F94DB7"/>
    <w:rsid w:val="00F95AB6"/>
    <w:rsid w:val="00F977ED"/>
    <w:rsid w:val="00FA138B"/>
    <w:rsid w:val="00FB1132"/>
    <w:rsid w:val="00FC62E3"/>
    <w:rsid w:val="00FD5CF7"/>
    <w:rsid w:val="00FD6D22"/>
    <w:rsid w:val="00FD72E8"/>
    <w:rsid w:val="00FE2240"/>
    <w:rsid w:val="00FE532A"/>
    <w:rsid w:val="00FE6050"/>
    <w:rsid w:val="00FF348C"/>
    <w:rsid w:val="00FF34C4"/>
    <w:rsid w:val="00FF3956"/>
    <w:rsid w:val="00FF61F7"/>
    <w:rsid w:val="014012CB"/>
    <w:rsid w:val="016A5AEC"/>
    <w:rsid w:val="01881089"/>
    <w:rsid w:val="01BD2DA6"/>
    <w:rsid w:val="02440666"/>
    <w:rsid w:val="0283779A"/>
    <w:rsid w:val="02A24AE9"/>
    <w:rsid w:val="02C70E98"/>
    <w:rsid w:val="02EB3CFD"/>
    <w:rsid w:val="030A235F"/>
    <w:rsid w:val="03123062"/>
    <w:rsid w:val="038E1513"/>
    <w:rsid w:val="03BC6E1B"/>
    <w:rsid w:val="04350E08"/>
    <w:rsid w:val="04382E0B"/>
    <w:rsid w:val="04EE2DB8"/>
    <w:rsid w:val="04F07D58"/>
    <w:rsid w:val="054A0E22"/>
    <w:rsid w:val="054A6A37"/>
    <w:rsid w:val="055115A0"/>
    <w:rsid w:val="05625146"/>
    <w:rsid w:val="05E7391A"/>
    <w:rsid w:val="06042026"/>
    <w:rsid w:val="065F0B31"/>
    <w:rsid w:val="06F81C43"/>
    <w:rsid w:val="0757039F"/>
    <w:rsid w:val="083806A9"/>
    <w:rsid w:val="08763A6F"/>
    <w:rsid w:val="08C515DB"/>
    <w:rsid w:val="08CA0723"/>
    <w:rsid w:val="08FD6FEC"/>
    <w:rsid w:val="094968F3"/>
    <w:rsid w:val="095B2183"/>
    <w:rsid w:val="096D3575"/>
    <w:rsid w:val="09A57B2B"/>
    <w:rsid w:val="09EE71E0"/>
    <w:rsid w:val="09EF017C"/>
    <w:rsid w:val="0A2C5B6E"/>
    <w:rsid w:val="0A6957E5"/>
    <w:rsid w:val="0AA72279"/>
    <w:rsid w:val="0B4169DD"/>
    <w:rsid w:val="0B42780E"/>
    <w:rsid w:val="0C0B0073"/>
    <w:rsid w:val="0C417CE2"/>
    <w:rsid w:val="0C615808"/>
    <w:rsid w:val="0C766EAC"/>
    <w:rsid w:val="0C8524A4"/>
    <w:rsid w:val="0CED0C4E"/>
    <w:rsid w:val="0D24635F"/>
    <w:rsid w:val="0D8930CB"/>
    <w:rsid w:val="0DDB19AA"/>
    <w:rsid w:val="0E3027E0"/>
    <w:rsid w:val="0EA752F0"/>
    <w:rsid w:val="0EF224D7"/>
    <w:rsid w:val="10812D49"/>
    <w:rsid w:val="10B714EC"/>
    <w:rsid w:val="10CC2A8D"/>
    <w:rsid w:val="10D13864"/>
    <w:rsid w:val="10EC3BA1"/>
    <w:rsid w:val="11247566"/>
    <w:rsid w:val="114B2113"/>
    <w:rsid w:val="1167366D"/>
    <w:rsid w:val="117B25B3"/>
    <w:rsid w:val="11B920D0"/>
    <w:rsid w:val="12E15356"/>
    <w:rsid w:val="12FA7DF3"/>
    <w:rsid w:val="131410B0"/>
    <w:rsid w:val="134A4BC9"/>
    <w:rsid w:val="1368267A"/>
    <w:rsid w:val="13B6578B"/>
    <w:rsid w:val="13BE0407"/>
    <w:rsid w:val="142003B5"/>
    <w:rsid w:val="1424360A"/>
    <w:rsid w:val="144372D2"/>
    <w:rsid w:val="149051F9"/>
    <w:rsid w:val="14CD3817"/>
    <w:rsid w:val="15000F35"/>
    <w:rsid w:val="15EA59F4"/>
    <w:rsid w:val="15FA0344"/>
    <w:rsid w:val="16906962"/>
    <w:rsid w:val="171060C6"/>
    <w:rsid w:val="173742F9"/>
    <w:rsid w:val="17492ED5"/>
    <w:rsid w:val="185648A1"/>
    <w:rsid w:val="18AE47B5"/>
    <w:rsid w:val="18F91C37"/>
    <w:rsid w:val="197946DF"/>
    <w:rsid w:val="19993196"/>
    <w:rsid w:val="19B35BE4"/>
    <w:rsid w:val="19B606BF"/>
    <w:rsid w:val="1A0243C8"/>
    <w:rsid w:val="1A0F73DA"/>
    <w:rsid w:val="1A55014B"/>
    <w:rsid w:val="1AA13D5B"/>
    <w:rsid w:val="1AD75C70"/>
    <w:rsid w:val="1AF3721A"/>
    <w:rsid w:val="1B02743D"/>
    <w:rsid w:val="1BB6256C"/>
    <w:rsid w:val="1BE74460"/>
    <w:rsid w:val="1BF01C04"/>
    <w:rsid w:val="1D117B8C"/>
    <w:rsid w:val="1D461DD3"/>
    <w:rsid w:val="1D5445ED"/>
    <w:rsid w:val="1D5E3400"/>
    <w:rsid w:val="1DBD1544"/>
    <w:rsid w:val="1F2F5F4E"/>
    <w:rsid w:val="1F79622C"/>
    <w:rsid w:val="1F9E4DEB"/>
    <w:rsid w:val="1FA23299"/>
    <w:rsid w:val="1FC308C3"/>
    <w:rsid w:val="1FDE5EEC"/>
    <w:rsid w:val="1FED5CF0"/>
    <w:rsid w:val="1FF93FBF"/>
    <w:rsid w:val="20637613"/>
    <w:rsid w:val="20765956"/>
    <w:rsid w:val="20FB391A"/>
    <w:rsid w:val="211476A6"/>
    <w:rsid w:val="213F08CE"/>
    <w:rsid w:val="21577C0D"/>
    <w:rsid w:val="218B3FE2"/>
    <w:rsid w:val="21A15D7C"/>
    <w:rsid w:val="21DB49F4"/>
    <w:rsid w:val="21F0058F"/>
    <w:rsid w:val="22145B81"/>
    <w:rsid w:val="221F6844"/>
    <w:rsid w:val="22667C7F"/>
    <w:rsid w:val="22880401"/>
    <w:rsid w:val="22DF2A87"/>
    <w:rsid w:val="233737F5"/>
    <w:rsid w:val="233A46A0"/>
    <w:rsid w:val="2388484B"/>
    <w:rsid w:val="23993173"/>
    <w:rsid w:val="23ED405B"/>
    <w:rsid w:val="240D2136"/>
    <w:rsid w:val="242F3776"/>
    <w:rsid w:val="243F01FB"/>
    <w:rsid w:val="24691897"/>
    <w:rsid w:val="249070B2"/>
    <w:rsid w:val="24D76D61"/>
    <w:rsid w:val="25013E9A"/>
    <w:rsid w:val="25033D23"/>
    <w:rsid w:val="252C4212"/>
    <w:rsid w:val="252F1918"/>
    <w:rsid w:val="25667718"/>
    <w:rsid w:val="259B42E5"/>
    <w:rsid w:val="26B77C4E"/>
    <w:rsid w:val="26B91AD7"/>
    <w:rsid w:val="26BC2D1B"/>
    <w:rsid w:val="272F5C05"/>
    <w:rsid w:val="27656145"/>
    <w:rsid w:val="276D06A4"/>
    <w:rsid w:val="27FD3E2D"/>
    <w:rsid w:val="2816679B"/>
    <w:rsid w:val="2850749A"/>
    <w:rsid w:val="285A5C5D"/>
    <w:rsid w:val="287C204D"/>
    <w:rsid w:val="28A06F57"/>
    <w:rsid w:val="28AA6CEE"/>
    <w:rsid w:val="29367A62"/>
    <w:rsid w:val="295F17E5"/>
    <w:rsid w:val="298A5009"/>
    <w:rsid w:val="29975063"/>
    <w:rsid w:val="29997168"/>
    <w:rsid w:val="29D97D37"/>
    <w:rsid w:val="29FF4EC3"/>
    <w:rsid w:val="2A2D108B"/>
    <w:rsid w:val="2A660FF1"/>
    <w:rsid w:val="2AAF7CDF"/>
    <w:rsid w:val="2B4E7444"/>
    <w:rsid w:val="2B504D8B"/>
    <w:rsid w:val="2B5415F0"/>
    <w:rsid w:val="2B79290F"/>
    <w:rsid w:val="2BB21EA3"/>
    <w:rsid w:val="2C103B83"/>
    <w:rsid w:val="2C1B314E"/>
    <w:rsid w:val="2C8C3C29"/>
    <w:rsid w:val="2CBE390A"/>
    <w:rsid w:val="2CC71637"/>
    <w:rsid w:val="2CCB52B0"/>
    <w:rsid w:val="2CCC4088"/>
    <w:rsid w:val="2D0555CC"/>
    <w:rsid w:val="2D784E19"/>
    <w:rsid w:val="2DBD0FD6"/>
    <w:rsid w:val="2DD8767B"/>
    <w:rsid w:val="2E021264"/>
    <w:rsid w:val="2E4674F3"/>
    <w:rsid w:val="2E481D22"/>
    <w:rsid w:val="2E584696"/>
    <w:rsid w:val="2E8D072E"/>
    <w:rsid w:val="2EE3667B"/>
    <w:rsid w:val="2F894596"/>
    <w:rsid w:val="2F9245C3"/>
    <w:rsid w:val="30180A37"/>
    <w:rsid w:val="30800A57"/>
    <w:rsid w:val="30AC59C1"/>
    <w:rsid w:val="30BD4130"/>
    <w:rsid w:val="30CB38AC"/>
    <w:rsid w:val="30E766DC"/>
    <w:rsid w:val="31195D6C"/>
    <w:rsid w:val="31AC2D98"/>
    <w:rsid w:val="31C65967"/>
    <w:rsid w:val="32054671"/>
    <w:rsid w:val="32E541C2"/>
    <w:rsid w:val="32E66559"/>
    <w:rsid w:val="3360108F"/>
    <w:rsid w:val="336C74CB"/>
    <w:rsid w:val="33915B50"/>
    <w:rsid w:val="33F76215"/>
    <w:rsid w:val="34C65B61"/>
    <w:rsid w:val="34EE7D34"/>
    <w:rsid w:val="354B3340"/>
    <w:rsid w:val="357C4F38"/>
    <w:rsid w:val="358E0099"/>
    <w:rsid w:val="35FA1E72"/>
    <w:rsid w:val="361F62FA"/>
    <w:rsid w:val="362B77ED"/>
    <w:rsid w:val="365178DD"/>
    <w:rsid w:val="365210C1"/>
    <w:rsid w:val="365A4BBF"/>
    <w:rsid w:val="366546A7"/>
    <w:rsid w:val="3719534B"/>
    <w:rsid w:val="37752E5D"/>
    <w:rsid w:val="37A27FCC"/>
    <w:rsid w:val="37BF3BE9"/>
    <w:rsid w:val="37CD0CBA"/>
    <w:rsid w:val="38040F62"/>
    <w:rsid w:val="385A19AC"/>
    <w:rsid w:val="38865034"/>
    <w:rsid w:val="38F237B3"/>
    <w:rsid w:val="39151853"/>
    <w:rsid w:val="392E49E5"/>
    <w:rsid w:val="39827A7C"/>
    <w:rsid w:val="3995262B"/>
    <w:rsid w:val="39FB63E2"/>
    <w:rsid w:val="3A3F1E3F"/>
    <w:rsid w:val="3A8934AA"/>
    <w:rsid w:val="3A9639A7"/>
    <w:rsid w:val="3AAF0ABE"/>
    <w:rsid w:val="3AF26C8D"/>
    <w:rsid w:val="3B046503"/>
    <w:rsid w:val="3B48217B"/>
    <w:rsid w:val="3B974C73"/>
    <w:rsid w:val="3C1F7594"/>
    <w:rsid w:val="3C341532"/>
    <w:rsid w:val="3C526533"/>
    <w:rsid w:val="3C543E42"/>
    <w:rsid w:val="3C612F5A"/>
    <w:rsid w:val="3CA76056"/>
    <w:rsid w:val="3CC93DD4"/>
    <w:rsid w:val="3D2972E1"/>
    <w:rsid w:val="3D5A30C5"/>
    <w:rsid w:val="3DC820F0"/>
    <w:rsid w:val="3E467129"/>
    <w:rsid w:val="3E4A04AB"/>
    <w:rsid w:val="3E960767"/>
    <w:rsid w:val="3EA25ECB"/>
    <w:rsid w:val="3EDF23AB"/>
    <w:rsid w:val="3EF02EF2"/>
    <w:rsid w:val="3F556257"/>
    <w:rsid w:val="3F663A19"/>
    <w:rsid w:val="3F7B59EA"/>
    <w:rsid w:val="3FFA25D9"/>
    <w:rsid w:val="40915032"/>
    <w:rsid w:val="40AD6A68"/>
    <w:rsid w:val="40C10BD8"/>
    <w:rsid w:val="40C6719B"/>
    <w:rsid w:val="40D67C3C"/>
    <w:rsid w:val="42155B40"/>
    <w:rsid w:val="422A3508"/>
    <w:rsid w:val="42DC79D7"/>
    <w:rsid w:val="437701B1"/>
    <w:rsid w:val="43F20646"/>
    <w:rsid w:val="43F56EC0"/>
    <w:rsid w:val="443158C9"/>
    <w:rsid w:val="446911BC"/>
    <w:rsid w:val="44A9279E"/>
    <w:rsid w:val="44AF77B6"/>
    <w:rsid w:val="44B97247"/>
    <w:rsid w:val="45076D0C"/>
    <w:rsid w:val="451729EF"/>
    <w:rsid w:val="451D4EF5"/>
    <w:rsid w:val="452E3A96"/>
    <w:rsid w:val="4554506C"/>
    <w:rsid w:val="456A7B0D"/>
    <w:rsid w:val="45733E07"/>
    <w:rsid w:val="45F300F7"/>
    <w:rsid w:val="46277B84"/>
    <w:rsid w:val="470A3E70"/>
    <w:rsid w:val="47281A2D"/>
    <w:rsid w:val="476B7E28"/>
    <w:rsid w:val="47F76A59"/>
    <w:rsid w:val="48003E3C"/>
    <w:rsid w:val="48444E98"/>
    <w:rsid w:val="487A4D7A"/>
    <w:rsid w:val="49455D34"/>
    <w:rsid w:val="49880167"/>
    <w:rsid w:val="499C1071"/>
    <w:rsid w:val="499F592C"/>
    <w:rsid w:val="4A08096A"/>
    <w:rsid w:val="4A2441F4"/>
    <w:rsid w:val="4A2F3B11"/>
    <w:rsid w:val="4A4D34AA"/>
    <w:rsid w:val="4A512D5E"/>
    <w:rsid w:val="4B4013EC"/>
    <w:rsid w:val="4B7A0E35"/>
    <w:rsid w:val="4C09272D"/>
    <w:rsid w:val="4C1238DB"/>
    <w:rsid w:val="4C1812C4"/>
    <w:rsid w:val="4C1902CA"/>
    <w:rsid w:val="4C701810"/>
    <w:rsid w:val="4C7944C3"/>
    <w:rsid w:val="4CCB105D"/>
    <w:rsid w:val="4CE32AA6"/>
    <w:rsid w:val="4CEC38A0"/>
    <w:rsid w:val="4D1F47AC"/>
    <w:rsid w:val="4D40232D"/>
    <w:rsid w:val="4D8F26F7"/>
    <w:rsid w:val="4D90130F"/>
    <w:rsid w:val="4E360628"/>
    <w:rsid w:val="4E7D15A0"/>
    <w:rsid w:val="4E907A10"/>
    <w:rsid w:val="4EB00934"/>
    <w:rsid w:val="4EEB5EA7"/>
    <w:rsid w:val="4F635AEE"/>
    <w:rsid w:val="4FD25ED3"/>
    <w:rsid w:val="4FE924C2"/>
    <w:rsid w:val="50347CC5"/>
    <w:rsid w:val="50472352"/>
    <w:rsid w:val="50AB2248"/>
    <w:rsid w:val="50D75D5D"/>
    <w:rsid w:val="50E92CB0"/>
    <w:rsid w:val="51317E01"/>
    <w:rsid w:val="513455A3"/>
    <w:rsid w:val="51695BCB"/>
    <w:rsid w:val="51C43A9B"/>
    <w:rsid w:val="51E2507B"/>
    <w:rsid w:val="52186C70"/>
    <w:rsid w:val="521F19D6"/>
    <w:rsid w:val="5222522B"/>
    <w:rsid w:val="52D86952"/>
    <w:rsid w:val="52E66E20"/>
    <w:rsid w:val="53351D3D"/>
    <w:rsid w:val="53484B3F"/>
    <w:rsid w:val="53A710A5"/>
    <w:rsid w:val="53D6760A"/>
    <w:rsid w:val="53D746E0"/>
    <w:rsid w:val="54670B28"/>
    <w:rsid w:val="54B62456"/>
    <w:rsid w:val="54C634B0"/>
    <w:rsid w:val="54DA6201"/>
    <w:rsid w:val="550150D1"/>
    <w:rsid w:val="556626B1"/>
    <w:rsid w:val="55AC5A53"/>
    <w:rsid w:val="55CD7368"/>
    <w:rsid w:val="55DF699C"/>
    <w:rsid w:val="56107903"/>
    <w:rsid w:val="56181257"/>
    <w:rsid w:val="570C693A"/>
    <w:rsid w:val="57505CE0"/>
    <w:rsid w:val="57864E3D"/>
    <w:rsid w:val="5804414E"/>
    <w:rsid w:val="58145D17"/>
    <w:rsid w:val="58854F20"/>
    <w:rsid w:val="59001138"/>
    <w:rsid w:val="591F29AD"/>
    <w:rsid w:val="59DF6E3C"/>
    <w:rsid w:val="5A5342FB"/>
    <w:rsid w:val="5A8C418F"/>
    <w:rsid w:val="5BC918B8"/>
    <w:rsid w:val="5CE47504"/>
    <w:rsid w:val="5D4A0A24"/>
    <w:rsid w:val="5D5840C3"/>
    <w:rsid w:val="5DDB1107"/>
    <w:rsid w:val="5DF82CDE"/>
    <w:rsid w:val="5E6F0C1B"/>
    <w:rsid w:val="5E7A6AFD"/>
    <w:rsid w:val="5EBC0AF9"/>
    <w:rsid w:val="5EEC5DBC"/>
    <w:rsid w:val="5EF37CF7"/>
    <w:rsid w:val="5FB15EEC"/>
    <w:rsid w:val="5FB87DB1"/>
    <w:rsid w:val="5FBD61B5"/>
    <w:rsid w:val="5FBE04D9"/>
    <w:rsid w:val="607A49FD"/>
    <w:rsid w:val="61307626"/>
    <w:rsid w:val="61660C7B"/>
    <w:rsid w:val="61E646A2"/>
    <w:rsid w:val="62BF2FEC"/>
    <w:rsid w:val="632D305A"/>
    <w:rsid w:val="637D2019"/>
    <w:rsid w:val="63866094"/>
    <w:rsid w:val="63977831"/>
    <w:rsid w:val="63A50E67"/>
    <w:rsid w:val="63A81D07"/>
    <w:rsid w:val="63C830ED"/>
    <w:rsid w:val="63E8126A"/>
    <w:rsid w:val="64EA450A"/>
    <w:rsid w:val="64F53F95"/>
    <w:rsid w:val="64FA3BA7"/>
    <w:rsid w:val="655A7CE6"/>
    <w:rsid w:val="65931551"/>
    <w:rsid w:val="65AE70C2"/>
    <w:rsid w:val="65E7398C"/>
    <w:rsid w:val="65E97E9F"/>
    <w:rsid w:val="66943517"/>
    <w:rsid w:val="669C0680"/>
    <w:rsid w:val="66A85CDC"/>
    <w:rsid w:val="670E3581"/>
    <w:rsid w:val="676F413C"/>
    <w:rsid w:val="681B5CC5"/>
    <w:rsid w:val="684C4B86"/>
    <w:rsid w:val="68CA253F"/>
    <w:rsid w:val="691B421F"/>
    <w:rsid w:val="694500B3"/>
    <w:rsid w:val="696E75D5"/>
    <w:rsid w:val="69AD43F1"/>
    <w:rsid w:val="69AF5982"/>
    <w:rsid w:val="6A8D33A6"/>
    <w:rsid w:val="6A9337D0"/>
    <w:rsid w:val="6ADF3895"/>
    <w:rsid w:val="6B427FB1"/>
    <w:rsid w:val="6B5033DB"/>
    <w:rsid w:val="6B72293B"/>
    <w:rsid w:val="6BEB02CB"/>
    <w:rsid w:val="6C237C63"/>
    <w:rsid w:val="6C8505C3"/>
    <w:rsid w:val="6CB129A5"/>
    <w:rsid w:val="6CCF5312"/>
    <w:rsid w:val="6CD16858"/>
    <w:rsid w:val="6D1D1D50"/>
    <w:rsid w:val="6D3C38F1"/>
    <w:rsid w:val="6D7B7340"/>
    <w:rsid w:val="6D897132"/>
    <w:rsid w:val="6DBA4640"/>
    <w:rsid w:val="6DBA6E39"/>
    <w:rsid w:val="6DC432F3"/>
    <w:rsid w:val="6E9E17D9"/>
    <w:rsid w:val="6EBB5FB1"/>
    <w:rsid w:val="6EF347A0"/>
    <w:rsid w:val="6F583BB4"/>
    <w:rsid w:val="6F90095A"/>
    <w:rsid w:val="6FA1608F"/>
    <w:rsid w:val="6FA543B9"/>
    <w:rsid w:val="6FB223F6"/>
    <w:rsid w:val="70186452"/>
    <w:rsid w:val="702A57DC"/>
    <w:rsid w:val="70881052"/>
    <w:rsid w:val="70B63E1D"/>
    <w:rsid w:val="7133625F"/>
    <w:rsid w:val="718D7DD9"/>
    <w:rsid w:val="71F3476D"/>
    <w:rsid w:val="72837356"/>
    <w:rsid w:val="72AC6D95"/>
    <w:rsid w:val="72D71C78"/>
    <w:rsid w:val="7309513D"/>
    <w:rsid w:val="73472300"/>
    <w:rsid w:val="738E0CCF"/>
    <w:rsid w:val="739A37D5"/>
    <w:rsid w:val="73A22F41"/>
    <w:rsid w:val="73D32C7A"/>
    <w:rsid w:val="73F071E2"/>
    <w:rsid w:val="73F26C09"/>
    <w:rsid w:val="74496BFE"/>
    <w:rsid w:val="74BF2934"/>
    <w:rsid w:val="74E1313B"/>
    <w:rsid w:val="74E22D15"/>
    <w:rsid w:val="75293D0C"/>
    <w:rsid w:val="752B673D"/>
    <w:rsid w:val="753C0A01"/>
    <w:rsid w:val="757E38F1"/>
    <w:rsid w:val="7626200C"/>
    <w:rsid w:val="764D497A"/>
    <w:rsid w:val="768846F4"/>
    <w:rsid w:val="768B22FF"/>
    <w:rsid w:val="772B1E48"/>
    <w:rsid w:val="772C7586"/>
    <w:rsid w:val="77D147B9"/>
    <w:rsid w:val="78365E43"/>
    <w:rsid w:val="785E251C"/>
    <w:rsid w:val="786A4275"/>
    <w:rsid w:val="78B33CBE"/>
    <w:rsid w:val="78CB1E59"/>
    <w:rsid w:val="78D2691D"/>
    <w:rsid w:val="78FE0C51"/>
    <w:rsid w:val="79081E7E"/>
    <w:rsid w:val="79AB74FF"/>
    <w:rsid w:val="79C6154C"/>
    <w:rsid w:val="79ED7F99"/>
    <w:rsid w:val="79FB7C62"/>
    <w:rsid w:val="7A4134F7"/>
    <w:rsid w:val="7A766B95"/>
    <w:rsid w:val="7AA47EA9"/>
    <w:rsid w:val="7AAF219B"/>
    <w:rsid w:val="7AEA090C"/>
    <w:rsid w:val="7AF551BE"/>
    <w:rsid w:val="7B0E772D"/>
    <w:rsid w:val="7B8D1500"/>
    <w:rsid w:val="7C182E21"/>
    <w:rsid w:val="7C2538A1"/>
    <w:rsid w:val="7C374F8B"/>
    <w:rsid w:val="7C5622F4"/>
    <w:rsid w:val="7CBE0AE7"/>
    <w:rsid w:val="7CC060C7"/>
    <w:rsid w:val="7CF47FA8"/>
    <w:rsid w:val="7E056C6D"/>
    <w:rsid w:val="7E5F7A3E"/>
    <w:rsid w:val="7E8D1010"/>
    <w:rsid w:val="7E9F3B02"/>
    <w:rsid w:val="7EAB224C"/>
    <w:rsid w:val="7EDE6551"/>
    <w:rsid w:val="7EF45944"/>
    <w:rsid w:val="7F357330"/>
    <w:rsid w:val="7FB6097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semiHidden="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semiHidden="0" w:name="toc 1"/>
    <w:lsdException w:qFormat="1" w:unhideWhenUsed="0" w:uiPriority="0" w:semiHidden="0" w:name="toc 2"/>
    <w:lsdException w:qFormat="1" w:unhideWhenUsed="0" w:uiPriority="0" w:semiHidden="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iPriority="0" w:name="Body Text First Indent 2"/>
    <w:lsdException w:uiPriority="0" w:name="Note Heading"/>
    <w:lsdException w:uiPriority="0" w:name="Body Text 2"/>
    <w:lsdException w:qFormat="1" w:unhideWhenUsed="0" w:uiPriority="0" w:semiHidden="0" w:name="Body Text 3"/>
    <w:lsdException w:qFormat="1" w:unhideWhenUsed="0" w:uiPriority="0" w:semiHidden="0" w:name="Body Text Indent 2"/>
    <w:lsdException w:uiPriority="0" w:name="Body Text Indent 3"/>
    <w:lsdException w:uiPriority="0" w:name="Block Text"/>
    <w:lsdException w:qFormat="1" w:unhideWhenUsed="0" w:uiPriority="0" w:semiHidden="0" w:name="Hyperlink"/>
    <w:lsdException w:qFormat="1"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qFormat="1" w:unhideWhenUsed="0" w:uiPriority="0" w:semiHidden="0" w:name="Normal (Web)"/>
    <w:lsdException w:qFormat="1" w:uiPriority="0" w:name="HTML Acronym"/>
    <w:lsdException w:uiPriority="0" w:name="HTML Address"/>
    <w:lsdException w:qFormat="1" w:uiPriority="0" w:name="HTML Cite"/>
    <w:lsdException w:qFormat="1" w:uiPriority="0" w:name="HTML Code"/>
    <w:lsdException w:qFormat="1" w:uiPriority="0" w:name="HTML Definition"/>
    <w:lsdException w:qFormat="1" w:uiPriority="0" w:name="HTML Keyboard"/>
    <w:lsdException w:uiPriority="0" w:name="HTML Preformatted"/>
    <w:lsdException w:qFormat="1" w:uiPriority="0" w:name="HTML Sample"/>
    <w:lsdException w:qFormat="1" w:uiPriority="0" w:name="HTML Typewriter"/>
    <w:lsdException w:qFormat="1"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utoSpaceDE w:val="0"/>
      <w:autoSpaceDN w:val="0"/>
      <w:adjustRightInd w:val="0"/>
      <w:jc w:val="both"/>
      <w:textAlignment w:val="baseline"/>
    </w:pPr>
    <w:rPr>
      <w:rFonts w:asciiTheme="minorHAnsi" w:hAnsiTheme="minorHAnsi" w:eastAsiaTheme="minorEastAsia" w:cstheme="minorBidi"/>
      <w:sz w:val="24"/>
      <w:szCs w:val="22"/>
      <w:lang w:val="en-US" w:eastAsia="zh-CN" w:bidi="ar-SA"/>
    </w:rPr>
  </w:style>
  <w:style w:type="paragraph" w:styleId="3">
    <w:name w:val="heading 1"/>
    <w:basedOn w:val="1"/>
    <w:next w:val="4"/>
    <w:qFormat/>
    <w:uiPriority w:val="0"/>
    <w:pPr>
      <w:pageBreakBefore/>
      <w:jc w:val="center"/>
      <w:outlineLvl w:val="0"/>
    </w:pPr>
    <w:rPr>
      <w:rFonts w:eastAsia="黑体"/>
      <w:snapToGrid w:val="0"/>
      <w:sz w:val="36"/>
    </w:rPr>
  </w:style>
  <w:style w:type="paragraph" w:styleId="5">
    <w:name w:val="heading 2"/>
    <w:basedOn w:val="1"/>
    <w:next w:val="1"/>
    <w:link w:val="49"/>
    <w:unhideWhenUsed/>
    <w:qFormat/>
    <w:uiPriority w:val="0"/>
    <w:pPr>
      <w:keepLines/>
      <w:widowControl/>
      <w:jc w:val="left"/>
      <w:outlineLvl w:val="1"/>
    </w:pPr>
    <w:rPr>
      <w:b/>
      <w:snapToGrid w:val="0"/>
      <w:sz w:val="30"/>
    </w:rPr>
  </w:style>
  <w:style w:type="paragraph" w:styleId="6">
    <w:name w:val="heading 3"/>
    <w:basedOn w:val="1"/>
    <w:next w:val="1"/>
    <w:unhideWhenUsed/>
    <w:qFormat/>
    <w:uiPriority w:val="0"/>
    <w:pPr>
      <w:keepLines/>
      <w:widowControl/>
      <w:jc w:val="left"/>
      <w:outlineLvl w:val="2"/>
    </w:pPr>
    <w:rPr>
      <w:rFonts w:eastAsia="黑体"/>
      <w:b/>
    </w:rPr>
  </w:style>
  <w:style w:type="paragraph" w:styleId="7">
    <w:name w:val="heading 4"/>
    <w:basedOn w:val="1"/>
    <w:next w:val="4"/>
    <w:unhideWhenUsed/>
    <w:qFormat/>
    <w:uiPriority w:val="0"/>
    <w:pPr>
      <w:keepLines/>
      <w:widowControl/>
      <w:jc w:val="left"/>
      <w:outlineLvl w:val="3"/>
    </w:pPr>
    <w:rPr>
      <w:rFonts w:eastAsia="楷体_GB2312"/>
      <w:b/>
      <w:snapToGrid w:val="0"/>
    </w:rPr>
  </w:style>
  <w:style w:type="paragraph" w:styleId="8">
    <w:name w:val="heading 5"/>
    <w:basedOn w:val="1"/>
    <w:next w:val="1"/>
    <w:unhideWhenUsed/>
    <w:qFormat/>
    <w:uiPriority w:val="0"/>
    <w:pPr>
      <w:keepNext/>
      <w:keepLines/>
      <w:numPr>
        <w:ilvl w:val="4"/>
        <w:numId w:val="1"/>
      </w:numPr>
      <w:autoSpaceDE/>
      <w:autoSpaceDN/>
      <w:snapToGrid w:val="0"/>
      <w:spacing w:before="100" w:beforeAutospacing="1" w:after="100" w:afterAutospacing="1" w:line="60" w:lineRule="auto"/>
      <w:textAlignment w:val="auto"/>
      <w:outlineLvl w:val="4"/>
    </w:pPr>
    <w:rPr>
      <w:rFonts w:ascii="Times New Roman" w:hAnsi="Times New Roman" w:eastAsia="楷体_GB2312" w:cs="Times New Roman"/>
      <w:kern w:val="10"/>
      <w:sz w:val="21"/>
      <w:szCs w:val="20"/>
    </w:rPr>
  </w:style>
  <w:style w:type="character" w:default="1" w:styleId="25">
    <w:name w:val="Default Paragraph Font"/>
    <w:semiHidden/>
    <w:unhideWhenUsed/>
    <w:qFormat/>
    <w:uiPriority w:val="1"/>
  </w:style>
  <w:style w:type="table" w:default="1" w:styleId="24">
    <w:name w:val="Normal Table"/>
    <w:semiHidden/>
    <w:unhideWhenUsed/>
    <w:qFormat/>
    <w:uiPriority w:val="99"/>
    <w:tblPr>
      <w:tblCellMar>
        <w:top w:w="0" w:type="dxa"/>
        <w:left w:w="108" w:type="dxa"/>
        <w:bottom w:w="0" w:type="dxa"/>
        <w:right w:w="108" w:type="dxa"/>
      </w:tblCellMar>
    </w:tblPr>
  </w:style>
  <w:style w:type="paragraph" w:customStyle="1" w:styleId="2">
    <w:name w:val="_Style 1"/>
    <w:qFormat/>
    <w:uiPriority w:val="0"/>
    <w:rPr>
      <w:rFonts w:ascii="Calibri" w:hAnsi="Calibri" w:eastAsia="宋体" w:cs="Times New Roman"/>
      <w:kern w:val="2"/>
      <w:sz w:val="28"/>
      <w:szCs w:val="22"/>
      <w:lang w:val="en-US" w:eastAsia="zh-CN" w:bidi="ar-SA"/>
    </w:rPr>
  </w:style>
  <w:style w:type="paragraph" w:styleId="4">
    <w:name w:val="Normal Indent"/>
    <w:basedOn w:val="1"/>
    <w:qFormat/>
    <w:uiPriority w:val="0"/>
    <w:pPr>
      <w:ind w:firstLine="488"/>
    </w:pPr>
    <w:rPr>
      <w:rFonts w:eastAsia="宋体"/>
    </w:rPr>
  </w:style>
  <w:style w:type="paragraph" w:styleId="9">
    <w:name w:val="annotation text"/>
    <w:basedOn w:val="1"/>
    <w:qFormat/>
    <w:uiPriority w:val="0"/>
    <w:pPr>
      <w:jc w:val="left"/>
    </w:pPr>
    <w:rPr>
      <w:rFonts w:eastAsia="宋体"/>
    </w:rPr>
  </w:style>
  <w:style w:type="paragraph" w:styleId="10">
    <w:name w:val="Body Text 3"/>
    <w:basedOn w:val="1"/>
    <w:qFormat/>
    <w:uiPriority w:val="0"/>
    <w:rPr>
      <w:rFonts w:ascii="宋体" w:hAnsi="Times New Roman" w:eastAsia="宋体" w:cs="Times New Roman"/>
      <w:szCs w:val="20"/>
    </w:rPr>
  </w:style>
  <w:style w:type="paragraph" w:styleId="11">
    <w:name w:val="Body Text"/>
    <w:basedOn w:val="1"/>
    <w:qFormat/>
    <w:uiPriority w:val="0"/>
    <w:pPr>
      <w:autoSpaceDE/>
      <w:autoSpaceDN/>
      <w:adjustRightInd/>
      <w:spacing w:line="460" w:lineRule="atLeast"/>
      <w:ind w:right="322"/>
      <w:textAlignment w:val="auto"/>
    </w:pPr>
    <w:rPr>
      <w:rFonts w:ascii="宋体" w:eastAsia="宋体"/>
      <w:kern w:val="2"/>
      <w:sz w:val="28"/>
    </w:rPr>
  </w:style>
  <w:style w:type="paragraph" w:styleId="12">
    <w:name w:val="Body Text Indent"/>
    <w:basedOn w:val="1"/>
    <w:qFormat/>
    <w:uiPriority w:val="0"/>
    <w:pPr>
      <w:tabs>
        <w:tab w:val="left" w:pos="3025"/>
      </w:tabs>
      <w:spacing w:line="420" w:lineRule="exact"/>
      <w:ind w:firstLine="480"/>
    </w:pPr>
  </w:style>
  <w:style w:type="paragraph" w:styleId="13">
    <w:name w:val="toc 3"/>
    <w:basedOn w:val="1"/>
    <w:next w:val="1"/>
    <w:qFormat/>
    <w:uiPriority w:val="0"/>
    <w:pPr>
      <w:autoSpaceDE/>
      <w:autoSpaceDN/>
      <w:adjustRightInd/>
      <w:ind w:left="840" w:leftChars="400"/>
      <w:textAlignment w:val="auto"/>
    </w:pPr>
    <w:rPr>
      <w:rFonts w:ascii="Calibri" w:hAnsi="Calibri"/>
      <w:kern w:val="2"/>
      <w:sz w:val="21"/>
    </w:rPr>
  </w:style>
  <w:style w:type="paragraph" w:styleId="14">
    <w:name w:val="Plain Text"/>
    <w:basedOn w:val="1"/>
    <w:qFormat/>
    <w:uiPriority w:val="0"/>
    <w:pPr>
      <w:autoSpaceDE/>
      <w:autoSpaceDN/>
      <w:adjustRightInd/>
      <w:textAlignment w:val="auto"/>
    </w:pPr>
    <w:rPr>
      <w:rFonts w:ascii="宋体" w:hAnsi="Courier New" w:eastAsia="宋体"/>
      <w:kern w:val="2"/>
      <w:sz w:val="21"/>
    </w:rPr>
  </w:style>
  <w:style w:type="paragraph" w:styleId="15">
    <w:name w:val="Date"/>
    <w:basedOn w:val="1"/>
    <w:next w:val="1"/>
    <w:link w:val="52"/>
    <w:qFormat/>
    <w:uiPriority w:val="0"/>
    <w:rPr>
      <w:rFonts w:ascii="Times New Roman" w:hAnsi="Times New Roman" w:eastAsia="宋体" w:cs="Times New Roman"/>
      <w:sz w:val="28"/>
      <w:szCs w:val="20"/>
    </w:rPr>
  </w:style>
  <w:style w:type="paragraph" w:styleId="16">
    <w:name w:val="Body Text Indent 2"/>
    <w:basedOn w:val="1"/>
    <w:link w:val="50"/>
    <w:qFormat/>
    <w:uiPriority w:val="0"/>
    <w:pPr>
      <w:snapToGrid w:val="0"/>
      <w:ind w:firstLine="540"/>
      <w:textAlignment w:val="auto"/>
    </w:pPr>
    <w:rPr>
      <w:rFonts w:eastAsia="宋体"/>
      <w:sz w:val="28"/>
    </w:rPr>
  </w:style>
  <w:style w:type="paragraph" w:styleId="17">
    <w:name w:val="Balloon Text"/>
    <w:basedOn w:val="1"/>
    <w:link w:val="54"/>
    <w:qFormat/>
    <w:uiPriority w:val="0"/>
    <w:rPr>
      <w:sz w:val="18"/>
      <w:szCs w:val="18"/>
    </w:rPr>
  </w:style>
  <w:style w:type="paragraph" w:styleId="18">
    <w:name w:val="footer"/>
    <w:basedOn w:val="1"/>
    <w:link w:val="53"/>
    <w:qFormat/>
    <w:uiPriority w:val="99"/>
    <w:pPr>
      <w:pBdr>
        <w:top w:val="single" w:color="auto" w:sz="6" w:space="1"/>
      </w:pBdr>
      <w:tabs>
        <w:tab w:val="center" w:pos="4153"/>
        <w:tab w:val="right" w:pos="8306"/>
      </w:tabs>
      <w:jc w:val="left"/>
    </w:pPr>
    <w:rPr>
      <w:rFonts w:eastAsia="宋体"/>
      <w:sz w:val="18"/>
    </w:rPr>
  </w:style>
  <w:style w:type="paragraph" w:styleId="19">
    <w:name w:val="header"/>
    <w:basedOn w:val="1"/>
    <w:qFormat/>
    <w:uiPriority w:val="0"/>
    <w:pPr>
      <w:pBdr>
        <w:bottom w:val="single" w:color="auto" w:sz="6" w:space="1"/>
      </w:pBdr>
      <w:tabs>
        <w:tab w:val="center" w:pos="4153"/>
        <w:tab w:val="right" w:pos="8306"/>
      </w:tabs>
      <w:jc w:val="left"/>
    </w:pPr>
    <w:rPr>
      <w:rFonts w:eastAsia="宋体"/>
      <w:sz w:val="18"/>
    </w:rPr>
  </w:style>
  <w:style w:type="paragraph" w:styleId="20">
    <w:name w:val="toc 1"/>
    <w:basedOn w:val="1"/>
    <w:next w:val="1"/>
    <w:qFormat/>
    <w:uiPriority w:val="0"/>
    <w:pPr>
      <w:autoSpaceDE/>
      <w:autoSpaceDN/>
      <w:adjustRightInd/>
      <w:textAlignment w:val="auto"/>
    </w:pPr>
    <w:rPr>
      <w:rFonts w:ascii="Calibri" w:hAnsi="Calibri"/>
      <w:kern w:val="2"/>
      <w:sz w:val="21"/>
    </w:rPr>
  </w:style>
  <w:style w:type="paragraph" w:styleId="21">
    <w:name w:val="toc 2"/>
    <w:basedOn w:val="1"/>
    <w:next w:val="1"/>
    <w:qFormat/>
    <w:uiPriority w:val="0"/>
    <w:pPr>
      <w:autoSpaceDE/>
      <w:autoSpaceDN/>
      <w:adjustRightInd/>
      <w:ind w:left="420" w:leftChars="200"/>
      <w:textAlignment w:val="auto"/>
    </w:pPr>
    <w:rPr>
      <w:rFonts w:ascii="Calibri" w:hAnsi="Calibri"/>
      <w:kern w:val="2"/>
      <w:sz w:val="21"/>
    </w:rPr>
  </w:style>
  <w:style w:type="paragraph" w:styleId="22">
    <w:name w:val="Normal (Web)"/>
    <w:basedOn w:val="1"/>
    <w:qFormat/>
    <w:uiPriority w:val="0"/>
    <w:pPr>
      <w:widowControl/>
      <w:autoSpaceDE/>
      <w:autoSpaceDN/>
      <w:adjustRightInd/>
      <w:spacing w:beforeAutospacing="1" w:afterAutospacing="1"/>
      <w:jc w:val="left"/>
      <w:textAlignment w:val="auto"/>
    </w:pPr>
    <w:rPr>
      <w:szCs w:val="24"/>
    </w:rPr>
  </w:style>
  <w:style w:type="paragraph" w:styleId="23">
    <w:name w:val="Body Text First Indent"/>
    <w:basedOn w:val="11"/>
    <w:qFormat/>
    <w:uiPriority w:val="0"/>
    <w:pPr>
      <w:spacing w:after="120"/>
      <w:ind w:firstLine="420" w:firstLineChars="100"/>
    </w:pPr>
  </w:style>
  <w:style w:type="character" w:styleId="26">
    <w:name w:val="Strong"/>
    <w:basedOn w:val="25"/>
    <w:qFormat/>
    <w:uiPriority w:val="0"/>
  </w:style>
  <w:style w:type="character" w:styleId="27">
    <w:name w:val="page number"/>
    <w:qFormat/>
    <w:uiPriority w:val="0"/>
  </w:style>
  <w:style w:type="character" w:styleId="28">
    <w:name w:val="FollowedHyperlink"/>
    <w:basedOn w:val="25"/>
    <w:semiHidden/>
    <w:unhideWhenUsed/>
    <w:qFormat/>
    <w:uiPriority w:val="0"/>
    <w:rPr>
      <w:color w:val="333333"/>
      <w:u w:val="none"/>
    </w:rPr>
  </w:style>
  <w:style w:type="character" w:styleId="29">
    <w:name w:val="Emphasis"/>
    <w:basedOn w:val="25"/>
    <w:qFormat/>
    <w:uiPriority w:val="0"/>
  </w:style>
  <w:style w:type="character" w:styleId="30">
    <w:name w:val="HTML Definition"/>
    <w:basedOn w:val="25"/>
    <w:semiHidden/>
    <w:unhideWhenUsed/>
    <w:qFormat/>
    <w:uiPriority w:val="0"/>
  </w:style>
  <w:style w:type="character" w:styleId="31">
    <w:name w:val="HTML Typewriter"/>
    <w:basedOn w:val="25"/>
    <w:semiHidden/>
    <w:unhideWhenUsed/>
    <w:qFormat/>
    <w:uiPriority w:val="0"/>
    <w:rPr>
      <w:rFonts w:ascii="monospace" w:hAnsi="monospace" w:eastAsia="monospace" w:cs="monospace"/>
      <w:sz w:val="20"/>
    </w:rPr>
  </w:style>
  <w:style w:type="character" w:styleId="32">
    <w:name w:val="HTML Acronym"/>
    <w:basedOn w:val="25"/>
    <w:semiHidden/>
    <w:unhideWhenUsed/>
    <w:qFormat/>
    <w:uiPriority w:val="0"/>
  </w:style>
  <w:style w:type="character" w:styleId="33">
    <w:name w:val="HTML Variable"/>
    <w:basedOn w:val="25"/>
    <w:semiHidden/>
    <w:unhideWhenUsed/>
    <w:qFormat/>
    <w:uiPriority w:val="0"/>
  </w:style>
  <w:style w:type="character" w:styleId="34">
    <w:name w:val="Hyperlink"/>
    <w:qFormat/>
    <w:uiPriority w:val="0"/>
    <w:rPr>
      <w:color w:val="0000FF"/>
      <w:u w:val="single"/>
    </w:rPr>
  </w:style>
  <w:style w:type="character" w:styleId="35">
    <w:name w:val="HTML Code"/>
    <w:basedOn w:val="25"/>
    <w:semiHidden/>
    <w:unhideWhenUsed/>
    <w:qFormat/>
    <w:uiPriority w:val="0"/>
    <w:rPr>
      <w:rFonts w:hint="default" w:ascii="monospace" w:hAnsi="monospace" w:eastAsia="monospace" w:cs="monospace"/>
      <w:sz w:val="20"/>
    </w:rPr>
  </w:style>
  <w:style w:type="character" w:styleId="36">
    <w:name w:val="annotation reference"/>
    <w:basedOn w:val="25"/>
    <w:qFormat/>
    <w:uiPriority w:val="0"/>
    <w:rPr>
      <w:sz w:val="21"/>
      <w:szCs w:val="21"/>
    </w:rPr>
  </w:style>
  <w:style w:type="character" w:styleId="37">
    <w:name w:val="HTML Cite"/>
    <w:basedOn w:val="25"/>
    <w:semiHidden/>
    <w:unhideWhenUsed/>
    <w:qFormat/>
    <w:uiPriority w:val="0"/>
  </w:style>
  <w:style w:type="character" w:styleId="38">
    <w:name w:val="HTML Keyboard"/>
    <w:basedOn w:val="25"/>
    <w:semiHidden/>
    <w:unhideWhenUsed/>
    <w:qFormat/>
    <w:uiPriority w:val="0"/>
    <w:rPr>
      <w:rFonts w:hint="default" w:ascii="monospace" w:hAnsi="monospace" w:eastAsia="monospace" w:cs="monospace"/>
      <w:sz w:val="20"/>
    </w:rPr>
  </w:style>
  <w:style w:type="character" w:styleId="39">
    <w:name w:val="HTML Sample"/>
    <w:basedOn w:val="25"/>
    <w:semiHidden/>
    <w:unhideWhenUsed/>
    <w:qFormat/>
    <w:uiPriority w:val="0"/>
    <w:rPr>
      <w:rFonts w:hint="default" w:ascii="monospace" w:hAnsi="monospace" w:eastAsia="monospace" w:cs="monospace"/>
    </w:rPr>
  </w:style>
  <w:style w:type="character" w:customStyle="1" w:styleId="40">
    <w:name w:val="bulletintext1"/>
    <w:qFormat/>
    <w:uiPriority w:val="0"/>
    <w:rPr>
      <w:color w:val="000000"/>
      <w:sz w:val="18"/>
      <w:szCs w:val="18"/>
    </w:rPr>
  </w:style>
  <w:style w:type="character" w:customStyle="1" w:styleId="41">
    <w:name w:val="条标题1.1.1 Char1"/>
    <w:qFormat/>
    <w:uiPriority w:val="0"/>
    <w:rPr>
      <w:rFonts w:eastAsia="黑体"/>
      <w:b/>
      <w:sz w:val="24"/>
      <w:lang w:val="en-US" w:eastAsia="zh-CN" w:bidi="ar-SA"/>
    </w:rPr>
  </w:style>
  <w:style w:type="character" w:customStyle="1" w:styleId="42">
    <w:name w:val="标题 4 Char Char Char Char"/>
    <w:qFormat/>
    <w:uiPriority w:val="0"/>
    <w:rPr>
      <w:rFonts w:eastAsia="楷体_GB2312"/>
      <w:b/>
      <w:snapToGrid w:val="0"/>
      <w:sz w:val="24"/>
      <w:lang w:val="en-US" w:eastAsia="zh-CN" w:bidi="ar-SA"/>
    </w:rPr>
  </w:style>
  <w:style w:type="character" w:customStyle="1" w:styleId="43">
    <w:name w:val="zbggmain style9"/>
    <w:basedOn w:val="25"/>
    <w:qFormat/>
    <w:uiPriority w:val="0"/>
  </w:style>
  <w:style w:type="character" w:customStyle="1" w:styleId="44">
    <w:name w:val="style2"/>
    <w:basedOn w:val="25"/>
    <w:qFormat/>
    <w:uiPriority w:val="0"/>
  </w:style>
  <w:style w:type="paragraph" w:customStyle="1" w:styleId="45">
    <w:name w:val="_Style 19"/>
    <w:basedOn w:val="1"/>
    <w:qFormat/>
    <w:uiPriority w:val="0"/>
    <w:pPr>
      <w:autoSpaceDE/>
      <w:autoSpaceDN/>
      <w:adjustRightInd/>
      <w:ind w:firstLine="420" w:firstLineChars="200"/>
      <w:textAlignment w:val="auto"/>
    </w:pPr>
    <w:rPr>
      <w:rFonts w:ascii="Calibri" w:hAnsi="Calibri"/>
      <w:kern w:val="2"/>
      <w:sz w:val="21"/>
    </w:rPr>
  </w:style>
  <w:style w:type="paragraph" w:customStyle="1" w:styleId="46">
    <w:name w:val="正文缩进2"/>
    <w:basedOn w:val="1"/>
    <w:next w:val="1"/>
    <w:qFormat/>
    <w:uiPriority w:val="0"/>
    <w:pPr>
      <w:autoSpaceDE/>
      <w:autoSpaceDN/>
      <w:adjustRightInd/>
      <w:spacing w:line="500" w:lineRule="exact"/>
      <w:ind w:firstLine="567"/>
      <w:textAlignment w:val="auto"/>
    </w:pPr>
    <w:rPr>
      <w:kern w:val="2"/>
    </w:rPr>
  </w:style>
  <w:style w:type="character" w:customStyle="1" w:styleId="47">
    <w:name w:val="3级 Char"/>
    <w:link w:val="48"/>
    <w:qFormat/>
    <w:uiPriority w:val="0"/>
    <w:rPr>
      <w:rFonts w:ascii="楷体_GB2312" w:eastAsia="楷体_GB2312"/>
      <w:bCs/>
      <w:snapToGrid w:val="0"/>
      <w:color w:val="000000"/>
      <w:sz w:val="24"/>
      <w:lang w:bidi="ar-SA"/>
    </w:rPr>
  </w:style>
  <w:style w:type="paragraph" w:customStyle="1" w:styleId="48">
    <w:name w:val="3级"/>
    <w:basedOn w:val="7"/>
    <w:link w:val="47"/>
    <w:qFormat/>
    <w:uiPriority w:val="0"/>
    <w:pPr>
      <w:snapToGrid w:val="0"/>
      <w:textAlignment w:val="auto"/>
    </w:pPr>
    <w:rPr>
      <w:rFonts w:ascii="楷体_GB2312"/>
      <w:bCs/>
      <w:color w:val="000000"/>
    </w:rPr>
  </w:style>
  <w:style w:type="character" w:customStyle="1" w:styleId="49">
    <w:name w:val="标题 2 Char"/>
    <w:link w:val="5"/>
    <w:qFormat/>
    <w:uiPriority w:val="0"/>
    <w:rPr>
      <w:b/>
      <w:snapToGrid w:val="0"/>
      <w:sz w:val="30"/>
    </w:rPr>
  </w:style>
  <w:style w:type="character" w:customStyle="1" w:styleId="50">
    <w:name w:val="正文文本缩进 2 Char"/>
    <w:link w:val="16"/>
    <w:qFormat/>
    <w:uiPriority w:val="0"/>
    <w:rPr>
      <w:rFonts w:eastAsia="宋体"/>
      <w:sz w:val="28"/>
      <w:lang w:val="en-US" w:eastAsia="zh-CN" w:bidi="ar-SA"/>
    </w:rPr>
  </w:style>
  <w:style w:type="character" w:customStyle="1" w:styleId="51">
    <w:name w:val="日期 Char"/>
    <w:qFormat/>
    <w:uiPriority w:val="0"/>
    <w:rPr>
      <w:sz w:val="28"/>
    </w:rPr>
  </w:style>
  <w:style w:type="character" w:customStyle="1" w:styleId="52">
    <w:name w:val="日期 Char1"/>
    <w:basedOn w:val="25"/>
    <w:link w:val="15"/>
    <w:qFormat/>
    <w:uiPriority w:val="0"/>
    <w:rPr>
      <w:rFonts w:asciiTheme="minorHAnsi" w:hAnsiTheme="minorHAnsi" w:eastAsiaTheme="minorEastAsia" w:cstheme="minorBidi"/>
      <w:sz w:val="24"/>
      <w:szCs w:val="22"/>
    </w:rPr>
  </w:style>
  <w:style w:type="character" w:customStyle="1" w:styleId="53">
    <w:name w:val="页脚 Char"/>
    <w:basedOn w:val="25"/>
    <w:link w:val="18"/>
    <w:qFormat/>
    <w:uiPriority w:val="99"/>
    <w:rPr>
      <w:rFonts w:asciiTheme="minorHAnsi" w:hAnsiTheme="minorHAnsi" w:cstheme="minorBidi"/>
      <w:sz w:val="18"/>
      <w:szCs w:val="22"/>
    </w:rPr>
  </w:style>
  <w:style w:type="character" w:customStyle="1" w:styleId="54">
    <w:name w:val="批注框文本 Char"/>
    <w:basedOn w:val="25"/>
    <w:link w:val="17"/>
    <w:qFormat/>
    <w:uiPriority w:val="0"/>
    <w:rPr>
      <w:rFonts w:asciiTheme="minorHAnsi" w:hAnsiTheme="minorHAnsi" w:eastAsiaTheme="minorEastAsia" w:cstheme="minorBidi"/>
      <w:sz w:val="18"/>
      <w:szCs w:val="18"/>
    </w:rPr>
  </w:style>
  <w:style w:type="paragraph" w:styleId="55">
    <w:name w:val="List Paragraph"/>
    <w:basedOn w:val="1"/>
    <w:unhideWhenUsed/>
    <w:qFormat/>
    <w:uiPriority w:val="99"/>
    <w:pPr>
      <w:ind w:firstLine="420" w:firstLineChars="200"/>
    </w:pPr>
  </w:style>
  <w:style w:type="paragraph" w:customStyle="1" w:styleId="56">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57">
    <w:name w:val="样式 标题 3 + (中文) 黑体 小四 非加粗 段前: 7.8 磅 段后: 0 磅 行距: 固定值 20 磅"/>
    <w:basedOn w:val="6"/>
    <w:qFormat/>
    <w:uiPriority w:val="0"/>
    <w:pPr>
      <w:numPr>
        <w:ilvl w:val="1"/>
        <w:numId w:val="2"/>
      </w:numPr>
      <w:tabs>
        <w:tab w:val="left" w:pos="718"/>
      </w:tabs>
      <w:autoSpaceDE/>
      <w:autoSpaceDN/>
      <w:adjustRightInd/>
      <w:spacing w:line="400" w:lineRule="exact"/>
      <w:textAlignment w:val="auto"/>
    </w:pPr>
    <w:rPr>
      <w:rFonts w:cs="宋体"/>
      <w:b w:val="0"/>
      <w:kern w:val="2"/>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1.jpeg"/><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5D69787-EA9B-4D79-A6D3-07C9060DE632}">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155</Pages>
  <Words>19775</Words>
  <Characters>112724</Characters>
  <Lines>939</Lines>
  <Paragraphs>264</Paragraphs>
  <TotalTime>14</TotalTime>
  <ScaleCrop>false</ScaleCrop>
  <LinksUpToDate>false</LinksUpToDate>
  <CharactersWithSpaces>132235</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2020-04-03T02:04:00Z</dcterms:created>
  <dc:creator>Administrator</dc:creator>
  <cp:lastModifiedBy>小张</cp:lastModifiedBy>
  <cp:lastPrinted>2020-09-11T05:28:00Z</cp:lastPrinted>
  <dcterms:modified xsi:type="dcterms:W3CDTF">2020-09-16T07:36:20Z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